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368276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克孜勒苏柯尔克孜自治州歌舞团2024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CCAC35">
      <w:r>
        <w:br w:type="page"/>
      </w:r>
    </w:p>
    <w:p w14:paraId="09955200">
      <w:pPr>
        <w:spacing w:line="640" w:lineRule="exact"/>
        <w:jc w:val="center"/>
        <w:outlineLvl w:val="1"/>
      </w:pPr>
      <w:r>
        <w:rPr>
          <w:rFonts w:ascii="黑体" w:hAnsi="黑体" w:eastAsia="黑体"/>
          <w:sz w:val="32"/>
        </w:rPr>
        <w:t>第一部分 单位概况</w:t>
      </w:r>
    </w:p>
    <w:p w14:paraId="5462EDA2">
      <w:pPr>
        <w:spacing w:line="640" w:lineRule="exact"/>
        <w:ind w:firstLine="640"/>
        <w:jc w:val="both"/>
        <w:outlineLvl w:val="2"/>
      </w:pPr>
      <w:r>
        <w:rPr>
          <w:rFonts w:ascii="黑体" w:hAnsi="黑体" w:eastAsia="黑体"/>
          <w:sz w:val="32"/>
        </w:rPr>
        <w:t>一、主要职能</w:t>
      </w:r>
    </w:p>
    <w:p w14:paraId="42FC5680">
      <w:pPr>
        <w:spacing w:line="580" w:lineRule="exact"/>
        <w:ind w:firstLine="640"/>
        <w:jc w:val="both"/>
      </w:pPr>
      <w:r>
        <w:rPr>
          <w:rFonts w:ascii="仿宋_GB2312" w:hAnsi="仿宋_GB2312" w:eastAsia="仿宋_GB2312"/>
          <w:sz w:val="32"/>
        </w:rPr>
        <w:t>以“邓小平理论”、“三个代表”重要思想统领全局，认真学习宣传贯彻习近平新时代中国特色社会主义思想和党的十九大精神，坚持先进文化的前进方向，弘扬主旋律，提倡多样化，推动文化产业蓬勃发展，为满足人民群众的精神文明需要，创作出浓郁的地方特色的优秀作品，用“文化搭台，经济唱戏”这一新的理论，弘扬中华优秀传统文化，不断提高艺术作品引导力和影响力，为克孜勒苏文化建设和经济建设作出新的贡献。</w:t>
      </w:r>
    </w:p>
    <w:p w14:paraId="6AD74DEF">
      <w:pPr>
        <w:spacing w:line="640" w:lineRule="exact"/>
        <w:ind w:firstLine="640"/>
        <w:jc w:val="both"/>
        <w:outlineLvl w:val="2"/>
      </w:pPr>
      <w:r>
        <w:rPr>
          <w:rFonts w:ascii="黑体" w:hAnsi="黑体" w:eastAsia="黑体"/>
          <w:sz w:val="32"/>
        </w:rPr>
        <w:t>二、机构设置及人员情况</w:t>
      </w:r>
    </w:p>
    <w:p w14:paraId="62527839">
      <w:pPr>
        <w:spacing w:line="580" w:lineRule="exact"/>
        <w:ind w:firstLine="640"/>
        <w:jc w:val="both"/>
      </w:pPr>
      <w:r>
        <w:rPr>
          <w:rFonts w:ascii="仿宋_GB2312" w:hAnsi="仿宋_GB2312" w:eastAsia="仿宋_GB2312"/>
          <w:sz w:val="32"/>
        </w:rPr>
        <w:t>克孜勒苏柯尔克孜自治州歌舞团2024年度，实有人数85人，其中：在职人员55人，减少3人；离休人员0人，增加0人；退休人员30人,增加2人。</w:t>
      </w:r>
    </w:p>
    <w:p w14:paraId="571A5704">
      <w:pPr>
        <w:spacing w:line="580" w:lineRule="exact"/>
        <w:ind w:firstLine="640"/>
        <w:jc w:val="both"/>
      </w:pPr>
      <w:r>
        <w:rPr>
          <w:rFonts w:ascii="仿宋_GB2312" w:hAnsi="仿宋_GB2312" w:eastAsia="仿宋_GB2312"/>
          <w:sz w:val="32"/>
        </w:rPr>
        <w:t>克孜勒苏柯尔克孜自治州歌舞团无下属预算单位，下设6个科室，分别是：办公室、舞美队、舞蹈队、创作指导室、财务室、声</w:t>
      </w:r>
      <w:r>
        <w:rPr>
          <w:rFonts w:hint="eastAsia" w:ascii="仿宋_GB2312" w:hAnsi="仿宋_GB2312" w:eastAsia="仿宋_GB2312"/>
          <w:sz w:val="32"/>
          <w:lang w:eastAsia="zh-CN"/>
        </w:rPr>
        <w:t>乐</w:t>
      </w:r>
      <w:r>
        <w:rPr>
          <w:rFonts w:ascii="仿宋_GB2312" w:hAnsi="仿宋_GB2312" w:eastAsia="仿宋_GB2312"/>
          <w:sz w:val="32"/>
        </w:rPr>
        <w:t>队。</w:t>
      </w:r>
    </w:p>
    <w:p w14:paraId="0C1C2E3C">
      <w:r>
        <w:br w:type="page"/>
      </w:r>
    </w:p>
    <w:p w14:paraId="5E26AF60">
      <w:pPr>
        <w:spacing w:line="240" w:lineRule="auto"/>
        <w:jc w:val="center"/>
        <w:outlineLvl w:val="1"/>
      </w:pPr>
      <w:r>
        <w:rPr>
          <w:rFonts w:ascii="黑体" w:hAnsi="黑体" w:eastAsia="黑体"/>
          <w:sz w:val="32"/>
        </w:rPr>
        <w:t>第二部分 部门决算情况说明</w:t>
      </w:r>
    </w:p>
    <w:p w14:paraId="67D4C23B">
      <w:pPr>
        <w:spacing w:line="640" w:lineRule="exact"/>
        <w:ind w:firstLine="640"/>
        <w:jc w:val="both"/>
        <w:outlineLvl w:val="2"/>
      </w:pPr>
      <w:r>
        <w:rPr>
          <w:rFonts w:ascii="黑体" w:hAnsi="黑体" w:eastAsia="黑体"/>
          <w:sz w:val="32"/>
        </w:rPr>
        <w:t>一、收入支出决算总体情况说明</w:t>
      </w:r>
    </w:p>
    <w:p w14:paraId="46F6ADE9">
      <w:pPr>
        <w:spacing w:line="580" w:lineRule="exact"/>
        <w:ind w:firstLine="640"/>
        <w:jc w:val="both"/>
      </w:pPr>
      <w:r>
        <w:rPr>
          <w:rFonts w:ascii="仿宋_GB2312" w:hAnsi="仿宋_GB2312" w:eastAsia="仿宋_GB2312"/>
          <w:b/>
          <w:sz w:val="32"/>
        </w:rPr>
        <w:t>2024年度收入总计1,099.05万元，</w:t>
      </w:r>
      <w:r>
        <w:rPr>
          <w:rFonts w:ascii="仿宋_GB2312" w:hAnsi="仿宋_GB2312" w:eastAsia="仿宋_GB2312"/>
          <w:b w:val="0"/>
          <w:sz w:val="32"/>
        </w:rPr>
        <w:t>其中：本年收入合计1,056.72万元，使用非财政拨款结余（含专用结余）0.00万元，年初结转和结余42.33万元。</w:t>
      </w:r>
    </w:p>
    <w:p w14:paraId="51DDFE55">
      <w:pPr>
        <w:spacing w:line="580" w:lineRule="exact"/>
        <w:ind w:firstLine="640"/>
        <w:jc w:val="both"/>
      </w:pPr>
      <w:r>
        <w:rPr>
          <w:rFonts w:ascii="仿宋_GB2312" w:hAnsi="仿宋_GB2312" w:eastAsia="仿宋_GB2312"/>
          <w:b/>
          <w:sz w:val="32"/>
        </w:rPr>
        <w:t>2024年度支出总计1,099.05万元，</w:t>
      </w:r>
      <w:r>
        <w:rPr>
          <w:rFonts w:ascii="仿宋_GB2312" w:hAnsi="仿宋_GB2312" w:eastAsia="仿宋_GB2312"/>
          <w:b w:val="0"/>
          <w:sz w:val="32"/>
        </w:rPr>
        <w:t>其中：本年支出合计1,060.49万元，结余分配0.00万元，年末结转和结余38.56万元。</w:t>
      </w:r>
    </w:p>
    <w:p w14:paraId="49ECB9E4">
      <w:pPr>
        <w:spacing w:line="580" w:lineRule="exact"/>
        <w:ind w:firstLine="640"/>
        <w:jc w:val="both"/>
      </w:pPr>
      <w:r>
        <w:rPr>
          <w:rFonts w:ascii="仿宋_GB2312" w:hAnsi="仿宋_GB2312" w:eastAsia="仿宋_GB2312"/>
          <w:b w:val="0"/>
          <w:sz w:val="32"/>
        </w:rPr>
        <w:t>收入支出总体与上年相比，减少309.62万元，下降21.98%，主要原因是：本年援疆资金项目经费减少，导致经费较上年减少。</w:t>
      </w:r>
    </w:p>
    <w:p w14:paraId="0E993625">
      <w:pPr>
        <w:spacing w:line="640" w:lineRule="exact"/>
        <w:ind w:firstLine="640"/>
        <w:jc w:val="both"/>
        <w:outlineLvl w:val="2"/>
      </w:pPr>
      <w:r>
        <w:rPr>
          <w:rFonts w:ascii="黑体" w:hAnsi="黑体" w:eastAsia="黑体"/>
          <w:sz w:val="32"/>
        </w:rPr>
        <w:t>二、收入决算情况说明</w:t>
      </w:r>
    </w:p>
    <w:p w14:paraId="4C7ED829">
      <w:pPr>
        <w:spacing w:line="580" w:lineRule="exact"/>
        <w:ind w:firstLine="640"/>
        <w:jc w:val="both"/>
      </w:pPr>
      <w:r>
        <w:rPr>
          <w:rFonts w:ascii="仿宋_GB2312" w:hAnsi="仿宋_GB2312" w:eastAsia="仿宋_GB2312"/>
          <w:b/>
          <w:sz w:val="32"/>
        </w:rPr>
        <w:t>本年收入1,056.72万元，</w:t>
      </w:r>
      <w:r>
        <w:rPr>
          <w:rFonts w:ascii="仿宋_GB2312" w:hAnsi="仿宋_GB2312" w:eastAsia="仿宋_GB2312"/>
          <w:b w:val="0"/>
          <w:sz w:val="32"/>
        </w:rPr>
        <w:t>其中：财政拨款收入1,056.65万元，占99.99%；上级补助收入0.00万元，占0.00%；事业收入0.00万元，占0.00%；经营收入0.00万元，占0.00%；附属单位上缴收入0.00万元，占0.00%；其他收入0.07万元，占0.007%。</w:t>
      </w:r>
    </w:p>
    <w:p w14:paraId="4BC47F36">
      <w:pPr>
        <w:spacing w:line="640" w:lineRule="exact"/>
        <w:ind w:firstLine="640"/>
        <w:jc w:val="both"/>
        <w:outlineLvl w:val="2"/>
      </w:pPr>
      <w:r>
        <w:rPr>
          <w:rFonts w:ascii="黑体" w:hAnsi="黑体" w:eastAsia="黑体"/>
          <w:sz w:val="32"/>
        </w:rPr>
        <w:t>三、支出决算情况说明</w:t>
      </w:r>
    </w:p>
    <w:p w14:paraId="4104D90A">
      <w:pPr>
        <w:spacing w:line="580" w:lineRule="exact"/>
        <w:ind w:firstLine="640"/>
        <w:jc w:val="both"/>
      </w:pPr>
      <w:r>
        <w:rPr>
          <w:rFonts w:ascii="仿宋_GB2312" w:hAnsi="仿宋_GB2312" w:eastAsia="仿宋_GB2312"/>
          <w:b/>
          <w:sz w:val="32"/>
        </w:rPr>
        <w:t>本年支出1,060.49万元，</w:t>
      </w:r>
      <w:r>
        <w:rPr>
          <w:rFonts w:ascii="仿宋_GB2312" w:hAnsi="仿宋_GB2312" w:eastAsia="仿宋_GB2312"/>
          <w:b w:val="0"/>
          <w:sz w:val="32"/>
        </w:rPr>
        <w:t>其中：基本支出994.13万元，占93.74%；项目支出66.36万元，占6.26%；上缴上级支出0.00万元，占0.00%；经营支出0.00万元，占0.00%；对附属单位补助支出0.00万元，占0.00%。</w:t>
      </w:r>
    </w:p>
    <w:p w14:paraId="2C12658D">
      <w:pPr>
        <w:spacing w:line="640" w:lineRule="exact"/>
        <w:ind w:firstLine="640"/>
        <w:jc w:val="both"/>
        <w:outlineLvl w:val="2"/>
      </w:pPr>
      <w:r>
        <w:rPr>
          <w:rFonts w:ascii="黑体" w:hAnsi="黑体" w:eastAsia="黑体"/>
          <w:sz w:val="32"/>
        </w:rPr>
        <w:t>四、财政拨款收入支出决算总体情况说明</w:t>
      </w:r>
    </w:p>
    <w:p w14:paraId="062EBCF8">
      <w:pPr>
        <w:spacing w:line="580" w:lineRule="exact"/>
        <w:ind w:firstLine="640"/>
        <w:jc w:val="both"/>
      </w:pPr>
      <w:r>
        <w:rPr>
          <w:rFonts w:ascii="仿宋_GB2312" w:hAnsi="仿宋_GB2312" w:eastAsia="仿宋_GB2312"/>
          <w:b/>
          <w:sz w:val="32"/>
        </w:rPr>
        <w:t>2024年度财政拨款收入总计1,056.65万元，</w:t>
      </w:r>
      <w:r>
        <w:rPr>
          <w:rFonts w:ascii="仿宋_GB2312" w:hAnsi="仿宋_GB2312" w:eastAsia="仿宋_GB2312"/>
          <w:b w:val="0"/>
          <w:sz w:val="32"/>
        </w:rPr>
        <w:t>其中：年初财政拨款结转和结余0.00万元，本年财政拨款收入1,056.65万元。</w:t>
      </w:r>
      <w:r>
        <w:rPr>
          <w:rFonts w:ascii="仿宋_GB2312" w:hAnsi="仿宋_GB2312" w:eastAsia="仿宋_GB2312"/>
          <w:b/>
          <w:sz w:val="32"/>
        </w:rPr>
        <w:t>财政拨款支出总计1,056.65万元，</w:t>
      </w:r>
      <w:r>
        <w:rPr>
          <w:rFonts w:ascii="仿宋_GB2312" w:hAnsi="仿宋_GB2312" w:eastAsia="仿宋_GB2312"/>
          <w:b w:val="0"/>
          <w:sz w:val="32"/>
        </w:rPr>
        <w:t>其中：年末财政拨款结转和结余0.00万元，本年财政拨款支出1,056.65万元。</w:t>
      </w:r>
    </w:p>
    <w:p w14:paraId="738E424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减少13.05万元，下降1.22%，主要原因是：本年在职人员减少，相关人员经费较上年减少。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年初预算数993.63万元，决算数1,056.65万元，预决算差异率6.34%，主要原因是：年中追加人员工资、社保、公积金基数调增部分资金及克州歌舞团歌舞剧《玛纳斯》巡演项目，导致预决算存在差异。</w:t>
      </w:r>
    </w:p>
    <w:p w14:paraId="7AC97047">
      <w:pPr>
        <w:spacing w:line="640" w:lineRule="exact"/>
        <w:ind w:firstLine="640"/>
        <w:jc w:val="both"/>
        <w:outlineLvl w:val="2"/>
      </w:pPr>
      <w:r>
        <w:rPr>
          <w:rFonts w:ascii="黑体" w:hAnsi="黑体" w:eastAsia="黑体"/>
          <w:sz w:val="32"/>
        </w:rPr>
        <w:t>五、一般公共预算财政拨款支出决算情况说明</w:t>
      </w:r>
    </w:p>
    <w:p w14:paraId="3E9575DA">
      <w:pPr>
        <w:spacing w:line="640" w:lineRule="exact"/>
        <w:ind w:firstLine="640"/>
        <w:jc w:val="both"/>
        <w:outlineLvl w:val="3"/>
      </w:pPr>
      <w:r>
        <w:rPr>
          <w:rFonts w:ascii="楷体_GB2312" w:hAnsi="楷体_GB2312" w:eastAsia="楷体_GB2312"/>
          <w:b/>
          <w:sz w:val="32"/>
        </w:rPr>
        <w:t>（一）一般公共预算财政拨款支出决算总体情况</w:t>
      </w:r>
    </w:p>
    <w:p w14:paraId="52CF9051">
      <w:pPr>
        <w:spacing w:line="580" w:lineRule="exact"/>
        <w:ind w:firstLine="640"/>
        <w:jc w:val="both"/>
      </w:pPr>
      <w:r>
        <w:rPr>
          <w:rFonts w:ascii="仿宋_GB2312" w:hAnsi="仿宋_GB2312" w:eastAsia="仿宋_GB2312"/>
          <w:b/>
          <w:sz w:val="32"/>
        </w:rPr>
        <w:t>2024年度一般公共预算财政拨款支出1,003.88万元，</w:t>
      </w:r>
      <w:r>
        <w:rPr>
          <w:rFonts w:ascii="仿宋_GB2312" w:hAnsi="仿宋_GB2312" w:eastAsia="仿宋_GB2312"/>
          <w:b w:val="0"/>
          <w:sz w:val="32"/>
        </w:rPr>
        <w:t>占本年支出合计的94.66%。</w:t>
      </w:r>
      <w:r>
        <w:rPr>
          <w:rFonts w:ascii="仿宋_GB2312" w:hAnsi="仿宋_GB2312" w:eastAsia="仿宋_GB2312"/>
          <w:b/>
          <w:sz w:val="32"/>
        </w:rPr>
        <w:t>与上年相比，</w:t>
      </w:r>
      <w:r>
        <w:rPr>
          <w:rFonts w:ascii="仿宋_GB2312" w:hAnsi="仿宋_GB2312" w:eastAsia="仿宋_GB2312"/>
          <w:b w:val="0"/>
          <w:sz w:val="32"/>
        </w:rPr>
        <w:t>减少65.82万元，下降6.15%，主要原因是：本年减少2023年中央补助地方公共文化服务体系建设资金预算的通知项目、中央补助地方公共文化服务体系建设补助资金项目，导致经费减少。</w:t>
      </w:r>
      <w:r>
        <w:rPr>
          <w:rFonts w:ascii="仿宋_GB2312" w:hAnsi="仿宋_GB2312" w:eastAsia="仿宋_GB2312"/>
          <w:b/>
          <w:sz w:val="32"/>
        </w:rPr>
        <w:t>与年初预算相比,</w:t>
      </w:r>
      <w:r>
        <w:rPr>
          <w:rFonts w:ascii="仿宋_GB2312" w:hAnsi="仿宋_GB2312" w:eastAsia="仿宋_GB2312"/>
          <w:b w:val="0"/>
          <w:sz w:val="32"/>
        </w:rPr>
        <w:t>年初预算数993.63万元，决算数1,003.88万元，预决算差异率1.03%，主要原因是：年中追加人员工资、社保、公积金基数调增部分资金，导致预决算存在差异。</w:t>
      </w:r>
    </w:p>
    <w:p w14:paraId="0556AF6F">
      <w:pPr>
        <w:spacing w:line="640" w:lineRule="exact"/>
        <w:ind w:firstLine="640"/>
        <w:jc w:val="both"/>
        <w:outlineLvl w:val="3"/>
      </w:pPr>
      <w:r>
        <w:rPr>
          <w:rFonts w:ascii="楷体_GB2312" w:hAnsi="楷体_GB2312" w:eastAsia="楷体_GB2312"/>
          <w:b/>
          <w:sz w:val="32"/>
        </w:rPr>
        <w:t>（二）一般公共预算财政拨款支出决算结构情况</w:t>
      </w:r>
    </w:p>
    <w:p w14:paraId="0B4DE803">
      <w:pPr>
        <w:spacing w:line="580" w:lineRule="exact"/>
        <w:ind w:firstLine="640"/>
        <w:jc w:val="both"/>
      </w:pPr>
      <w:r>
        <w:rPr>
          <w:rFonts w:ascii="仿宋_GB2312" w:hAnsi="仿宋_GB2312" w:eastAsia="仿宋_GB2312"/>
          <w:b w:val="0"/>
          <w:sz w:val="32"/>
        </w:rPr>
        <w:t>1.文化旅游体育与传媒支出(类)886.54万元,占88.31%。</w:t>
      </w:r>
    </w:p>
    <w:p w14:paraId="63BA7F23">
      <w:pPr>
        <w:spacing w:line="580" w:lineRule="exact"/>
        <w:ind w:firstLine="640"/>
        <w:jc w:val="both"/>
      </w:pPr>
      <w:r>
        <w:rPr>
          <w:rFonts w:ascii="仿宋_GB2312" w:hAnsi="仿宋_GB2312" w:eastAsia="仿宋_GB2312"/>
          <w:b w:val="0"/>
          <w:sz w:val="32"/>
        </w:rPr>
        <w:t>2.社会保障和就业支出(类)117.34万元,占11.69%。</w:t>
      </w:r>
    </w:p>
    <w:p w14:paraId="375D3B46">
      <w:pPr>
        <w:spacing w:line="640" w:lineRule="exact"/>
        <w:ind w:firstLine="640"/>
        <w:jc w:val="both"/>
        <w:outlineLvl w:val="3"/>
      </w:pPr>
      <w:r>
        <w:rPr>
          <w:rFonts w:ascii="楷体_GB2312" w:hAnsi="楷体_GB2312" w:eastAsia="楷体_GB2312"/>
          <w:b/>
          <w:sz w:val="32"/>
        </w:rPr>
        <w:t>（三）一般公共预算财政拨款支出决算具体情况</w:t>
      </w:r>
    </w:p>
    <w:p w14:paraId="02F85BA3">
      <w:pPr>
        <w:spacing w:line="580" w:lineRule="exact"/>
        <w:ind w:firstLine="640"/>
        <w:jc w:val="both"/>
      </w:pPr>
      <w:r>
        <w:rPr>
          <w:rFonts w:ascii="仿宋_GB2312" w:hAnsi="仿宋_GB2312" w:eastAsia="仿宋_GB2312"/>
          <w:b w:val="0"/>
          <w:sz w:val="32"/>
        </w:rPr>
        <w:t>1.文化旅游体育与传媒支出(类)文化和旅游(款)艺术表演团体(项):支出决算数为880.54万元，比上年决算减少61.66万元，下降6.54%,主要原因是：本年在职人员减少，相关人员经费较上年减少；本年办公经费减少，导致公用经费较上年减少。</w:t>
      </w:r>
    </w:p>
    <w:p w14:paraId="4AAEFD77">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2.文化旅游体育与传媒支出(类)文化和旅游(款)其他文化和旅游支出(项):支出决算数为6.00万元，比上年决算增加6.00万元，增长100.00%,主要原因是：今年新增专项经费项目，相应支出增加。</w:t>
      </w:r>
    </w:p>
    <w:p w14:paraId="66861955">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0.00万元，比上年决算减少31.71万元，下降100.00%,主要原因是：本年减少2023年中央补助地方公共文化服务体系建设资金预算的通知项目、中央补助地方公共文化服务体系建设补助资金项目，导致经费减少。</w:t>
      </w:r>
    </w:p>
    <w:p w14:paraId="6CC3F092">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91.70万元，比上年决算增加3.42万元，增长3.87%,主要原因是：人员工资基数调增，养老缴费基数上涨，相应支出增加。</w:t>
      </w:r>
    </w:p>
    <w:p w14:paraId="07B572BF">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5.社会保障和就业支出(类)行政事业单位养老支出(款)机关事业单位职业年金缴费支出(项):支出决算数为22.06万元，比上年决算增加16.99万元，增长335.11%,主要原因是：本年新增退休2人，职业年金缴费支出增加。</w:t>
      </w:r>
    </w:p>
    <w:p w14:paraId="55C006E8">
      <w:pPr>
        <w:spacing w:line="580" w:lineRule="exact"/>
        <w:ind w:firstLine="640"/>
        <w:jc w:val="both"/>
      </w:pPr>
      <w:r>
        <w:rPr>
          <w:rFonts w:ascii="仿宋_GB2312" w:hAnsi="仿宋_GB2312" w:eastAsia="仿宋_GB2312"/>
          <w:b w:val="0"/>
          <w:sz w:val="32"/>
        </w:rPr>
        <w:t>6.社会保障和就业支出(类)就业补助(款)就业见习补贴(项):支出决算数为3.58万元，比上年决算增加1.14万元，增长46.72%,主要原因是：本年见习人员增加，相应经费较上年增加。</w:t>
      </w:r>
    </w:p>
    <w:p w14:paraId="3B0CDAE4">
      <w:pPr>
        <w:spacing w:line="640" w:lineRule="exact"/>
        <w:ind w:firstLine="640"/>
        <w:jc w:val="both"/>
        <w:outlineLvl w:val="2"/>
      </w:pPr>
      <w:r>
        <w:rPr>
          <w:rFonts w:ascii="黑体" w:hAnsi="黑体" w:eastAsia="黑体"/>
          <w:sz w:val="32"/>
        </w:rPr>
        <w:t>六、一般公共预算财政拨款基本支出决算情况说明</w:t>
      </w:r>
    </w:p>
    <w:p w14:paraId="4487AC29">
      <w:pPr>
        <w:spacing w:line="580" w:lineRule="exact"/>
        <w:ind w:firstLine="640"/>
        <w:jc w:val="both"/>
      </w:pPr>
      <w:r>
        <w:rPr>
          <w:rFonts w:ascii="仿宋_GB2312" w:hAnsi="仿宋_GB2312" w:eastAsia="仿宋_GB2312"/>
          <w:b w:val="0"/>
          <w:sz w:val="32"/>
        </w:rPr>
        <w:t>2024年度一般公共预算财政拨款基本支出994.13万元，其中：</w:t>
      </w:r>
      <w:r>
        <w:rPr>
          <w:rFonts w:ascii="仿宋_GB2312" w:hAnsi="仿宋_GB2312" w:eastAsia="仿宋_GB2312"/>
          <w:b/>
          <w:sz w:val="32"/>
        </w:rPr>
        <w:t>人员经费970.11万元，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包括：基本工资、津贴补贴、奖金、机关事业单位基本养老保险缴费、职业年金缴费、职工基本医疗保险缴费、其他社会保障缴费、住房公积金、退休费、生活补助、奖励金、其他对个人和家庭的补助。</w:t>
      </w:r>
    </w:p>
    <w:p w14:paraId="48E7BCB4">
      <w:pPr>
        <w:spacing w:line="580" w:lineRule="exact"/>
        <w:ind w:firstLine="640"/>
        <w:jc w:val="both"/>
      </w:pPr>
      <w:r>
        <w:rPr>
          <w:rFonts w:ascii="仿宋_GB2312" w:hAnsi="仿宋_GB2312" w:eastAsia="仿宋_GB2312"/>
          <w:b/>
          <w:sz w:val="32"/>
        </w:rPr>
        <w:t>公用经费24.02万元，</w:t>
      </w:r>
      <w:r>
        <w:rPr>
          <w:rFonts w:ascii="仿宋_GB2312" w:hAnsi="仿宋_GB2312" w:eastAsia="仿宋_GB2312"/>
          <w:b w:val="0"/>
          <w:sz w:val="32"/>
        </w:rPr>
        <w:t>包括：办公费、水费、电费、邮电费、物业管理费、差旅费、维修（护）费、劳务费、工会经费、福利费、公务用车运行维护费、其他商品和服务支出。</w:t>
      </w:r>
    </w:p>
    <w:p w14:paraId="402C6A11">
      <w:pPr>
        <w:spacing w:line="640" w:lineRule="exact"/>
        <w:ind w:firstLine="640"/>
        <w:jc w:val="both"/>
        <w:outlineLvl w:val="2"/>
      </w:pPr>
      <w:r>
        <w:rPr>
          <w:rFonts w:ascii="黑体" w:hAnsi="黑体" w:eastAsia="黑体"/>
          <w:sz w:val="32"/>
        </w:rPr>
        <w:t>七、政府性基金预算财政拨款收入支出决算情况说明</w:t>
      </w:r>
    </w:p>
    <w:p w14:paraId="3CF04FB9">
      <w:pPr>
        <w:spacing w:line="580" w:lineRule="exact"/>
        <w:ind w:firstLine="640"/>
        <w:jc w:val="both"/>
      </w:pPr>
      <w:r>
        <w:rPr>
          <w:rFonts w:ascii="仿宋_GB2312" w:hAnsi="仿宋_GB2312" w:eastAsia="仿宋_GB2312"/>
          <w:b/>
          <w:sz w:val="32"/>
        </w:rPr>
        <w:t>2024年度政府性基金预算财政拨款收入总计52.78万元，</w:t>
      </w:r>
      <w:r>
        <w:rPr>
          <w:rFonts w:ascii="仿宋_GB2312" w:hAnsi="仿宋_GB2312" w:eastAsia="仿宋_GB2312"/>
          <w:b w:val="0"/>
          <w:sz w:val="32"/>
        </w:rPr>
        <w:t>其中：年初结转和结余0.00万元，本年收入52.78万元。</w:t>
      </w:r>
      <w:r>
        <w:rPr>
          <w:rFonts w:ascii="仿宋_GB2312" w:hAnsi="仿宋_GB2312" w:eastAsia="仿宋_GB2312"/>
          <w:b/>
          <w:sz w:val="32"/>
        </w:rPr>
        <w:t>政府性基金预算财政拨款支出总计52.78万元，</w:t>
      </w:r>
      <w:r>
        <w:rPr>
          <w:rFonts w:ascii="仿宋_GB2312" w:hAnsi="仿宋_GB2312" w:eastAsia="仿宋_GB2312"/>
          <w:b w:val="0"/>
          <w:sz w:val="32"/>
        </w:rPr>
        <w:t>其中：年末结转和结余0.00万元，本年支出52.78万元。</w:t>
      </w:r>
    </w:p>
    <w:p w14:paraId="40D3977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增加52.78万元，增长100.00%，主要原因是：本年增加克州歌舞团歌舞剧《玛纳斯》巡演项目。</w:t>
      </w:r>
      <w:r>
        <w:rPr>
          <w:rFonts w:ascii="仿宋_GB2312" w:hAnsi="仿宋_GB2312" w:eastAsia="仿宋_GB2312"/>
          <w:b/>
          <w:sz w:val="32"/>
        </w:rPr>
        <w:t>与年初预算相比，</w:t>
      </w:r>
      <w:r>
        <w:rPr>
          <w:rFonts w:ascii="仿宋_GB2312" w:hAnsi="仿宋_GB2312" w:eastAsia="仿宋_GB2312"/>
          <w:b w:val="0"/>
          <w:sz w:val="32"/>
        </w:rPr>
        <w:t>年初预算数0.00万元，决算数52.78万元，预决算差异率100.00%，主要原因是：年中追加克州歌舞团歌舞剧《玛纳斯》巡演项目，导致预决算存在差异。</w:t>
      </w:r>
    </w:p>
    <w:p w14:paraId="5A9F311D">
      <w:pPr>
        <w:spacing w:line="580" w:lineRule="exact"/>
        <w:ind w:firstLine="640"/>
        <w:jc w:val="both"/>
      </w:pPr>
      <w:r>
        <w:rPr>
          <w:rFonts w:ascii="仿宋_GB2312" w:hAnsi="仿宋_GB2312" w:eastAsia="仿宋_GB2312"/>
          <w:b w:val="0"/>
          <w:sz w:val="32"/>
        </w:rPr>
        <w:t>政府性基金预算财政拨款支出52.78万元。</w:t>
      </w:r>
    </w:p>
    <w:p w14:paraId="03E259A6">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1.其他支出(类)彩票公益金安排的支出(款)用于文化事业的彩票公益金支出(项):支出决算数为52.78万元，比上年决算增加52.78万元，增长100.00%,主要原因是：本年增加克州歌舞团歌舞剧《玛纳斯》巡演项目。</w:t>
      </w:r>
    </w:p>
    <w:p w14:paraId="4792502F">
      <w:pPr>
        <w:spacing w:line="640" w:lineRule="exact"/>
        <w:ind w:firstLine="640"/>
        <w:jc w:val="both"/>
        <w:outlineLvl w:val="2"/>
      </w:pPr>
      <w:r>
        <w:rPr>
          <w:rFonts w:ascii="黑体" w:hAnsi="黑体" w:eastAsia="黑体"/>
          <w:sz w:val="32"/>
        </w:rPr>
        <w:t>八、国有资本经营预算财政拨款收入支出决算情况说明</w:t>
      </w:r>
    </w:p>
    <w:p w14:paraId="2F7EF9C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178A7A9">
      <w:pPr>
        <w:spacing w:line="640" w:lineRule="exact"/>
        <w:ind w:firstLine="640"/>
        <w:jc w:val="both"/>
        <w:outlineLvl w:val="2"/>
      </w:pPr>
      <w:r>
        <w:rPr>
          <w:rFonts w:ascii="黑体" w:hAnsi="黑体" w:eastAsia="黑体"/>
          <w:sz w:val="32"/>
        </w:rPr>
        <w:t>九、财政拨款“三公”经费支出决算情况说明</w:t>
      </w:r>
    </w:p>
    <w:p w14:paraId="48F47BA2">
      <w:pPr>
        <w:spacing w:line="580" w:lineRule="exact"/>
        <w:ind w:firstLine="640"/>
        <w:jc w:val="both"/>
      </w:pPr>
      <w:r>
        <w:rPr>
          <w:rFonts w:ascii="仿宋_GB2312" w:hAnsi="仿宋_GB2312" w:eastAsia="仿宋_GB2312"/>
          <w:b/>
          <w:sz w:val="32"/>
        </w:rPr>
        <w:t>2024年度财政拨款“三公”经费支出2.10万元，</w:t>
      </w:r>
      <w:r>
        <w:rPr>
          <w:rFonts w:ascii="仿宋_GB2312" w:hAnsi="仿宋_GB2312" w:eastAsia="仿宋_GB2312"/>
          <w:b w:val="0"/>
          <w:sz w:val="32"/>
        </w:rPr>
        <w:t>比上年增加0.98万元，增长87.50%，主要原因是：本年支付以前年度公务用车维修费，导致经费较上年增加。其中：因公出国（境）费支出0.00万元，占0.00%，比上年增加0.00万元，增长0.00%，主要原因是：2023年与2024年均未安排因公出国（境）费支出。公务用车购置及运行维护费支出2.10万元，占100.00%，比上年增加0.98万元，增长87.50%，主要原因是：本年支付以前年度公务用车维修费，导致经费较上年增加。公务接待费支出0.00万元，占0.00%，比上年增加0.00万元，增长0.00%，主要原因是：2023年与2024年均未安排公务接待费支出。</w:t>
      </w:r>
    </w:p>
    <w:p w14:paraId="362D7C35">
      <w:pPr>
        <w:spacing w:line="580" w:lineRule="exact"/>
        <w:ind w:firstLine="640"/>
        <w:jc w:val="both"/>
      </w:pPr>
      <w:r>
        <w:rPr>
          <w:rFonts w:ascii="仿宋_GB2312" w:hAnsi="仿宋_GB2312" w:eastAsia="仿宋_GB2312"/>
          <w:b/>
          <w:sz w:val="32"/>
        </w:rPr>
        <w:t>具体情况如下：</w:t>
      </w:r>
    </w:p>
    <w:p w14:paraId="27D5D68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0D14420">
      <w:pPr>
        <w:spacing w:line="580" w:lineRule="exact"/>
        <w:ind w:firstLine="640"/>
        <w:jc w:val="both"/>
      </w:pPr>
      <w:r>
        <w:rPr>
          <w:rFonts w:ascii="仿宋_GB2312" w:hAnsi="仿宋_GB2312" w:eastAsia="仿宋_GB2312"/>
          <w:b w:val="0"/>
          <w:sz w:val="32"/>
        </w:rPr>
        <w:t>公务用车购置及运行维护费2.10万元，其中：公务用车购置费0.00万元，公务用车运行维护费2.10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4F642FC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1A7E60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2.10万元，决算数2.10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2.10万元，决算数2.10万元，预决算差异率0.00%，主要原因是：严格按照预算执行，预决算无差异。公务接待费全年预算数0.00万元，决算数0.00万元，预决算差异率0.00%，主要原因是：本单位无公务接待费。</w:t>
      </w:r>
    </w:p>
    <w:p w14:paraId="216854E9">
      <w:pPr>
        <w:spacing w:line="640" w:lineRule="exact"/>
        <w:ind w:firstLine="640"/>
        <w:jc w:val="both"/>
        <w:outlineLvl w:val="2"/>
      </w:pPr>
      <w:r>
        <w:rPr>
          <w:rFonts w:ascii="黑体" w:hAnsi="黑体" w:eastAsia="黑体"/>
          <w:sz w:val="32"/>
        </w:rPr>
        <w:t>十、其他重要事项的情况说明</w:t>
      </w:r>
    </w:p>
    <w:p w14:paraId="39B8F2F4">
      <w:pPr>
        <w:spacing w:line="640" w:lineRule="exact"/>
        <w:ind w:firstLine="640"/>
        <w:jc w:val="both"/>
        <w:outlineLvl w:val="3"/>
      </w:pPr>
      <w:r>
        <w:rPr>
          <w:rFonts w:ascii="楷体_GB2312" w:hAnsi="楷体_GB2312" w:eastAsia="楷体_GB2312"/>
          <w:b/>
          <w:sz w:val="32"/>
        </w:rPr>
        <w:t>（一）机关运行经费及公用经费支出情况</w:t>
      </w:r>
    </w:p>
    <w:p w14:paraId="21732351">
      <w:pPr>
        <w:spacing w:line="580" w:lineRule="exact"/>
        <w:ind w:firstLine="640"/>
        <w:jc w:val="both"/>
      </w:pPr>
      <w:r>
        <w:rPr>
          <w:rFonts w:ascii="仿宋_GB2312" w:hAnsi="仿宋_GB2312" w:eastAsia="仿宋_GB2312"/>
          <w:b w:val="0"/>
          <w:sz w:val="32"/>
        </w:rPr>
        <w:t>2024年度克孜勒苏柯尔克孜自治州歌舞团（事业单位）公用经费支出24.02万元，比上年减少46.05万元，下降65.72%，主要原因是：本年办公经费减少，导致公用经费较上年减少。</w:t>
      </w:r>
    </w:p>
    <w:p w14:paraId="2A70743C">
      <w:pPr>
        <w:spacing w:line="640" w:lineRule="exact"/>
        <w:ind w:firstLine="640"/>
        <w:jc w:val="both"/>
        <w:outlineLvl w:val="3"/>
      </w:pPr>
      <w:r>
        <w:rPr>
          <w:rFonts w:ascii="楷体_GB2312" w:hAnsi="楷体_GB2312" w:eastAsia="楷体_GB2312"/>
          <w:b/>
          <w:sz w:val="32"/>
        </w:rPr>
        <w:t>（二）政府采购情况</w:t>
      </w:r>
    </w:p>
    <w:p w14:paraId="32BB4D5E">
      <w:pPr>
        <w:spacing w:line="580" w:lineRule="exact"/>
        <w:ind w:firstLine="640"/>
        <w:jc w:val="both"/>
      </w:pPr>
      <w:r>
        <w:rPr>
          <w:rFonts w:ascii="仿宋_GB2312" w:hAnsi="仿宋_GB2312" w:eastAsia="仿宋_GB2312"/>
          <w:b w:val="0"/>
          <w:sz w:val="32"/>
        </w:rPr>
        <w:t>2024年度政府采购支出总额3.70万元，其中：政府采购货物支出0.00万元、政府采购工程支出0.00万元、政府采购服务支出3.70万元。</w:t>
      </w:r>
    </w:p>
    <w:p w14:paraId="4802C4ED">
      <w:pPr>
        <w:spacing w:line="580" w:lineRule="exact"/>
        <w:ind w:firstLine="640"/>
        <w:jc w:val="both"/>
      </w:pPr>
      <w:r>
        <w:rPr>
          <w:rFonts w:ascii="仿宋_GB2312" w:hAnsi="仿宋_GB2312" w:eastAsia="仿宋_GB2312"/>
          <w:b w:val="0"/>
          <w:sz w:val="32"/>
        </w:rPr>
        <w:t>授予中小企业合同金额1.00万元，占政府采购支出总额的27.03%，其中：授予小微企业合同金额1.00万元，占政府采购支出总额的27.03%。</w:t>
      </w:r>
    </w:p>
    <w:p w14:paraId="3DB699B7">
      <w:pPr>
        <w:spacing w:line="640" w:lineRule="exact"/>
        <w:ind w:firstLine="640"/>
        <w:jc w:val="both"/>
        <w:outlineLvl w:val="3"/>
      </w:pPr>
      <w:r>
        <w:rPr>
          <w:rFonts w:ascii="楷体_GB2312" w:hAnsi="楷体_GB2312" w:eastAsia="楷体_GB2312"/>
          <w:b/>
          <w:sz w:val="32"/>
        </w:rPr>
        <w:t>（三）国有资产占用情况说明</w:t>
      </w:r>
    </w:p>
    <w:p w14:paraId="4898C44B">
      <w:pPr>
        <w:spacing w:line="580" w:lineRule="exact"/>
        <w:ind w:firstLine="640"/>
        <w:jc w:val="both"/>
      </w:pPr>
      <w:r>
        <w:rPr>
          <w:rFonts w:ascii="仿宋_GB2312" w:hAnsi="仿宋_GB2312" w:eastAsia="仿宋_GB2312"/>
          <w:b w:val="0"/>
          <w:sz w:val="32"/>
        </w:rPr>
        <w:t>截至2024年12月31日，房屋0.00平方米，价值0.00万元。车辆3辆，价值116.77万元，其中：副部（省）级及以上领导用车0辆、主要负责人用车0辆、机要通信用车0辆、应急保障用车0辆、执法执勤用车0辆、特种专业技术用车0辆、离退休干部服务用车0辆、其他用车3辆，其他用车主要是：文艺演出车辆、小客车、大客车。单价100万元（含）以上设备（不含车辆）0台（套）。</w:t>
      </w:r>
    </w:p>
    <w:p w14:paraId="12BDB3B1">
      <w:pPr>
        <w:spacing w:line="640" w:lineRule="exact"/>
        <w:ind w:firstLine="640"/>
        <w:jc w:val="both"/>
        <w:outlineLvl w:val="2"/>
      </w:pPr>
      <w:r>
        <w:rPr>
          <w:rFonts w:ascii="黑体" w:hAnsi="黑体" w:eastAsia="黑体"/>
          <w:sz w:val="32"/>
        </w:rPr>
        <w:t>十一、预算绩效的情况说明</w:t>
      </w:r>
    </w:p>
    <w:p w14:paraId="1F7FEF1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1,099.05万元，实际执行总额1,060.49万元；预算绩效评价项目4个，全年预算数123.72万元，全年执行数62.92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221EE48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2C6972B">
        <w:tblPrEx>
          <w:tblCellMar>
            <w:top w:w="0" w:type="dxa"/>
            <w:left w:w="108" w:type="dxa"/>
            <w:bottom w:w="0" w:type="dxa"/>
            <w:right w:w="108" w:type="dxa"/>
          </w:tblCellMar>
        </w:tblPrEx>
        <w:tc>
          <w:tcPr>
            <w:tcW w:w="8840" w:type="dxa"/>
            <w:gridSpan w:val="8"/>
            <w:vAlign w:val="center"/>
          </w:tcPr>
          <w:p w14:paraId="6DBFCEDD">
            <w:pPr>
              <w:jc w:val="center"/>
            </w:pPr>
            <w:r>
              <w:rPr>
                <w:rFonts w:ascii="宋体" w:hAnsi="宋体" w:eastAsia="宋体"/>
                <w:sz w:val="24"/>
              </w:rPr>
              <w:t>单位整体支出绩效自评表</w:t>
            </w:r>
          </w:p>
        </w:tc>
      </w:tr>
      <w:tr w14:paraId="0FFE8D3B">
        <w:tblPrEx>
          <w:tblCellMar>
            <w:top w:w="0" w:type="dxa"/>
            <w:left w:w="108" w:type="dxa"/>
            <w:bottom w:w="0" w:type="dxa"/>
            <w:right w:w="108" w:type="dxa"/>
          </w:tblCellMar>
        </w:tblPrEx>
        <w:tc>
          <w:tcPr>
            <w:tcW w:w="8840" w:type="dxa"/>
            <w:gridSpan w:val="8"/>
            <w:vAlign w:val="center"/>
          </w:tcPr>
          <w:p w14:paraId="068DCEE8">
            <w:pPr>
              <w:jc w:val="center"/>
            </w:pPr>
            <w:r>
              <w:rPr>
                <w:rFonts w:ascii="宋体" w:hAnsi="宋体" w:eastAsia="宋体"/>
                <w:sz w:val="24"/>
              </w:rPr>
              <w:t>（2024年度）</w:t>
            </w:r>
          </w:p>
        </w:tc>
      </w:tr>
      <w:tr w14:paraId="4B9BAE1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46D6A">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40A056">
            <w:pPr>
              <w:jc w:val="center"/>
            </w:pPr>
            <w:r>
              <w:rPr>
                <w:rFonts w:ascii="宋体" w:hAnsi="宋体" w:eastAsia="宋体"/>
                <w:sz w:val="16"/>
              </w:rPr>
              <w:t>克孜勒苏柯尔克孜自治州歌舞团</w:t>
            </w:r>
          </w:p>
        </w:tc>
      </w:tr>
      <w:tr w14:paraId="224B2FF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468DE">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3867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E6B7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EE4630">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DE0D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BE6B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386D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ADA35">
            <w:pPr>
              <w:jc w:val="center"/>
            </w:pPr>
            <w:r>
              <w:rPr>
                <w:rFonts w:ascii="宋体" w:hAnsi="宋体" w:eastAsia="宋体"/>
                <w:sz w:val="16"/>
              </w:rPr>
              <w:t>得分</w:t>
            </w:r>
          </w:p>
        </w:tc>
      </w:tr>
      <w:tr w14:paraId="55DC3B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4C6C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D7539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48886">
            <w:pPr>
              <w:jc w:val="center"/>
            </w:pPr>
            <w:r>
              <w:rPr>
                <w:rFonts w:ascii="宋体" w:hAnsi="宋体" w:eastAsia="宋体"/>
                <w:sz w:val="16"/>
              </w:rPr>
              <w:t>1,086.68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25D0F9">
            <w:pPr>
              <w:jc w:val="center"/>
            </w:pPr>
            <w:r>
              <w:rPr>
                <w:rFonts w:ascii="宋体" w:hAnsi="宋体" w:eastAsia="宋体"/>
                <w:sz w:val="16"/>
              </w:rPr>
              <w:t>1,099.05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4C2BEA">
            <w:pPr>
              <w:jc w:val="center"/>
            </w:pPr>
            <w:r>
              <w:rPr>
                <w:rFonts w:ascii="宋体" w:hAnsi="宋体" w:eastAsia="宋体"/>
                <w:sz w:val="16"/>
              </w:rPr>
              <w:t>1,060.49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2EE0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A1DE5">
            <w:pPr>
              <w:jc w:val="center"/>
            </w:pPr>
            <w:r>
              <w:rPr>
                <w:rFonts w:ascii="宋体" w:hAnsi="宋体" w:eastAsia="宋体"/>
                <w:sz w:val="16"/>
              </w:rPr>
              <w:t>96.49%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43DE9">
            <w:pPr>
              <w:jc w:val="center"/>
              <w:rPr>
                <w:rFonts w:hint="default" w:eastAsia="宋体"/>
                <w:lang w:val="en-US"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6</w:t>
            </w:r>
            <w:r>
              <w:rPr>
                <w:rFonts w:hint="eastAsia" w:ascii="宋体" w:hAnsi="宋体"/>
                <w:sz w:val="16"/>
                <w:lang w:val="en-US" w:eastAsia="zh-CN"/>
              </w:rPr>
              <w:t>5分</w:t>
            </w:r>
          </w:p>
        </w:tc>
      </w:tr>
      <w:tr w14:paraId="38A375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C8B9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C843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E1EB7">
            <w:pPr>
              <w:jc w:val="center"/>
            </w:pPr>
            <w:r>
              <w:rPr>
                <w:rFonts w:ascii="宋体" w:hAnsi="宋体" w:eastAsia="宋体"/>
                <w:sz w:val="16"/>
              </w:rPr>
              <w:t>6.17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FC2DB7">
            <w:pPr>
              <w:jc w:val="center"/>
            </w:pPr>
            <w:r>
              <w:rPr>
                <w:rFonts w:ascii="宋体" w:hAnsi="宋体" w:eastAsia="宋体"/>
                <w:sz w:val="16"/>
              </w:rPr>
              <w:t>58.78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F336C">
            <w:pPr>
              <w:jc w:val="center"/>
            </w:pPr>
            <w:r>
              <w:rPr>
                <w:rFonts w:ascii="宋体" w:hAnsi="宋体" w:eastAsia="宋体"/>
                <w:sz w:val="16"/>
              </w:rPr>
              <w:t>58.78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7A43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8BD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B9220">
            <w:pPr>
              <w:jc w:val="center"/>
            </w:pPr>
            <w:r>
              <w:rPr>
                <w:rFonts w:ascii="宋体" w:hAnsi="宋体" w:eastAsia="宋体"/>
                <w:sz w:val="16"/>
              </w:rPr>
              <w:t>—</w:t>
            </w:r>
          </w:p>
        </w:tc>
      </w:tr>
      <w:tr w14:paraId="450682B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BD8C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F3850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08B6B">
            <w:pPr>
              <w:jc w:val="center"/>
            </w:pPr>
            <w:r>
              <w:rPr>
                <w:rFonts w:ascii="宋体" w:hAnsi="宋体" w:eastAsia="宋体"/>
                <w:sz w:val="16"/>
              </w:rPr>
              <w:t>987.46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47876">
            <w:pPr>
              <w:jc w:val="center"/>
            </w:pPr>
            <w:r>
              <w:rPr>
                <w:rFonts w:ascii="宋体" w:hAnsi="宋体" w:eastAsia="宋体"/>
                <w:sz w:val="16"/>
              </w:rPr>
              <w:t>997.72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4C0C7C">
            <w:pPr>
              <w:jc w:val="center"/>
            </w:pPr>
            <w:r>
              <w:rPr>
                <w:rFonts w:ascii="宋体" w:hAnsi="宋体" w:eastAsia="宋体"/>
                <w:sz w:val="16"/>
              </w:rPr>
              <w:t>997.72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FEBB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178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7227B">
            <w:pPr>
              <w:jc w:val="center"/>
            </w:pPr>
            <w:r>
              <w:rPr>
                <w:rFonts w:ascii="宋体" w:hAnsi="宋体" w:eastAsia="宋体"/>
                <w:sz w:val="16"/>
              </w:rPr>
              <w:t>—</w:t>
            </w:r>
          </w:p>
        </w:tc>
      </w:tr>
      <w:tr w14:paraId="6B553E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24DFB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2AC2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7CA9A">
            <w:pPr>
              <w:jc w:val="center"/>
            </w:pPr>
            <w:r>
              <w:rPr>
                <w:rFonts w:ascii="宋体" w:hAnsi="宋体" w:eastAsia="宋体"/>
                <w:sz w:val="16"/>
              </w:rPr>
              <w:t>93.05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BE804">
            <w:pPr>
              <w:jc w:val="center"/>
            </w:pPr>
            <w:r>
              <w:rPr>
                <w:rFonts w:ascii="宋体" w:hAnsi="宋体" w:eastAsia="宋体"/>
                <w:sz w:val="16"/>
              </w:rPr>
              <w:t>42.55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019CC">
            <w:pPr>
              <w:jc w:val="center"/>
            </w:pPr>
            <w:r>
              <w:rPr>
                <w:rFonts w:ascii="宋体" w:hAnsi="宋体" w:eastAsia="宋体"/>
                <w:sz w:val="16"/>
              </w:rPr>
              <w:t>3.99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F921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E1C5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BACE2A">
            <w:pPr>
              <w:jc w:val="center"/>
            </w:pPr>
            <w:r>
              <w:rPr>
                <w:rFonts w:ascii="宋体" w:hAnsi="宋体" w:eastAsia="宋体"/>
                <w:sz w:val="16"/>
              </w:rPr>
              <w:t>—</w:t>
            </w:r>
          </w:p>
        </w:tc>
      </w:tr>
      <w:tr w14:paraId="2E6F8A3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82AB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5AFC9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7E6D09">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6B1DA4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507EA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37DAB1">
            <w:pPr>
              <w:jc w:val="both"/>
            </w:pPr>
            <w:r>
              <w:rPr>
                <w:rFonts w:ascii="宋体" w:hAnsi="宋体" w:eastAsia="宋体"/>
                <w:sz w:val="16"/>
              </w:rPr>
              <w:t>1.始终坚持党管文艺原则，牢牢把握正确的政治方向，充分发挥文艺的引领作用</w:t>
            </w:r>
            <w:r>
              <w:rPr>
                <w:rFonts w:ascii="宋体" w:hAnsi="宋体" w:eastAsia="宋体"/>
                <w:sz w:val="16"/>
              </w:rPr>
              <w:br w:type="textWrapping"/>
            </w:r>
            <w:r>
              <w:rPr>
                <w:rFonts w:ascii="宋体" w:hAnsi="宋体" w:eastAsia="宋体"/>
                <w:sz w:val="16"/>
              </w:rPr>
              <w:t>2.“我们的中国梦--文化进万家”、 石榴籽文艺小分队结合文化惠民专场演出与巩固脱贫攻坚、乡村振兴工作，在各县（市、区）内各个乡镇、街道至少开展一场活动，基本实现文化惠民活动全覆盖</w:t>
            </w:r>
            <w:r>
              <w:rPr>
                <w:rFonts w:ascii="宋体" w:hAnsi="宋体" w:eastAsia="宋体"/>
                <w:sz w:val="16"/>
              </w:rPr>
              <w:br w:type="textWrapping"/>
            </w:r>
            <w:r>
              <w:rPr>
                <w:rFonts w:ascii="宋体" w:hAnsi="宋体" w:eastAsia="宋体"/>
                <w:sz w:val="16"/>
              </w:rPr>
              <w:t>3.深入实施文化润疆工程和文艺精品战略，保护传承世界非物质文化遗产，歌舞剧《玛纳斯》将赴全国各地尤其是援疆等地展演</w:t>
            </w:r>
            <w:r>
              <w:rPr>
                <w:rFonts w:ascii="宋体" w:hAnsi="宋体" w:eastAsia="宋体"/>
                <w:sz w:val="16"/>
              </w:rPr>
              <w:br w:type="textWrapping"/>
            </w:r>
            <w:r>
              <w:rPr>
                <w:rFonts w:ascii="宋体" w:hAnsi="宋体" w:eastAsia="宋体"/>
                <w:sz w:val="16"/>
              </w:rPr>
              <w:t>4.“红色文艺轻骑兵”小分队走进我州的各个贫困乡镇，为各族群众提供更加方便、快捷、优质、高效的公共文化服务，充分发挥文化引领风尚、教育人民、服务社会、推进发展的作用，以现代文化为引领，引导各族群众崇尚文明健康时尚的生活方式，让各族群众在家门口享受到一场文化大餐</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358536">
            <w:pPr>
              <w:jc w:val="both"/>
            </w:pPr>
            <w:r>
              <w:rPr>
                <w:rFonts w:ascii="宋体" w:hAnsi="宋体" w:eastAsia="宋体"/>
                <w:sz w:val="16"/>
              </w:rPr>
              <w:t>截至2024年12月31日，　　以群众性的舞台艺术的形式，展现克州经济发展取得的辉煌成就，展现各族群众团结一致，奋发有为，积极向上，共建美好家园的精神风貌，在克州文化中心上演一场，为全州各族群众呈现一台精彩纷呈的文化盛宴；通过惠民演出，把文化惠民活动惠及克州的各项文化旅游活动中，充分</w:t>
            </w:r>
            <w:r>
              <w:rPr>
                <w:rFonts w:hint="eastAsia" w:ascii="宋体" w:hAnsi="宋体"/>
                <w:sz w:val="16"/>
                <w:lang w:eastAsia="zh-CN"/>
              </w:rPr>
              <w:t>地</w:t>
            </w:r>
            <w:r>
              <w:rPr>
                <w:rFonts w:ascii="宋体" w:hAnsi="宋体" w:eastAsia="宋体"/>
                <w:sz w:val="16"/>
              </w:rPr>
              <w:t>满足了各族群众对精神文化生活的需求，极大地调动了人民群众参与文化活动的积极性；在江苏援克指挥部的倾情支持下，克州歌舞团联合各方力量，在整理已有民族史诗《玛纳斯》资料基础上，融入现代文化元素，歌舞兼备，叙事抒情，以玛纳斯一生中诞生，结盟，大婚，远行，回归5个节点为重点，通过动人的情节和优美的语言，生动讲述了英雄玛纳斯及其七代子孙前仆后继，保卫美好家园的故事；传达学习“文化润疆”相关理论知识，民间舞蹈教学，音乐演奏技巧，歌唱技法等。通过以上工作的实施，保障了我单位58名职工的工资、福利及社保正常发放及缴纳，确保民生工作落实到位；保障我单位1辆公务用车的运行及维护，保障单位各项工作的正常运转，确保机构运转正常。</w:t>
            </w:r>
          </w:p>
        </w:tc>
      </w:tr>
      <w:tr w14:paraId="419F249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84B8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868B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EB05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A2F5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52D9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8340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65AA3">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40AF2">
            <w:pPr>
              <w:jc w:val="center"/>
            </w:pPr>
            <w:r>
              <w:rPr>
                <w:rFonts w:ascii="宋体" w:hAnsi="宋体" w:eastAsia="宋体"/>
                <w:sz w:val="16"/>
              </w:rPr>
              <w:t>得分</w:t>
            </w:r>
          </w:p>
        </w:tc>
      </w:tr>
      <w:tr w14:paraId="45C1B1B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22BE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FB21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90A34">
            <w:pPr>
              <w:jc w:val="center"/>
            </w:pPr>
            <w:r>
              <w:rPr>
                <w:rFonts w:ascii="宋体" w:hAnsi="宋体" w:eastAsia="宋体"/>
                <w:sz w:val="16"/>
              </w:rPr>
              <w:t>举办2024年克州春节联欢晚会（场）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3E85F">
            <w:pPr>
              <w:jc w:val="center"/>
            </w:pPr>
            <w:r>
              <w:rPr>
                <w:rFonts w:ascii="宋体" w:hAnsi="宋体" w:eastAsia="宋体"/>
                <w:sz w:val="16"/>
              </w:rPr>
              <w: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1E6D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2C83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4F4BB5">
            <w:pPr>
              <w:jc w:val="center"/>
            </w:pPr>
            <w:r>
              <w:rPr>
                <w:rFonts w:ascii="宋体" w:hAnsi="宋体" w:eastAsia="宋体"/>
                <w:sz w:val="16"/>
              </w:rPr>
              <w: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E7BED">
            <w:pPr>
              <w:jc w:val="center"/>
            </w:pPr>
            <w:r>
              <w:rPr>
                <w:rFonts w:ascii="宋体" w:hAnsi="宋体" w:eastAsia="宋体"/>
                <w:sz w:val="16"/>
              </w:rPr>
              <w:t>20</w:t>
            </w:r>
          </w:p>
        </w:tc>
      </w:tr>
      <w:tr w14:paraId="3034C04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13796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872FC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B8149">
            <w:pPr>
              <w:jc w:val="center"/>
            </w:pPr>
            <w:r>
              <w:rPr>
                <w:rFonts w:ascii="宋体" w:hAnsi="宋体" w:eastAsia="宋体"/>
                <w:sz w:val="16"/>
              </w:rPr>
              <w:t>石榴籽文艺小分队文化惠民专场演出（场次）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59D51">
            <w:pPr>
              <w:jc w:val="center"/>
            </w:pPr>
            <w:r>
              <w:rPr>
                <w:rFonts w:ascii="宋体" w:hAnsi="宋体" w:eastAsia="宋体"/>
                <w:sz w:val="16"/>
              </w:rPr>
              <w:t>&gt;=30场次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B7D1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DB16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E2304">
            <w:pPr>
              <w:jc w:val="center"/>
            </w:pPr>
            <w:r>
              <w:rPr>
                <w:rFonts w:ascii="宋体" w:hAnsi="宋体" w:eastAsia="宋体"/>
                <w:sz w:val="16"/>
              </w:rPr>
              <w:t>30场次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1184B">
            <w:pPr>
              <w:jc w:val="center"/>
            </w:pPr>
            <w:r>
              <w:rPr>
                <w:rFonts w:ascii="宋体" w:hAnsi="宋体" w:eastAsia="宋体"/>
                <w:sz w:val="16"/>
              </w:rPr>
              <w:t>20</w:t>
            </w:r>
          </w:p>
        </w:tc>
      </w:tr>
      <w:tr w14:paraId="151BAB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B3404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0B13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FBD57">
            <w:pPr>
              <w:jc w:val="center"/>
            </w:pPr>
            <w:r>
              <w:rPr>
                <w:rFonts w:ascii="宋体" w:hAnsi="宋体" w:eastAsia="宋体"/>
                <w:sz w:val="16"/>
              </w:rPr>
              <w:t>江苏省文化润疆项目大型歌舞剧《玛纳斯》巡演（场次））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78316">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D905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3602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CBF6C">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95154">
            <w:pPr>
              <w:jc w:val="center"/>
            </w:pPr>
            <w:r>
              <w:rPr>
                <w:rFonts w:ascii="宋体" w:hAnsi="宋体" w:eastAsia="宋体"/>
                <w:sz w:val="16"/>
              </w:rPr>
              <w:t>30</w:t>
            </w:r>
          </w:p>
        </w:tc>
      </w:tr>
      <w:tr w14:paraId="1E8D76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EA88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9315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3A8E1">
            <w:pPr>
              <w:jc w:val="center"/>
            </w:pPr>
            <w:r>
              <w:rPr>
                <w:rFonts w:ascii="宋体" w:hAnsi="宋体" w:eastAsia="宋体"/>
                <w:sz w:val="16"/>
              </w:rPr>
              <w:t>“红色文艺轻骑兵”小分队文艺下基层演出场次（场次）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59DD0">
            <w:pPr>
              <w:jc w:val="center"/>
            </w:pPr>
            <w:r>
              <w:rPr>
                <w:rFonts w:ascii="宋体" w:hAnsi="宋体" w:eastAsia="宋体"/>
                <w:sz w:val="16"/>
              </w:rPr>
              <w:t>&gt;=10场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83F0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B613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95F58">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610FF">
            <w:pPr>
              <w:jc w:val="center"/>
            </w:pPr>
            <w:r>
              <w:rPr>
                <w:rFonts w:ascii="宋体" w:hAnsi="宋体" w:eastAsia="宋体"/>
                <w:sz w:val="16"/>
              </w:rPr>
              <w:t>20</w:t>
            </w:r>
          </w:p>
        </w:tc>
      </w:tr>
    </w:tbl>
    <w:p w14:paraId="3FB809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87053C0">
        <w:tblPrEx>
          <w:tblCellMar>
            <w:top w:w="0" w:type="dxa"/>
            <w:left w:w="108" w:type="dxa"/>
            <w:bottom w:w="0" w:type="dxa"/>
            <w:right w:w="108" w:type="dxa"/>
          </w:tblCellMar>
        </w:tblPrEx>
        <w:tc>
          <w:tcPr>
            <w:tcW w:w="8912" w:type="dxa"/>
            <w:gridSpan w:val="14"/>
            <w:vAlign w:val="center"/>
          </w:tcPr>
          <w:p w14:paraId="49B2017F">
            <w:pPr>
              <w:jc w:val="center"/>
            </w:pPr>
            <w:r>
              <w:rPr>
                <w:rFonts w:ascii="宋体" w:hAnsi="宋体" w:eastAsia="宋体"/>
                <w:sz w:val="24"/>
              </w:rPr>
              <w:t>项目支出绩效自评表</w:t>
            </w:r>
          </w:p>
        </w:tc>
      </w:tr>
      <w:tr w14:paraId="66D9FD39">
        <w:tblPrEx>
          <w:tblCellMar>
            <w:top w:w="0" w:type="dxa"/>
            <w:left w:w="108" w:type="dxa"/>
            <w:bottom w:w="0" w:type="dxa"/>
            <w:right w:w="108" w:type="dxa"/>
          </w:tblCellMar>
        </w:tblPrEx>
        <w:tc>
          <w:tcPr>
            <w:tcW w:w="8912" w:type="dxa"/>
            <w:gridSpan w:val="14"/>
            <w:vAlign w:val="center"/>
          </w:tcPr>
          <w:p w14:paraId="76BE7F4D">
            <w:pPr>
              <w:jc w:val="center"/>
            </w:pPr>
            <w:r>
              <w:rPr>
                <w:rFonts w:ascii="宋体" w:hAnsi="宋体" w:eastAsia="宋体"/>
                <w:sz w:val="24"/>
              </w:rPr>
              <w:t>(2024年度)</w:t>
            </w:r>
          </w:p>
        </w:tc>
      </w:tr>
      <w:tr w14:paraId="0C75F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670F">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FB3415">
            <w:pPr>
              <w:jc w:val="center"/>
            </w:pPr>
            <w:r>
              <w:rPr>
                <w:rFonts w:ascii="宋体" w:hAnsi="宋体" w:eastAsia="宋体"/>
                <w:sz w:val="16"/>
              </w:rPr>
              <w:t>2024年文化人才专项经费</w:t>
            </w:r>
          </w:p>
        </w:tc>
      </w:tr>
      <w:tr w14:paraId="07E30E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5537">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D80D6">
            <w:pPr>
              <w:jc w:val="center"/>
            </w:pPr>
            <w:r>
              <w:rPr>
                <w:rFonts w:ascii="宋体" w:hAnsi="宋体" w:eastAsia="宋体"/>
                <w:sz w:val="16"/>
              </w:rPr>
              <w:t>克孜勒苏柯尔克孜自治州歌舞团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F6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0B3FF0">
            <w:pPr>
              <w:jc w:val="center"/>
            </w:pPr>
            <w:r>
              <w:rPr>
                <w:rFonts w:ascii="宋体" w:hAnsi="宋体" w:eastAsia="宋体"/>
                <w:sz w:val="16"/>
              </w:rPr>
              <w:t>克孜勒苏柯尔克孜自治州歌舞团</w:t>
            </w:r>
          </w:p>
        </w:tc>
      </w:tr>
      <w:tr w14:paraId="1FDD73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3CA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FD9F9">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8FC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B57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BC5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E9A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E78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D7C3">
            <w:pPr>
              <w:jc w:val="center"/>
            </w:pPr>
            <w:r>
              <w:rPr>
                <w:rFonts w:ascii="宋体" w:hAnsi="宋体" w:eastAsia="宋体"/>
                <w:sz w:val="16"/>
              </w:rPr>
              <w:t>得分</w:t>
            </w:r>
          </w:p>
        </w:tc>
      </w:tr>
      <w:tr w14:paraId="4C068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9AE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9244">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4C606">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79F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B08C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2A6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D94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F617">
            <w:pPr>
              <w:jc w:val="center"/>
            </w:pPr>
            <w:r>
              <w:rPr>
                <w:rFonts w:ascii="宋体" w:hAnsi="宋体" w:eastAsia="宋体"/>
                <w:sz w:val="16"/>
              </w:rPr>
              <w:t>10.00分</w:t>
            </w:r>
          </w:p>
        </w:tc>
      </w:tr>
      <w:tr w14:paraId="576E9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B9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E2E2E">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D6C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C30C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17C7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052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3E0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0212">
            <w:pPr>
              <w:jc w:val="center"/>
            </w:pPr>
            <w:r>
              <w:rPr>
                <w:rFonts w:ascii="宋体" w:hAnsi="宋体" w:eastAsia="宋体"/>
                <w:sz w:val="16"/>
              </w:rPr>
              <w:t>—</w:t>
            </w:r>
          </w:p>
        </w:tc>
      </w:tr>
      <w:tr w14:paraId="3AEBC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6BD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409A5">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C5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12E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0B9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F09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7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6EAF">
            <w:pPr>
              <w:jc w:val="center"/>
            </w:pPr>
            <w:r>
              <w:rPr>
                <w:rFonts w:ascii="宋体" w:hAnsi="宋体" w:eastAsia="宋体"/>
                <w:sz w:val="16"/>
              </w:rPr>
              <w:t>—</w:t>
            </w:r>
          </w:p>
        </w:tc>
      </w:tr>
      <w:tr w14:paraId="30F1D1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8CE1C">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D24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4D4389">
            <w:pPr>
              <w:jc w:val="center"/>
            </w:pPr>
            <w:r>
              <w:rPr>
                <w:rFonts w:ascii="宋体" w:hAnsi="宋体" w:eastAsia="宋体"/>
                <w:sz w:val="16"/>
              </w:rPr>
              <w:t>实际完成情况</w:t>
            </w:r>
          </w:p>
        </w:tc>
      </w:tr>
      <w:tr w14:paraId="67D63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7C27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3BAC9">
            <w:pPr>
              <w:jc w:val="both"/>
            </w:pPr>
            <w:r>
              <w:rPr>
                <w:rFonts w:ascii="宋体" w:hAnsi="宋体" w:eastAsia="宋体"/>
                <w:sz w:val="16"/>
              </w:rPr>
              <w:t>中央2024年文化人才专项经费项目资金为6万元，主要是贯彻党和国家有关文化艺术，主要用于支持自治区各级文化和旅游单位，县市选派文化工作者深入基层提供文化服务，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3587E7">
            <w:pPr>
              <w:jc w:val="both"/>
            </w:pPr>
            <w:r>
              <w:rPr>
                <w:rFonts w:hint="eastAsia" w:ascii="宋体" w:hAnsi="宋体"/>
                <w:sz w:val="16"/>
                <w:lang w:eastAsia="zh-CN"/>
              </w:rPr>
              <w:t>截至2024</w:t>
            </w:r>
            <w:r>
              <w:rPr>
                <w:rFonts w:ascii="宋体" w:hAnsi="宋体" w:eastAsia="宋体"/>
                <w:sz w:val="16"/>
              </w:rPr>
              <w:t>年12月31日止，已完成：保障车辆数2辆，选派文化旅游工作者服务基层10人，开展培训次数4次，主要是贯彻党和国家有关文化艺术，主要用于支持自治区各级文化和旅游单位，县市选派文化工作者深入基层提供文化服务，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w:t>
            </w:r>
          </w:p>
        </w:tc>
      </w:tr>
      <w:tr w14:paraId="4CAB58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73D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26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257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B1DA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37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91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06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6E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3D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C9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87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6E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088C5">
            <w:pPr>
              <w:jc w:val="center"/>
            </w:pPr>
            <w:r>
              <w:rPr>
                <w:rFonts w:ascii="宋体" w:hAnsi="宋体" w:eastAsia="宋体"/>
                <w:sz w:val="16"/>
              </w:rPr>
              <w:t>偏差原因分析及改进措施</w:t>
            </w:r>
          </w:p>
        </w:tc>
      </w:tr>
      <w:tr w14:paraId="24A901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8A9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733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6FEE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82BE32">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4817">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4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1B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7F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9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D4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3C1A">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E7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86ED">
            <w:pPr>
              <w:jc w:val="center"/>
            </w:pPr>
          </w:p>
        </w:tc>
      </w:tr>
      <w:tr w14:paraId="7BFC9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49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7F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FD22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15503D">
            <w:pPr>
              <w:jc w:val="center"/>
            </w:pPr>
            <w:r>
              <w:rPr>
                <w:rFonts w:ascii="宋体" w:hAnsi="宋体" w:eastAsia="宋体"/>
                <w:sz w:val="16"/>
              </w:rPr>
              <w:t>选派文化旅游工作者服务基层（人）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C9F8">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7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CA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39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D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2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DAE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0A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3B474">
            <w:pPr>
              <w:jc w:val="center"/>
            </w:pPr>
          </w:p>
        </w:tc>
      </w:tr>
      <w:tr w14:paraId="09782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A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7A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B0A3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71427E">
            <w:pPr>
              <w:jc w:val="center"/>
            </w:pPr>
            <w:r>
              <w:rPr>
                <w:rFonts w:ascii="宋体" w:hAnsi="宋体" w:eastAsia="宋体"/>
                <w:sz w:val="16"/>
              </w:rPr>
              <w:t>开展培训次数（次）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D914">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5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DE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F7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7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E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6B2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22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BA31">
            <w:pPr>
              <w:jc w:val="center"/>
            </w:pPr>
          </w:p>
        </w:tc>
      </w:tr>
      <w:tr w14:paraId="5F9CC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03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C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227C">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64E990">
            <w:pPr>
              <w:jc w:val="center"/>
            </w:pPr>
            <w:r>
              <w:rPr>
                <w:rFonts w:ascii="宋体" w:hAnsi="宋体" w:eastAsia="宋体"/>
                <w:sz w:val="16"/>
              </w:rPr>
              <w:t>文化艺术普及宣传人口覆盖率（%）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4A2A">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D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F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83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8C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5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2FD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71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3F3A">
            <w:pPr>
              <w:jc w:val="center"/>
            </w:pPr>
          </w:p>
        </w:tc>
      </w:tr>
      <w:tr w14:paraId="0CE61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0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42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775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958E34">
            <w:pPr>
              <w:jc w:val="center"/>
            </w:pPr>
            <w:r>
              <w:rPr>
                <w:rFonts w:ascii="宋体" w:hAnsi="宋体" w:eastAsia="宋体"/>
                <w:sz w:val="16"/>
              </w:rPr>
              <w:t>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90F9">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9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5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05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A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B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BBB9">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39E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576F0">
            <w:pPr>
              <w:jc w:val="center"/>
            </w:pPr>
          </w:p>
        </w:tc>
      </w:tr>
      <w:tr w14:paraId="067CC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5AB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95D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C86B4">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9B3C8F">
            <w:pPr>
              <w:jc w:val="center"/>
            </w:pPr>
            <w:r>
              <w:rPr>
                <w:rFonts w:ascii="宋体" w:hAnsi="宋体" w:eastAsia="宋体"/>
                <w:sz w:val="16"/>
              </w:rPr>
              <w:t>文化工作者住宿费（万元）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F9D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EE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F8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D7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38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4E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854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315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3647">
            <w:pPr>
              <w:jc w:val="center"/>
            </w:pPr>
          </w:p>
        </w:tc>
      </w:tr>
      <w:tr w14:paraId="181FC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B7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46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4076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B0A710">
            <w:pPr>
              <w:jc w:val="center"/>
            </w:pPr>
            <w:r>
              <w:rPr>
                <w:rFonts w:ascii="宋体" w:hAnsi="宋体" w:eastAsia="宋体"/>
                <w:sz w:val="16"/>
              </w:rPr>
              <w:t>文艺工作者差旅费（万元）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634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31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93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66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8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0A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5C7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D18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C0520">
            <w:pPr>
              <w:jc w:val="center"/>
            </w:pPr>
          </w:p>
        </w:tc>
      </w:tr>
      <w:tr w14:paraId="1D945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06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E5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C936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7A6A6E">
            <w:pPr>
              <w:jc w:val="center"/>
            </w:pPr>
            <w:r>
              <w:rPr>
                <w:rFonts w:ascii="宋体" w:hAnsi="宋体" w:eastAsia="宋体"/>
                <w:sz w:val="16"/>
              </w:rPr>
              <w:t>演出车辆加油费（万元）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A50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C0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51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48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B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81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CBD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BAC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523BC">
            <w:pPr>
              <w:jc w:val="center"/>
            </w:pPr>
          </w:p>
        </w:tc>
      </w:tr>
      <w:tr w14:paraId="43052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D9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53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0B84">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50DA10">
            <w:pPr>
              <w:jc w:val="center"/>
            </w:pPr>
            <w:r>
              <w:rPr>
                <w:rFonts w:ascii="宋体" w:hAnsi="宋体" w:eastAsia="宋体"/>
                <w:sz w:val="16"/>
              </w:rPr>
              <w:t>选派文化旅游工作者服务基层对基层文化旅游事业发展的作用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25A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9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B1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B3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AC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77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531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38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12FD">
            <w:pPr>
              <w:jc w:val="center"/>
            </w:pPr>
          </w:p>
        </w:tc>
      </w:tr>
      <w:tr w14:paraId="34B8D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89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9B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D9F9">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F5B6F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91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1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16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B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94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E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F4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26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C28F8">
            <w:pPr>
              <w:jc w:val="center"/>
            </w:pPr>
            <w:r>
              <w:rPr>
                <w:rFonts w:ascii="宋体" w:hAnsi="宋体" w:eastAsia="宋体"/>
                <w:sz w:val="16"/>
              </w:rPr>
              <w:t>偏差原因：该项目2024年已完成工作。继续努力做好群众满意度改进措施按时</w:t>
            </w:r>
          </w:p>
        </w:tc>
      </w:tr>
      <w:tr w14:paraId="62B73C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DE59">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E4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109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C003C9">
            <w:pPr>
              <w:jc w:val="center"/>
            </w:pPr>
            <w:r>
              <w:rPr>
                <w:rFonts w:ascii="宋体" w:hAnsi="宋体" w:eastAsia="宋体"/>
                <w:sz w:val="16"/>
              </w:rPr>
              <w:t>100分</w:t>
            </w:r>
          </w:p>
        </w:tc>
      </w:tr>
    </w:tbl>
    <w:p w14:paraId="24D67916">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96"/>
        <w:gridCol w:w="626"/>
        <w:gridCol w:w="626"/>
        <w:gridCol w:w="626"/>
        <w:gridCol w:w="626"/>
        <w:gridCol w:w="626"/>
        <w:gridCol w:w="776"/>
        <w:gridCol w:w="631"/>
        <w:gridCol w:w="618"/>
        <w:gridCol w:w="631"/>
      </w:tblGrid>
      <w:tr w14:paraId="5B32387E">
        <w:tblPrEx>
          <w:tblCellMar>
            <w:top w:w="0" w:type="dxa"/>
            <w:left w:w="108" w:type="dxa"/>
            <w:bottom w:w="0" w:type="dxa"/>
            <w:right w:w="108" w:type="dxa"/>
          </w:tblCellMar>
        </w:tblPrEx>
        <w:tc>
          <w:tcPr>
            <w:tcW w:w="8848" w:type="dxa"/>
            <w:gridSpan w:val="14"/>
            <w:vAlign w:val="center"/>
          </w:tcPr>
          <w:p w14:paraId="709EDA7B">
            <w:pPr>
              <w:jc w:val="center"/>
            </w:pPr>
            <w:r>
              <w:rPr>
                <w:rFonts w:ascii="宋体" w:hAnsi="宋体" w:eastAsia="宋体"/>
                <w:sz w:val="24"/>
              </w:rPr>
              <w:t>项目支出绩效自评表</w:t>
            </w:r>
          </w:p>
        </w:tc>
      </w:tr>
      <w:tr w14:paraId="398E8046">
        <w:tblPrEx>
          <w:tblCellMar>
            <w:top w:w="0" w:type="dxa"/>
            <w:left w:w="108" w:type="dxa"/>
            <w:bottom w:w="0" w:type="dxa"/>
            <w:right w:w="108" w:type="dxa"/>
          </w:tblCellMar>
        </w:tblPrEx>
        <w:tc>
          <w:tcPr>
            <w:tcW w:w="8848" w:type="dxa"/>
            <w:gridSpan w:val="14"/>
            <w:vAlign w:val="center"/>
          </w:tcPr>
          <w:p w14:paraId="5CB0B1F0">
            <w:pPr>
              <w:jc w:val="center"/>
            </w:pPr>
            <w:r>
              <w:rPr>
                <w:rFonts w:ascii="宋体" w:hAnsi="宋体" w:eastAsia="宋体"/>
                <w:sz w:val="24"/>
              </w:rPr>
              <w:t>(2024年度)</w:t>
            </w:r>
          </w:p>
        </w:tc>
      </w:tr>
      <w:tr w14:paraId="6ECA99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07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E5A89D">
            <w:pPr>
              <w:jc w:val="center"/>
            </w:pPr>
            <w:r>
              <w:rPr>
                <w:rFonts w:ascii="宋体" w:hAnsi="宋体" w:eastAsia="宋体"/>
                <w:sz w:val="16"/>
              </w:rPr>
              <w:t>关于拨付下达2023年自治区旅游发展专项资金</w:t>
            </w:r>
          </w:p>
        </w:tc>
      </w:tr>
      <w:tr w14:paraId="16CE5C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55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28ADB0">
            <w:pPr>
              <w:jc w:val="center"/>
            </w:pPr>
            <w:r>
              <w:rPr>
                <w:rFonts w:ascii="宋体" w:hAnsi="宋体" w:eastAsia="宋体"/>
                <w:sz w:val="16"/>
              </w:rPr>
              <w:t>克孜勒苏柯尔克孜自治州歌舞团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2E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6461F">
            <w:pPr>
              <w:jc w:val="center"/>
            </w:pPr>
            <w:r>
              <w:rPr>
                <w:rFonts w:ascii="宋体" w:hAnsi="宋体" w:eastAsia="宋体"/>
                <w:sz w:val="16"/>
              </w:rPr>
              <w:t>克孜勒苏柯尔克孜自治州歌舞团</w:t>
            </w:r>
          </w:p>
        </w:tc>
      </w:tr>
      <w:tr w14:paraId="7C818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9FE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A49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FB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99A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DA7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372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05E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8121">
            <w:pPr>
              <w:jc w:val="center"/>
            </w:pPr>
            <w:r>
              <w:rPr>
                <w:rFonts w:ascii="宋体" w:hAnsi="宋体" w:eastAsia="宋体"/>
                <w:sz w:val="16"/>
              </w:rPr>
              <w:t>得分</w:t>
            </w:r>
          </w:p>
        </w:tc>
      </w:tr>
      <w:tr w14:paraId="65EDB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2E7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E6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D812B">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255D2">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A05D">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1B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04CA">
            <w:pPr>
              <w:jc w:val="center"/>
            </w:pPr>
            <w:r>
              <w:rPr>
                <w:rFonts w:ascii="宋体" w:hAnsi="宋体" w:eastAsia="宋体"/>
                <w:sz w:val="16"/>
              </w:rPr>
              <w:t>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A743">
            <w:pPr>
              <w:jc w:val="center"/>
            </w:pPr>
            <w:r>
              <w:rPr>
                <w:rFonts w:ascii="宋体" w:hAnsi="宋体" w:eastAsia="宋体"/>
                <w:sz w:val="16"/>
              </w:rPr>
              <w:t>7.06分</w:t>
            </w:r>
          </w:p>
        </w:tc>
      </w:tr>
      <w:tr w14:paraId="24B08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092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932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2FBC4">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39188">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7A37">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53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69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146C">
            <w:pPr>
              <w:jc w:val="center"/>
            </w:pPr>
            <w:r>
              <w:rPr>
                <w:rFonts w:ascii="宋体" w:hAnsi="宋体" w:eastAsia="宋体"/>
                <w:sz w:val="16"/>
              </w:rPr>
              <w:t>—</w:t>
            </w:r>
          </w:p>
        </w:tc>
      </w:tr>
      <w:tr w14:paraId="423B6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6D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DD7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CD6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FDB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E8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52F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57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3376">
            <w:pPr>
              <w:jc w:val="center"/>
            </w:pPr>
            <w:r>
              <w:rPr>
                <w:rFonts w:ascii="宋体" w:hAnsi="宋体" w:eastAsia="宋体"/>
                <w:sz w:val="16"/>
              </w:rPr>
              <w:t>—</w:t>
            </w:r>
          </w:p>
        </w:tc>
      </w:tr>
      <w:tr w14:paraId="54C3BB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0A6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9FD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2D3B3">
            <w:pPr>
              <w:jc w:val="center"/>
            </w:pPr>
            <w:r>
              <w:rPr>
                <w:rFonts w:ascii="宋体" w:hAnsi="宋体" w:eastAsia="宋体"/>
                <w:sz w:val="16"/>
              </w:rPr>
              <w:t>实际完成情况</w:t>
            </w:r>
          </w:p>
        </w:tc>
      </w:tr>
      <w:tr w14:paraId="61581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5E4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3AE94">
            <w:pPr>
              <w:jc w:val="both"/>
            </w:pPr>
            <w:r>
              <w:rPr>
                <w:rFonts w:ascii="宋体" w:hAnsi="宋体" w:eastAsia="宋体"/>
                <w:sz w:val="16"/>
              </w:rPr>
              <w:t>自治区旅游发展资金项目资金为5万元，2023年结转资金0.17万元，主要是贯彻党和国家有关文化艺术，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71F86">
            <w:pPr>
              <w:jc w:val="both"/>
            </w:pPr>
            <w:r>
              <w:rPr>
                <w:rFonts w:hint="eastAsia" w:ascii="宋体" w:hAnsi="宋体"/>
                <w:sz w:val="16"/>
                <w:lang w:eastAsia="zh-CN"/>
              </w:rPr>
              <w:t>截至2024</w:t>
            </w:r>
            <w:r>
              <w:rPr>
                <w:rFonts w:ascii="宋体" w:hAnsi="宋体" w:eastAsia="宋体"/>
                <w:sz w:val="16"/>
              </w:rPr>
              <w:t>年12月31日止，总执行数为,0.15万元主要用保障车辆数2辆,保障演员人数（58人）主要是贯彻党和国家有关文化艺术，通过编排一台台精彩的文艺节目送到农牧民群众家门口，0.17万元丰富乡村文化生活，传播先进文化，树立和谐向上的文明新风，进一步满足人民群众日益增长的精神文化需求。通过设备采购以及办公场所维修来保障歌舞团的日常运转。达到丰富各族群众精神文化生活</w:t>
            </w:r>
          </w:p>
        </w:tc>
      </w:tr>
      <w:tr w14:paraId="242C6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56C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6F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C2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53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10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75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9A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4B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F9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9F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2C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49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CBF4">
            <w:pPr>
              <w:jc w:val="center"/>
            </w:pPr>
            <w:r>
              <w:rPr>
                <w:rFonts w:ascii="宋体" w:hAnsi="宋体" w:eastAsia="宋体"/>
                <w:sz w:val="16"/>
              </w:rPr>
              <w:t>偏差原因分析及改进措施</w:t>
            </w:r>
          </w:p>
        </w:tc>
      </w:tr>
      <w:tr w14:paraId="26D183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056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0A1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104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F1F4">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3D79">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7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AA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86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E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7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96D8">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96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7BF60">
            <w:pPr>
              <w:jc w:val="center"/>
            </w:pPr>
          </w:p>
        </w:tc>
      </w:tr>
      <w:tr w14:paraId="20E90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7C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5B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59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2D01">
            <w:pPr>
              <w:jc w:val="center"/>
            </w:pPr>
            <w:r>
              <w:rPr>
                <w:rFonts w:ascii="宋体" w:hAnsi="宋体" w:eastAsia="宋体"/>
                <w:sz w:val="16"/>
              </w:rPr>
              <w:t>保障演员人数（人）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2BC1">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2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E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61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1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8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8CAA">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12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55763">
            <w:pPr>
              <w:jc w:val="center"/>
            </w:pPr>
          </w:p>
        </w:tc>
      </w:tr>
      <w:tr w14:paraId="0BC6B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99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EC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D8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FCFE">
            <w:pPr>
              <w:jc w:val="center"/>
            </w:pPr>
            <w:r>
              <w:rPr>
                <w:rFonts w:ascii="宋体" w:hAnsi="宋体" w:eastAsia="宋体"/>
                <w:sz w:val="16"/>
              </w:rPr>
              <w:t>文化艺术普及宣传人口覆盖率（%）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E27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8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D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BD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6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4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2690">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89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B65E7">
            <w:pPr>
              <w:jc w:val="center"/>
            </w:pPr>
          </w:p>
        </w:tc>
      </w:tr>
      <w:tr w14:paraId="61F41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04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7B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D9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E9FB">
            <w:pPr>
              <w:jc w:val="center"/>
            </w:pPr>
            <w:r>
              <w:rPr>
                <w:rFonts w:ascii="宋体" w:hAnsi="宋体" w:eastAsia="宋体"/>
                <w:sz w:val="16"/>
              </w:rPr>
              <w:t>文化艺术普及宣传活动完成率（%）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2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F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51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06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1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0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4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04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162E0">
            <w:pPr>
              <w:jc w:val="center"/>
            </w:pPr>
          </w:p>
        </w:tc>
      </w:tr>
      <w:tr w14:paraId="1719C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48E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D45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186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9B51">
            <w:pPr>
              <w:jc w:val="center"/>
            </w:pPr>
            <w:r>
              <w:rPr>
                <w:rFonts w:ascii="宋体" w:hAnsi="宋体" w:eastAsia="宋体"/>
                <w:sz w:val="16"/>
              </w:rPr>
              <w:t>演出保障经费（万元）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871F">
            <w:pPr>
              <w:jc w:val="center"/>
            </w:pPr>
            <w:r>
              <w:rPr>
                <w:rFonts w:ascii="宋体" w:hAnsi="宋体" w:eastAsia="宋体"/>
                <w:sz w:val="16"/>
              </w:rPr>
              <w:t>&lt;=0.17万元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51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4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11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A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6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DB35">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A8AD">
            <w:pPr>
              <w:jc w:val="center"/>
            </w:pPr>
            <w:r>
              <w:rPr>
                <w:rFonts w:ascii="宋体" w:hAnsi="宋体" w:eastAsia="宋体"/>
                <w:sz w:val="16"/>
              </w:rPr>
              <w:t>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8A40">
            <w:pPr>
              <w:jc w:val="center"/>
            </w:pPr>
            <w:r>
              <w:rPr>
                <w:rFonts w:ascii="宋体" w:hAnsi="宋体" w:eastAsia="宋体"/>
                <w:sz w:val="16"/>
              </w:rPr>
              <w:t>偏差原因：该项目2024年年底，工作已完成。改进措施：剩下资金按时支出</w:t>
            </w:r>
          </w:p>
        </w:tc>
      </w:tr>
      <w:tr w14:paraId="0BEE9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B3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31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585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BE49">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9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63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79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8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4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09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354C">
            <w:pPr>
              <w:jc w:val="center"/>
            </w:pPr>
            <w:r>
              <w:rPr>
                <w:rFonts w:ascii="宋体" w:hAnsi="宋体" w:eastAsia="宋体"/>
                <w:sz w:val="16"/>
              </w:rPr>
              <w:t>=88.24%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BDDD">
            <w:pPr>
              <w:jc w:val="center"/>
            </w:pPr>
            <w:r>
              <w:rPr>
                <w:rFonts w:ascii="宋体" w:hAnsi="宋体" w:eastAsia="宋体"/>
                <w:sz w:val="16"/>
              </w:rPr>
              <w:t>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C1AE9">
            <w:pPr>
              <w:jc w:val="center"/>
            </w:pPr>
            <w:r>
              <w:rPr>
                <w:rFonts w:ascii="宋体" w:hAnsi="宋体" w:eastAsia="宋体"/>
                <w:sz w:val="16"/>
              </w:rPr>
              <w:t>偏差原因：该项目2024年年底，工作已完成。改进措施：剩下资金按时支出</w:t>
            </w:r>
          </w:p>
        </w:tc>
      </w:tr>
      <w:tr w14:paraId="5F462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09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87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D7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5920">
            <w:pPr>
              <w:jc w:val="center"/>
            </w:pPr>
            <w:r>
              <w:rPr>
                <w:rFonts w:ascii="宋体" w:hAnsi="宋体" w:eastAsia="宋体"/>
                <w:sz w:val="16"/>
              </w:rPr>
              <w:t>传承和弘扬中华优秀传统文化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2B7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3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44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44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CB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71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533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6E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49E5C">
            <w:pPr>
              <w:jc w:val="center"/>
            </w:pPr>
          </w:p>
        </w:tc>
      </w:tr>
      <w:tr w14:paraId="4E7A9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1B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3A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F8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8B5B">
            <w:pPr>
              <w:jc w:val="center"/>
            </w:pPr>
            <w:r>
              <w:rPr>
                <w:rFonts w:ascii="宋体" w:hAnsi="宋体" w:eastAsia="宋体"/>
                <w:sz w:val="16"/>
              </w:rPr>
              <w:t>群众对基本公共文化服务满意度（%）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B2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8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C6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4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8A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2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A41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F2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62A1A">
            <w:pPr>
              <w:jc w:val="center"/>
            </w:pPr>
            <w:r>
              <w:rPr>
                <w:rFonts w:ascii="宋体" w:hAnsi="宋体" w:eastAsia="宋体"/>
                <w:sz w:val="16"/>
              </w:rPr>
              <w:t>偏差原因:改进措施</w:t>
            </w:r>
          </w:p>
        </w:tc>
      </w:tr>
      <w:tr w14:paraId="57EF5A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95B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FD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7C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203386">
            <w:pPr>
              <w:jc w:val="center"/>
            </w:pPr>
            <w:r>
              <w:rPr>
                <w:rFonts w:ascii="宋体" w:hAnsi="宋体" w:eastAsia="宋体"/>
                <w:sz w:val="16"/>
              </w:rPr>
              <w:t>91.18分</w:t>
            </w:r>
          </w:p>
        </w:tc>
      </w:tr>
    </w:tbl>
    <w:p w14:paraId="21E26943">
      <w:r>
        <w:br w:type="page"/>
      </w:r>
    </w:p>
    <w:tbl>
      <w:tblPr>
        <w:tblStyle w:val="9"/>
        <w:tblW w:w="0" w:type="auto"/>
        <w:tblInd w:w="0" w:type="dxa"/>
        <w:tblLayout w:type="autofit"/>
        <w:tblCellMar>
          <w:top w:w="0" w:type="dxa"/>
          <w:left w:w="108" w:type="dxa"/>
          <w:bottom w:w="0" w:type="dxa"/>
          <w:right w:w="108" w:type="dxa"/>
        </w:tblCellMar>
      </w:tblPr>
      <w:tblGrid>
        <w:gridCol w:w="623"/>
        <w:gridCol w:w="611"/>
        <w:gridCol w:w="611"/>
        <w:gridCol w:w="696"/>
        <w:gridCol w:w="776"/>
        <w:gridCol w:w="611"/>
        <w:gridCol w:w="776"/>
        <w:gridCol w:w="611"/>
        <w:gridCol w:w="611"/>
        <w:gridCol w:w="611"/>
        <w:gridCol w:w="696"/>
        <w:gridCol w:w="620"/>
        <w:gridCol w:w="583"/>
        <w:gridCol w:w="624"/>
      </w:tblGrid>
      <w:tr w14:paraId="60A90FBF">
        <w:tblPrEx>
          <w:tblCellMar>
            <w:top w:w="0" w:type="dxa"/>
            <w:left w:w="108" w:type="dxa"/>
            <w:bottom w:w="0" w:type="dxa"/>
            <w:right w:w="108" w:type="dxa"/>
          </w:tblCellMar>
        </w:tblPrEx>
        <w:tc>
          <w:tcPr>
            <w:tcW w:w="8848" w:type="dxa"/>
            <w:gridSpan w:val="14"/>
            <w:vAlign w:val="center"/>
          </w:tcPr>
          <w:p w14:paraId="44CF18E3">
            <w:pPr>
              <w:jc w:val="center"/>
            </w:pPr>
            <w:r>
              <w:rPr>
                <w:rFonts w:ascii="宋体" w:hAnsi="宋体" w:eastAsia="宋体"/>
                <w:sz w:val="24"/>
              </w:rPr>
              <w:t>项目支出绩效自评表</w:t>
            </w:r>
          </w:p>
        </w:tc>
      </w:tr>
      <w:tr w14:paraId="3D22904F">
        <w:tblPrEx>
          <w:tblCellMar>
            <w:top w:w="0" w:type="dxa"/>
            <w:left w:w="108" w:type="dxa"/>
            <w:bottom w:w="0" w:type="dxa"/>
            <w:right w:w="108" w:type="dxa"/>
          </w:tblCellMar>
        </w:tblPrEx>
        <w:tc>
          <w:tcPr>
            <w:tcW w:w="8848" w:type="dxa"/>
            <w:gridSpan w:val="14"/>
            <w:vAlign w:val="center"/>
          </w:tcPr>
          <w:p w14:paraId="44FB04FA">
            <w:pPr>
              <w:jc w:val="center"/>
            </w:pPr>
            <w:r>
              <w:rPr>
                <w:rFonts w:ascii="宋体" w:hAnsi="宋体" w:eastAsia="宋体"/>
                <w:sz w:val="24"/>
              </w:rPr>
              <w:t>(2024年度)</w:t>
            </w:r>
          </w:p>
        </w:tc>
      </w:tr>
      <w:tr w14:paraId="629A38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B8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301DD7">
            <w:pPr>
              <w:jc w:val="center"/>
            </w:pPr>
            <w:r>
              <w:rPr>
                <w:rFonts w:ascii="宋体" w:hAnsi="宋体" w:eastAsia="宋体"/>
                <w:sz w:val="16"/>
              </w:rPr>
              <w:t>其他资金单位收入</w:t>
            </w:r>
          </w:p>
        </w:tc>
      </w:tr>
      <w:tr w14:paraId="075E23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09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A15DF">
            <w:pPr>
              <w:jc w:val="center"/>
            </w:pPr>
            <w:r>
              <w:rPr>
                <w:rFonts w:ascii="宋体" w:hAnsi="宋体" w:eastAsia="宋体"/>
                <w:sz w:val="16"/>
              </w:rPr>
              <w:t>克孜勒苏柯尔克孜自治州歌舞团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EE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0F9AD8">
            <w:pPr>
              <w:jc w:val="center"/>
            </w:pPr>
            <w:r>
              <w:rPr>
                <w:rFonts w:ascii="宋体" w:hAnsi="宋体" w:eastAsia="宋体"/>
                <w:sz w:val="16"/>
              </w:rPr>
              <w:t>克孜勒苏柯尔克孜自治州歌舞团</w:t>
            </w:r>
          </w:p>
        </w:tc>
      </w:tr>
      <w:tr w14:paraId="78C79A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7DA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0C2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3C9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B3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AD1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FAE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78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FCAC">
            <w:pPr>
              <w:jc w:val="center"/>
            </w:pPr>
            <w:r>
              <w:rPr>
                <w:rFonts w:ascii="宋体" w:hAnsi="宋体" w:eastAsia="宋体"/>
                <w:sz w:val="16"/>
              </w:rPr>
              <w:t>得分</w:t>
            </w:r>
          </w:p>
        </w:tc>
      </w:tr>
      <w:tr w14:paraId="174B7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6A5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095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D6BCA">
            <w:pPr>
              <w:jc w:val="center"/>
            </w:pPr>
            <w:r>
              <w:rPr>
                <w:rFonts w:ascii="宋体" w:hAnsi="宋体" w:eastAsia="宋体"/>
                <w:sz w:val="16"/>
              </w:rPr>
              <w:t>93.05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39AA0">
            <w:pPr>
              <w:jc w:val="center"/>
            </w:pPr>
            <w:r>
              <w:rPr>
                <w:rFonts w:ascii="宋体" w:hAnsi="宋体" w:eastAsia="宋体"/>
                <w:sz w:val="16"/>
              </w:rPr>
              <w:t>42.55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F5B64">
            <w:pPr>
              <w:jc w:val="center"/>
            </w:pPr>
            <w:r>
              <w:rPr>
                <w:rFonts w:ascii="宋体" w:hAnsi="宋体" w:eastAsia="宋体"/>
                <w:sz w:val="16"/>
              </w:rPr>
              <w:t>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51B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CA38D">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8804">
            <w:pPr>
              <w:jc w:val="center"/>
            </w:pPr>
            <w:r>
              <w:rPr>
                <w:rFonts w:ascii="宋体" w:hAnsi="宋体" w:eastAsia="宋体"/>
                <w:sz w:val="16"/>
              </w:rPr>
              <w:t>0.00分</w:t>
            </w:r>
          </w:p>
        </w:tc>
      </w:tr>
      <w:tr w14:paraId="135DB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06C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E97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5E4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620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CCF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2DD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381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E4B2">
            <w:pPr>
              <w:jc w:val="center"/>
            </w:pPr>
            <w:r>
              <w:rPr>
                <w:rFonts w:ascii="宋体" w:hAnsi="宋体" w:eastAsia="宋体"/>
                <w:sz w:val="16"/>
              </w:rPr>
              <w:t>—</w:t>
            </w:r>
          </w:p>
        </w:tc>
      </w:tr>
      <w:tr w14:paraId="260A5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5C8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8FB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FF7AF">
            <w:pPr>
              <w:jc w:val="center"/>
            </w:pPr>
            <w:r>
              <w:rPr>
                <w:rFonts w:ascii="宋体" w:hAnsi="宋体" w:eastAsia="宋体"/>
                <w:sz w:val="16"/>
              </w:rPr>
              <w:t>93.05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E1F49">
            <w:pPr>
              <w:jc w:val="center"/>
            </w:pPr>
            <w:r>
              <w:rPr>
                <w:rFonts w:ascii="宋体" w:hAnsi="宋体" w:eastAsia="宋体"/>
                <w:sz w:val="16"/>
              </w:rPr>
              <w:t>42.55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221DB">
            <w:pPr>
              <w:jc w:val="center"/>
            </w:pPr>
            <w:r>
              <w:rPr>
                <w:rFonts w:ascii="宋体" w:hAnsi="宋体" w:eastAsia="宋体"/>
                <w:sz w:val="16"/>
              </w:rPr>
              <w:t>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A6F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165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4862">
            <w:pPr>
              <w:jc w:val="center"/>
            </w:pPr>
            <w:r>
              <w:rPr>
                <w:rFonts w:ascii="宋体" w:hAnsi="宋体" w:eastAsia="宋体"/>
                <w:sz w:val="16"/>
              </w:rPr>
              <w:t>—</w:t>
            </w:r>
          </w:p>
        </w:tc>
      </w:tr>
      <w:tr w14:paraId="038DD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A8F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208E">
            <w:pPr>
              <w:jc w:val="center"/>
            </w:pPr>
            <w:r>
              <w:rPr>
                <w:rFonts w:ascii="宋体" w:hAnsi="宋体" w:eastAsia="宋体"/>
                <w:sz w:val="16"/>
              </w:rPr>
              <w:t>预期目标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3E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7F0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C28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C9F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070C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53B2">
            <w:pPr>
              <w:jc w:val="center"/>
            </w:pPr>
          </w:p>
        </w:tc>
      </w:tr>
      <w:tr w14:paraId="27F233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6845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A970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DB471E">
            <w:pPr>
              <w:jc w:val="center"/>
            </w:pPr>
            <w:r>
              <w:rPr>
                <w:rFonts w:ascii="宋体" w:hAnsi="宋体" w:eastAsia="宋体"/>
                <w:sz w:val="16"/>
              </w:rPr>
              <w:t>实际完成情况</w:t>
            </w:r>
          </w:p>
        </w:tc>
      </w:tr>
      <w:tr w14:paraId="055E5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898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0204C">
            <w:pPr>
              <w:jc w:val="both"/>
            </w:pPr>
            <w:r>
              <w:rPr>
                <w:rFonts w:ascii="宋体" w:hAnsi="宋体" w:eastAsia="宋体"/>
                <w:sz w:val="16"/>
              </w:rPr>
              <w:t>该项目资金投入总额为93.05万元，该资金主要用于给基层群众带去丰富多彩，喜闻乐见，深受群众喜欢的文化产品，让文化服务活动在“接地气”中传播正能量。预期目标将努力提高文艺作品创作和文化活动的质量，组织创作一批思想性、艺术性相统一，具有较强吸引力、感染力的文艺作品，文艺活动规模和艺术作品质量进一步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A0B50">
            <w:pPr>
              <w:jc w:val="both"/>
            </w:pPr>
            <w:r>
              <w:rPr>
                <w:rFonts w:hint="eastAsia" w:ascii="宋体" w:hAnsi="宋体"/>
                <w:sz w:val="16"/>
                <w:lang w:eastAsia="zh-CN"/>
              </w:rPr>
              <w:t>截至2024</w:t>
            </w:r>
            <w:r>
              <w:rPr>
                <w:rFonts w:ascii="宋体" w:hAnsi="宋体" w:eastAsia="宋体"/>
                <w:sz w:val="16"/>
              </w:rPr>
              <w:t>年12月31日，该资金主要用于给基层群众带去丰富多彩，喜闻乐见，深受群众喜欢的文化产品，让文化服务活动在“接地气”中传播正能量。预期目标将努力提高文艺作品创作和文化活动的质量，组织创作一批思想性、艺术性相统一，具有较强吸引力、感染力的文艺作品，文艺活动规模和艺术作品质量进一步提高。</w:t>
            </w:r>
          </w:p>
        </w:tc>
      </w:tr>
      <w:tr w14:paraId="16B8EC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F5A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20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FA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C0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F8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CB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66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7E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5C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B0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1C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C6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B95F">
            <w:pPr>
              <w:jc w:val="center"/>
            </w:pPr>
            <w:r>
              <w:rPr>
                <w:rFonts w:ascii="宋体" w:hAnsi="宋体" w:eastAsia="宋体"/>
                <w:sz w:val="16"/>
              </w:rPr>
              <w:t>偏差原因分析及改进措施</w:t>
            </w:r>
          </w:p>
        </w:tc>
      </w:tr>
      <w:tr w14:paraId="04FCBC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6FD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575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9EE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6125">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E08E">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E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0498">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71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1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8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17A5">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2F0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6BD8E">
            <w:pPr>
              <w:jc w:val="center"/>
            </w:pPr>
          </w:p>
        </w:tc>
      </w:tr>
      <w:tr w14:paraId="75357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C2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7D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FB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ED59">
            <w:pPr>
              <w:jc w:val="center"/>
            </w:pPr>
            <w:r>
              <w:rPr>
                <w:rFonts w:ascii="宋体" w:hAnsi="宋体" w:eastAsia="宋体"/>
                <w:sz w:val="16"/>
              </w:rPr>
              <w:t>保障演员人数（人）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7C16">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E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8205">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B2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C8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C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F17C">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28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CE2F3">
            <w:pPr>
              <w:jc w:val="center"/>
            </w:pPr>
          </w:p>
        </w:tc>
      </w:tr>
      <w:tr w14:paraId="289A7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8C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32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FB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C983">
            <w:pPr>
              <w:jc w:val="center"/>
            </w:pPr>
            <w:r>
              <w:rPr>
                <w:rFonts w:ascii="宋体" w:hAnsi="宋体" w:eastAsia="宋体"/>
                <w:sz w:val="16"/>
              </w:rPr>
              <w:t>采购演出设备以及服装（批次）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8AC6">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9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4C93">
            <w:pPr>
              <w:jc w:val="center"/>
            </w:pPr>
            <w:r>
              <w:rPr>
                <w:rFonts w:ascii="宋体" w:hAnsi="宋体" w:eastAsia="宋体"/>
                <w:sz w:val="16"/>
              </w:rPr>
              <w:t>&lt;=3批次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A49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98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9D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26E5">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4D1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819E">
            <w:pPr>
              <w:jc w:val="center"/>
            </w:pPr>
            <w:r>
              <w:rPr>
                <w:rFonts w:ascii="宋体" w:hAnsi="宋体" w:eastAsia="宋体"/>
                <w:sz w:val="16"/>
              </w:rPr>
              <w:t>偏差原因：资金到位较晚，项目未能及时开展，改进措施：做好预算，及时开展项目。</w:t>
            </w:r>
          </w:p>
        </w:tc>
      </w:tr>
      <w:tr w14:paraId="4BF79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7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E47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F98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05A0">
            <w:pPr>
              <w:jc w:val="center"/>
            </w:pPr>
            <w:r>
              <w:rPr>
                <w:rFonts w:ascii="宋体" w:hAnsi="宋体" w:eastAsia="宋体"/>
                <w:sz w:val="16"/>
              </w:rPr>
              <w:t>文化艺术普及宣传人口覆盖率（%）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BABF">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E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F7F9">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84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E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AD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AD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0D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BBEA2">
            <w:pPr>
              <w:jc w:val="center"/>
            </w:pPr>
            <w:r>
              <w:rPr>
                <w:rFonts w:ascii="宋体" w:hAnsi="宋体" w:eastAsia="宋体"/>
                <w:sz w:val="16"/>
              </w:rPr>
              <w:t>偏差原因：资金到位较晚，项目未能及时开展，改进措施：做好预算，及时开展项目。</w:t>
            </w:r>
          </w:p>
        </w:tc>
      </w:tr>
      <w:tr w14:paraId="04973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9F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0C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E9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3264">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3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5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0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5B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D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5F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B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E97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94C0">
            <w:pPr>
              <w:jc w:val="center"/>
            </w:pPr>
          </w:p>
        </w:tc>
      </w:tr>
      <w:tr w14:paraId="2753F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DD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D7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BA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A9C2">
            <w:pPr>
              <w:jc w:val="center"/>
            </w:pPr>
            <w:r>
              <w:rPr>
                <w:rFonts w:ascii="宋体" w:hAnsi="宋体" w:eastAsia="宋体"/>
                <w:sz w:val="16"/>
              </w:rPr>
              <w:t>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7DDE">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A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1D64">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2E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5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4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B195">
            <w:pPr>
              <w:jc w:val="center"/>
              <w:rPr>
                <w:rFonts w:hint="eastAsia" w:eastAsia="宋体"/>
                <w:lang w:eastAsia="zh-CN"/>
              </w:rPr>
            </w:pPr>
            <w:r>
              <w:rPr>
                <w:rFonts w:ascii="宋体" w:hAnsi="宋体" w:eastAsia="宋体"/>
                <w:sz w:val="16"/>
              </w:rPr>
              <w:t>2024年12月3</w:t>
            </w:r>
            <w:r>
              <w:rPr>
                <w:rFonts w:hint="eastAsia" w:ascii="宋体" w:hAnsi="宋体"/>
                <w:sz w:val="16"/>
                <w:lang w:val="en-US" w:eastAsia="zh-CN"/>
              </w:rPr>
              <w:t>日</w:t>
            </w:r>
            <w:bookmarkStart w:id="0" w:name="_GoBack"/>
            <w:bookmarkEnd w:id="0"/>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11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BFEF2">
            <w:pPr>
              <w:jc w:val="center"/>
            </w:pPr>
          </w:p>
        </w:tc>
      </w:tr>
      <w:tr w14:paraId="5EBD8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AF4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F2E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8FE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43D2">
            <w:pPr>
              <w:jc w:val="center"/>
            </w:pPr>
            <w:r>
              <w:rPr>
                <w:rFonts w:ascii="宋体" w:hAnsi="宋体" w:eastAsia="宋体"/>
                <w:sz w:val="16"/>
              </w:rPr>
              <w:t>职工绩效工资（万元）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98B6">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71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49D5">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5C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4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95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D8C7">
            <w:pPr>
              <w:jc w:val="center"/>
            </w:pPr>
            <w:r>
              <w:rPr>
                <w:rFonts w:ascii="宋体" w:hAnsi="宋体" w:eastAsia="宋体"/>
                <w:sz w:val="16"/>
              </w:rPr>
              <w:t>&lt;=3.99万元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68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9613A">
            <w:pPr>
              <w:jc w:val="center"/>
            </w:pPr>
            <w:r>
              <w:rPr>
                <w:rFonts w:ascii="宋体" w:hAnsi="宋体" w:eastAsia="宋体"/>
                <w:sz w:val="16"/>
              </w:rPr>
              <w:t>偏差原因：资金到位较晚，项目未能及时开展，改进措施：做好预算，及时开展项目。</w:t>
            </w:r>
          </w:p>
        </w:tc>
      </w:tr>
      <w:tr w14:paraId="7497E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56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67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0A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2205">
            <w:pPr>
              <w:jc w:val="center"/>
            </w:pPr>
            <w:r>
              <w:rPr>
                <w:rFonts w:ascii="宋体" w:hAnsi="宋体" w:eastAsia="宋体"/>
                <w:sz w:val="16"/>
              </w:rPr>
              <w:t>专业能力提升及采购演出设备经费（万元）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C2D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9E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8F18">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FD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F0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1E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6B7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19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B4001">
            <w:pPr>
              <w:jc w:val="center"/>
            </w:pPr>
            <w:r>
              <w:rPr>
                <w:rFonts w:ascii="宋体" w:hAnsi="宋体" w:eastAsia="宋体"/>
                <w:sz w:val="16"/>
              </w:rPr>
              <w:t>偏差原因：资金到位较晚，项目未能及时开展，改进措施：做好预算，及时开展项目。</w:t>
            </w:r>
          </w:p>
        </w:tc>
      </w:tr>
      <w:tr w14:paraId="7C7A5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97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BC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52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F5C5">
            <w:pPr>
              <w:jc w:val="center"/>
            </w:pPr>
            <w:r>
              <w:rPr>
                <w:rFonts w:ascii="宋体" w:hAnsi="宋体" w:eastAsia="宋体"/>
                <w:sz w:val="16"/>
              </w:rPr>
              <w:t>演出保障经费（万元）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896B">
            <w:pPr>
              <w:jc w:val="center"/>
            </w:pPr>
            <w:r>
              <w:rPr>
                <w:rFonts w:ascii="宋体" w:hAnsi="宋体" w:eastAsia="宋体"/>
                <w:sz w:val="16"/>
              </w:rPr>
              <w:t>&lt;=12.55万元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51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5F0C">
            <w:pPr>
              <w:jc w:val="center"/>
            </w:pPr>
            <w:r>
              <w:rPr>
                <w:rFonts w:ascii="宋体" w:hAnsi="宋体" w:eastAsia="宋体"/>
                <w:sz w:val="16"/>
              </w:rPr>
              <w:t>&lt;=12.55万元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4A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D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45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B6A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3D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E7440">
            <w:pPr>
              <w:jc w:val="center"/>
            </w:pPr>
            <w:r>
              <w:rPr>
                <w:rFonts w:ascii="宋体" w:hAnsi="宋体" w:eastAsia="宋体"/>
                <w:sz w:val="16"/>
              </w:rPr>
              <w:t>偏差原因：资金到位较晚，项目未能及时开展，改进措施：做好预算，及时开展项目。</w:t>
            </w:r>
          </w:p>
        </w:tc>
      </w:tr>
      <w:tr w14:paraId="64156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5F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61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E6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6350">
            <w:pPr>
              <w:jc w:val="center"/>
            </w:pPr>
            <w:r>
              <w:rPr>
                <w:rFonts w:ascii="宋体" w:hAnsi="宋体" w:eastAsia="宋体"/>
                <w:sz w:val="16"/>
              </w:rPr>
              <w:t>传承和弘扬中华优秀传统文化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1F0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7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E4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E3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73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98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AF7A">
            <w:pPr>
              <w:jc w:val="center"/>
            </w:pPr>
            <w:r>
              <w:rPr>
                <w:rFonts w:ascii="宋体" w:hAnsi="宋体" w:eastAsia="宋体"/>
                <w:sz w:val="16"/>
              </w:rPr>
              <w:t>目标实现程度较低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DC7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236F6">
            <w:pPr>
              <w:jc w:val="center"/>
            </w:pPr>
            <w:r>
              <w:rPr>
                <w:rFonts w:ascii="宋体" w:hAnsi="宋体" w:eastAsia="宋体"/>
                <w:sz w:val="16"/>
              </w:rPr>
              <w:t>偏差原因：资金到位较晚，项目未能及时开展，改进措施：做好预算，及时开展项目。</w:t>
            </w:r>
          </w:p>
        </w:tc>
      </w:tr>
      <w:tr w14:paraId="0DA56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0A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11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CE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5DA3">
            <w:pPr>
              <w:jc w:val="center"/>
            </w:pPr>
            <w:r>
              <w:rPr>
                <w:rFonts w:ascii="宋体" w:hAnsi="宋体" w:eastAsia="宋体"/>
                <w:sz w:val="16"/>
              </w:rPr>
              <w:t>群众对基本公共文化服务满意度（%）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50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8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D32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F7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59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B4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51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6C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35558">
            <w:pPr>
              <w:jc w:val="center"/>
            </w:pPr>
          </w:p>
        </w:tc>
      </w:tr>
      <w:tr w14:paraId="776FA2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E1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DB3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872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0AACE">
            <w:pPr>
              <w:jc w:val="center"/>
            </w:pPr>
            <w:r>
              <w:rPr>
                <w:rFonts w:ascii="宋体" w:hAnsi="宋体" w:eastAsia="宋体"/>
                <w:sz w:val="16"/>
              </w:rPr>
              <w:t>36分</w:t>
            </w:r>
          </w:p>
        </w:tc>
      </w:tr>
    </w:tbl>
    <w:p w14:paraId="31AED7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7526983E">
        <w:tblPrEx>
          <w:tblCellMar>
            <w:top w:w="0" w:type="dxa"/>
            <w:left w:w="108" w:type="dxa"/>
            <w:bottom w:w="0" w:type="dxa"/>
            <w:right w:w="108" w:type="dxa"/>
          </w:tblCellMar>
        </w:tblPrEx>
        <w:tc>
          <w:tcPr>
            <w:tcW w:w="8848" w:type="dxa"/>
            <w:gridSpan w:val="14"/>
            <w:vAlign w:val="center"/>
          </w:tcPr>
          <w:p w14:paraId="3A5CA1FF">
            <w:pPr>
              <w:jc w:val="center"/>
            </w:pPr>
            <w:r>
              <w:rPr>
                <w:rFonts w:ascii="宋体" w:hAnsi="宋体" w:eastAsia="宋体"/>
                <w:sz w:val="24"/>
              </w:rPr>
              <w:t>项目支出绩效自评表</w:t>
            </w:r>
          </w:p>
        </w:tc>
      </w:tr>
      <w:tr w14:paraId="13F3BAA8">
        <w:tblPrEx>
          <w:tblCellMar>
            <w:top w:w="0" w:type="dxa"/>
            <w:left w:w="108" w:type="dxa"/>
            <w:bottom w:w="0" w:type="dxa"/>
            <w:right w:w="108" w:type="dxa"/>
          </w:tblCellMar>
        </w:tblPrEx>
        <w:tc>
          <w:tcPr>
            <w:tcW w:w="8848" w:type="dxa"/>
            <w:gridSpan w:val="14"/>
            <w:vAlign w:val="center"/>
          </w:tcPr>
          <w:p w14:paraId="7A8B692E">
            <w:pPr>
              <w:jc w:val="center"/>
            </w:pPr>
            <w:r>
              <w:rPr>
                <w:rFonts w:ascii="宋体" w:hAnsi="宋体" w:eastAsia="宋体"/>
                <w:sz w:val="24"/>
              </w:rPr>
              <w:t>(2024年度)</w:t>
            </w:r>
          </w:p>
        </w:tc>
      </w:tr>
      <w:tr w14:paraId="5B99ED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8D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290CAB">
            <w:pPr>
              <w:jc w:val="center"/>
            </w:pPr>
            <w:r>
              <w:rPr>
                <w:rFonts w:ascii="宋体" w:hAnsi="宋体" w:eastAsia="宋体"/>
                <w:sz w:val="16"/>
              </w:rPr>
              <w:t>歌舞剧《玛纳斯》巡演</w:t>
            </w:r>
          </w:p>
        </w:tc>
      </w:tr>
      <w:tr w14:paraId="77DF89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4B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5F3F0">
            <w:pPr>
              <w:jc w:val="center"/>
            </w:pPr>
            <w:r>
              <w:rPr>
                <w:rFonts w:ascii="宋体" w:hAnsi="宋体" w:eastAsia="宋体"/>
                <w:sz w:val="16"/>
              </w:rPr>
              <w:t>克孜勒苏柯尔克孜自治州歌舞团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E7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D40A3">
            <w:pPr>
              <w:jc w:val="center"/>
            </w:pPr>
            <w:r>
              <w:rPr>
                <w:rFonts w:ascii="宋体" w:hAnsi="宋体" w:eastAsia="宋体"/>
                <w:sz w:val="16"/>
              </w:rPr>
              <w:t>克孜勒苏柯尔克孜自治州歌舞团</w:t>
            </w:r>
          </w:p>
        </w:tc>
      </w:tr>
      <w:tr w14:paraId="079F28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A47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29A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14F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7BE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C21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3BB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3D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DA74">
            <w:pPr>
              <w:jc w:val="center"/>
            </w:pPr>
            <w:r>
              <w:rPr>
                <w:rFonts w:ascii="宋体" w:hAnsi="宋体" w:eastAsia="宋体"/>
                <w:sz w:val="16"/>
              </w:rPr>
              <w:t>得分</w:t>
            </w:r>
          </w:p>
        </w:tc>
      </w:tr>
      <w:tr w14:paraId="5BA4D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569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EE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6E48">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69C26">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E515F">
            <w:pPr>
              <w:jc w:val="center"/>
            </w:pPr>
            <w:r>
              <w:rPr>
                <w:rFonts w:ascii="宋体" w:hAnsi="宋体" w:eastAsia="宋体"/>
                <w:sz w:val="16"/>
              </w:rPr>
              <w:t>52.78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F78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C038B">
            <w:pPr>
              <w:jc w:val="center"/>
            </w:pPr>
            <w:r>
              <w:rPr>
                <w:rFonts w:ascii="宋体" w:hAnsi="宋体" w:eastAsia="宋体"/>
                <w:sz w:val="16"/>
              </w:rPr>
              <w:t>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CF60">
            <w:pPr>
              <w:jc w:val="center"/>
            </w:pPr>
            <w:r>
              <w:rPr>
                <w:rFonts w:ascii="宋体" w:hAnsi="宋体" w:eastAsia="宋体"/>
                <w:sz w:val="16"/>
              </w:rPr>
              <w:t>2.59分</w:t>
            </w:r>
          </w:p>
        </w:tc>
      </w:tr>
      <w:tr w14:paraId="2976F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4FD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E3A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F199">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08370">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78C5">
            <w:pPr>
              <w:jc w:val="center"/>
            </w:pPr>
            <w:r>
              <w:rPr>
                <w:rFonts w:ascii="宋体" w:hAnsi="宋体" w:eastAsia="宋体"/>
                <w:sz w:val="16"/>
              </w:rPr>
              <w:t>52.78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23E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4A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627B">
            <w:pPr>
              <w:jc w:val="center"/>
            </w:pPr>
            <w:r>
              <w:rPr>
                <w:rFonts w:ascii="宋体" w:hAnsi="宋体" w:eastAsia="宋体"/>
                <w:sz w:val="16"/>
              </w:rPr>
              <w:t>—</w:t>
            </w:r>
          </w:p>
        </w:tc>
      </w:tr>
      <w:tr w14:paraId="50E1C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FD7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2F0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D21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85D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AC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2F1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D5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66D4">
            <w:pPr>
              <w:jc w:val="center"/>
            </w:pPr>
            <w:r>
              <w:rPr>
                <w:rFonts w:ascii="宋体" w:hAnsi="宋体" w:eastAsia="宋体"/>
                <w:sz w:val="16"/>
              </w:rPr>
              <w:t>—</w:t>
            </w:r>
          </w:p>
        </w:tc>
      </w:tr>
      <w:tr w14:paraId="17F0F5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677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3D1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E94A0">
            <w:pPr>
              <w:jc w:val="center"/>
            </w:pPr>
            <w:r>
              <w:rPr>
                <w:rFonts w:ascii="宋体" w:hAnsi="宋体" w:eastAsia="宋体"/>
                <w:sz w:val="16"/>
              </w:rPr>
              <w:t>实际完成情况</w:t>
            </w:r>
          </w:p>
        </w:tc>
      </w:tr>
      <w:tr w14:paraId="0E1D9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31C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7EBE9">
            <w:pPr>
              <w:jc w:val="both"/>
            </w:pPr>
            <w:r>
              <w:rPr>
                <w:rFonts w:ascii="宋体" w:hAnsi="宋体" w:eastAsia="宋体"/>
                <w:sz w:val="16"/>
              </w:rPr>
              <w:t>项目资金75万元，其中：财政资金75万元、其他资金0万元。将开展歌舞剧《玛纳斯》赴全国各地，尤其是援疆省市等地开展巡演，最大限度地促进“苏克”两地文化交流，同时，努力提高文艺作品创作和文化活动的质量，组织创作一批思想性、艺术性相统一，具有较强吸引力、感染力的文艺作品，努力提高文艺活动规模和艺术作品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849FBA">
            <w:pPr>
              <w:jc w:val="both"/>
            </w:pPr>
            <w:r>
              <w:rPr>
                <w:rFonts w:hint="eastAsia" w:ascii="宋体" w:hAnsi="宋体"/>
                <w:sz w:val="16"/>
                <w:lang w:eastAsia="zh-CN"/>
              </w:rPr>
              <w:t>截至2024</w:t>
            </w:r>
            <w:r>
              <w:rPr>
                <w:rFonts w:ascii="宋体" w:hAnsi="宋体" w:eastAsia="宋体"/>
                <w:sz w:val="16"/>
              </w:rPr>
              <w:t>年12月31日止，总执行数为项目资金52.78万元，其中：财政资金0万元、财政资金75万元、将开展歌舞剧《玛纳斯》赴全国各地，尤其是援疆省市等地开展巡演，最大限度地促进“苏克”两地文化交流，同时，努力提高文艺作品创作和文化活动的质量，组织创作一批思想性、艺术性相统一，具有较强吸引力、感染力的文艺作品，努力提高文艺活动规模和艺术作品质量。</w:t>
            </w:r>
          </w:p>
        </w:tc>
      </w:tr>
      <w:tr w14:paraId="2E5078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5DF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7A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D1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12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E1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7D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15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D6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C1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77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CA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6B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EA68">
            <w:pPr>
              <w:jc w:val="center"/>
            </w:pPr>
            <w:r>
              <w:rPr>
                <w:rFonts w:ascii="宋体" w:hAnsi="宋体" w:eastAsia="宋体"/>
                <w:sz w:val="16"/>
              </w:rPr>
              <w:t>偏差原因分析及改进措施</w:t>
            </w:r>
          </w:p>
        </w:tc>
      </w:tr>
      <w:tr w14:paraId="111417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8F7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D3A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8A0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2346">
            <w:pPr>
              <w:jc w:val="center"/>
            </w:pPr>
            <w:r>
              <w:rPr>
                <w:rFonts w:ascii="宋体" w:hAnsi="宋体" w:eastAsia="宋体"/>
                <w:sz w:val="16"/>
              </w:rPr>
              <w:t>开展歌舞剧《玛纳斯》全国巡演次数（次）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D33A">
            <w:pPr>
              <w:jc w:val="center"/>
            </w:pPr>
            <w:r>
              <w:rPr>
                <w:rFonts w:ascii="宋体" w:hAnsi="宋体" w:eastAsia="宋体"/>
                <w:sz w:val="16"/>
              </w:rPr>
              <w:t>&gt;=4场次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6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19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27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0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4D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6A67">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C1C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00A2">
            <w:pPr>
              <w:jc w:val="center"/>
            </w:pPr>
          </w:p>
        </w:tc>
      </w:tr>
      <w:tr w14:paraId="12963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61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2C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12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FCE3">
            <w:pPr>
              <w:jc w:val="center"/>
            </w:pPr>
            <w:r>
              <w:rPr>
                <w:rFonts w:ascii="宋体" w:hAnsi="宋体" w:eastAsia="宋体"/>
                <w:sz w:val="16"/>
              </w:rPr>
              <w:t>巡演保障车辆（辆）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BF2E">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C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4D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A5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8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D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3D3F">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28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7F5F">
            <w:pPr>
              <w:jc w:val="center"/>
            </w:pPr>
          </w:p>
        </w:tc>
      </w:tr>
      <w:tr w14:paraId="5F1DA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8A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75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80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50EF">
            <w:pPr>
              <w:jc w:val="center"/>
            </w:pPr>
            <w:r>
              <w:rPr>
                <w:rFonts w:ascii="宋体" w:hAnsi="宋体" w:eastAsia="宋体"/>
                <w:sz w:val="16"/>
              </w:rPr>
              <w:t>巡演保障演员人数（人）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8EDC">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8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3F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49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3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6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4B60">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94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BF2B3">
            <w:pPr>
              <w:jc w:val="center"/>
            </w:pPr>
          </w:p>
        </w:tc>
      </w:tr>
      <w:tr w14:paraId="11788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B8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7A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23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AF10">
            <w:pPr>
              <w:jc w:val="center"/>
            </w:pPr>
            <w:r>
              <w:rPr>
                <w:rFonts w:ascii="宋体" w:hAnsi="宋体" w:eastAsia="宋体"/>
                <w:sz w:val="16"/>
              </w:rPr>
              <w:t>巡演援疆省市比例（%）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F7A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9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4A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38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1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9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275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39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F059">
            <w:pPr>
              <w:jc w:val="center"/>
            </w:pPr>
          </w:p>
        </w:tc>
      </w:tr>
      <w:tr w14:paraId="608EA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C3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FC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51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76EF">
            <w:pPr>
              <w:jc w:val="center"/>
            </w:pPr>
            <w:r>
              <w:rPr>
                <w:rFonts w:ascii="宋体" w:hAnsi="宋体" w:eastAsia="宋体"/>
                <w:sz w:val="16"/>
              </w:rPr>
              <w:t>巡演项目完成率（%）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4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2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47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B9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7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E1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B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E9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661E9">
            <w:pPr>
              <w:jc w:val="center"/>
            </w:pPr>
          </w:p>
        </w:tc>
      </w:tr>
      <w:tr w14:paraId="0B6AC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072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200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B8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2C82">
            <w:pPr>
              <w:jc w:val="center"/>
            </w:pPr>
            <w:r>
              <w:rPr>
                <w:rFonts w:ascii="宋体" w:hAnsi="宋体" w:eastAsia="宋体"/>
                <w:sz w:val="16"/>
              </w:rPr>
              <w:t>巡演演员差旅费（万元）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3362">
            <w:pPr>
              <w:jc w:val="center"/>
            </w:pPr>
            <w:r>
              <w:rPr>
                <w:rFonts w:ascii="宋体" w:hAnsi="宋体" w:eastAsia="宋体"/>
                <w:sz w:val="16"/>
              </w:rPr>
              <w:t>&lt;=37万元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4C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52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7B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E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A6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68E4">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B0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DB39">
            <w:pPr>
              <w:jc w:val="center"/>
            </w:pPr>
            <w:r>
              <w:rPr>
                <w:rFonts w:ascii="宋体" w:hAnsi="宋体" w:eastAsia="宋体"/>
                <w:sz w:val="16"/>
              </w:rPr>
              <w:t>偏差原因：该项目2024年年底，已完成工作。结余资金继续支出完成改进措施按时改进建议</w:t>
            </w:r>
          </w:p>
        </w:tc>
      </w:tr>
      <w:tr w14:paraId="23C18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D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B6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EDD4">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8551">
            <w:pPr>
              <w:jc w:val="center"/>
            </w:pPr>
            <w:r>
              <w:rPr>
                <w:rFonts w:ascii="宋体" w:hAnsi="宋体" w:eastAsia="宋体"/>
                <w:sz w:val="16"/>
              </w:rPr>
              <w:t>巡演演员采购服装等装备费用（万元）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97F2">
            <w:pPr>
              <w:jc w:val="center"/>
            </w:pPr>
            <w:r>
              <w:rPr>
                <w:rFonts w:ascii="宋体" w:hAnsi="宋体" w:eastAsia="宋体"/>
                <w:sz w:val="16"/>
              </w:rPr>
              <w:t>&lt;=38万元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80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3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3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B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EA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5278">
            <w:pPr>
              <w:jc w:val="center"/>
            </w:pPr>
            <w:r>
              <w:rPr>
                <w:rFonts w:ascii="宋体" w:hAnsi="宋体" w:eastAsia="宋体"/>
                <w:sz w:val="16"/>
              </w:rPr>
              <w:t>=32.78万元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2D0C">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548D">
            <w:pPr>
              <w:jc w:val="center"/>
            </w:pPr>
            <w:r>
              <w:rPr>
                <w:rFonts w:ascii="宋体" w:hAnsi="宋体" w:eastAsia="宋体"/>
                <w:sz w:val="16"/>
              </w:rPr>
              <w:t>偏差原因：该项目2024年年底，已完成工作。结余资金继续支出完成改进措施按时改进建议</w:t>
            </w:r>
          </w:p>
        </w:tc>
      </w:tr>
      <w:tr w14:paraId="32A25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E0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4F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0F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0E29">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CB6D">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A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B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39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16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CD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20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E1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078FB">
            <w:pPr>
              <w:jc w:val="center"/>
            </w:pPr>
          </w:p>
        </w:tc>
      </w:tr>
      <w:tr w14:paraId="2E7ED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6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34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9B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5D8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305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0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F0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E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87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1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3BB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F9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0557E">
            <w:pPr>
              <w:jc w:val="center"/>
            </w:pPr>
            <w:r>
              <w:rPr>
                <w:rFonts w:ascii="宋体" w:hAnsi="宋体" w:eastAsia="宋体"/>
                <w:sz w:val="16"/>
              </w:rPr>
              <w:t>偏差原因：该项目2024年年底，已完成工作。结余资金继续支出完成改进措施按时</w:t>
            </w:r>
          </w:p>
        </w:tc>
      </w:tr>
      <w:tr w14:paraId="112FD3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B58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2B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73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2A8E3">
            <w:pPr>
              <w:jc w:val="center"/>
            </w:pPr>
            <w:r>
              <w:rPr>
                <w:rFonts w:ascii="宋体" w:hAnsi="宋体" w:eastAsia="宋体"/>
                <w:sz w:val="16"/>
              </w:rPr>
              <w:t>79.16分</w:t>
            </w:r>
          </w:p>
        </w:tc>
      </w:tr>
    </w:tbl>
    <w:p w14:paraId="7E0773D6">
      <w:r>
        <w:br w:type="page"/>
      </w:r>
    </w:p>
    <w:p w14:paraId="2027F121">
      <w:pPr>
        <w:spacing w:line="640" w:lineRule="exact"/>
        <w:ind w:firstLine="640"/>
        <w:jc w:val="both"/>
        <w:outlineLvl w:val="2"/>
      </w:pPr>
      <w:r>
        <w:rPr>
          <w:rFonts w:ascii="黑体" w:hAnsi="黑体" w:eastAsia="黑体"/>
          <w:sz w:val="32"/>
        </w:rPr>
        <w:t>十二、其他需说明的事项</w:t>
      </w:r>
    </w:p>
    <w:p w14:paraId="40805C66">
      <w:pPr>
        <w:spacing w:line="580" w:lineRule="exact"/>
        <w:ind w:firstLine="640"/>
        <w:jc w:val="both"/>
      </w:pPr>
      <w:r>
        <w:rPr>
          <w:rFonts w:ascii="仿宋_GB2312" w:hAnsi="仿宋_GB2312" w:eastAsia="仿宋_GB2312"/>
          <w:b w:val="0"/>
          <w:sz w:val="32"/>
        </w:rPr>
        <w:t>本单位无其他需说明的事项。</w:t>
      </w:r>
    </w:p>
    <w:p w14:paraId="6666CE85">
      <w:r>
        <w:br w:type="page"/>
      </w:r>
    </w:p>
    <w:p w14:paraId="04CE6BB6">
      <w:pPr>
        <w:spacing w:line="240" w:lineRule="auto"/>
        <w:jc w:val="center"/>
        <w:outlineLvl w:val="1"/>
      </w:pPr>
      <w:r>
        <w:rPr>
          <w:rFonts w:ascii="黑体" w:hAnsi="黑体" w:eastAsia="黑体"/>
          <w:sz w:val="32"/>
        </w:rPr>
        <w:t>第三部分 专业名词解释</w:t>
      </w:r>
    </w:p>
    <w:p w14:paraId="77D055D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025A09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109CF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14A6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C983E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DFF7A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871FE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431DF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EBFF2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C27471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04239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6E3B2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7579A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E54BB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2276C7">
      <w:r>
        <w:br w:type="page"/>
      </w:r>
    </w:p>
    <w:p w14:paraId="64B5EEE2">
      <w:pPr>
        <w:spacing w:line="240" w:lineRule="auto"/>
        <w:jc w:val="center"/>
        <w:outlineLvl w:val="1"/>
      </w:pPr>
      <w:r>
        <w:rPr>
          <w:rFonts w:ascii="黑体" w:hAnsi="黑体" w:eastAsia="黑体"/>
          <w:sz w:val="32"/>
        </w:rPr>
        <w:t>第四部分 部门决算报表（见附表）</w:t>
      </w:r>
    </w:p>
    <w:p w14:paraId="78639B32">
      <w:pPr>
        <w:spacing w:line="240" w:lineRule="auto"/>
        <w:ind w:firstLine="640"/>
        <w:jc w:val="both"/>
      </w:pPr>
      <w:r>
        <w:rPr>
          <w:rFonts w:ascii="仿宋_GB2312" w:hAnsi="仿宋_GB2312" w:eastAsia="仿宋_GB2312"/>
          <w:b w:val="0"/>
          <w:sz w:val="32"/>
        </w:rPr>
        <w:t>一、《收入支出决算总表》</w:t>
      </w:r>
    </w:p>
    <w:p w14:paraId="132F3346">
      <w:pPr>
        <w:spacing w:line="240" w:lineRule="auto"/>
        <w:ind w:firstLine="640"/>
        <w:jc w:val="both"/>
      </w:pPr>
      <w:r>
        <w:rPr>
          <w:rFonts w:ascii="仿宋_GB2312" w:hAnsi="仿宋_GB2312" w:eastAsia="仿宋_GB2312"/>
          <w:b w:val="0"/>
          <w:sz w:val="32"/>
        </w:rPr>
        <w:t>二、《收入决算表》</w:t>
      </w:r>
    </w:p>
    <w:p w14:paraId="603571D6">
      <w:pPr>
        <w:spacing w:line="240" w:lineRule="auto"/>
        <w:ind w:firstLine="640"/>
        <w:jc w:val="both"/>
      </w:pPr>
      <w:r>
        <w:rPr>
          <w:rFonts w:ascii="仿宋_GB2312" w:hAnsi="仿宋_GB2312" w:eastAsia="仿宋_GB2312"/>
          <w:b w:val="0"/>
          <w:sz w:val="32"/>
        </w:rPr>
        <w:t>三、《支出决算表》</w:t>
      </w:r>
    </w:p>
    <w:p w14:paraId="1C9BFD96">
      <w:pPr>
        <w:spacing w:line="240" w:lineRule="auto"/>
        <w:ind w:firstLine="640"/>
        <w:jc w:val="both"/>
      </w:pPr>
      <w:r>
        <w:rPr>
          <w:rFonts w:ascii="仿宋_GB2312" w:hAnsi="仿宋_GB2312" w:eastAsia="仿宋_GB2312"/>
          <w:b w:val="0"/>
          <w:sz w:val="32"/>
        </w:rPr>
        <w:t>四、《财政拨款收入支出决算总表》</w:t>
      </w:r>
    </w:p>
    <w:p w14:paraId="51872BBB">
      <w:pPr>
        <w:spacing w:line="240" w:lineRule="auto"/>
        <w:ind w:firstLine="640"/>
        <w:jc w:val="both"/>
      </w:pPr>
      <w:r>
        <w:rPr>
          <w:rFonts w:ascii="仿宋_GB2312" w:hAnsi="仿宋_GB2312" w:eastAsia="仿宋_GB2312"/>
          <w:b w:val="0"/>
          <w:sz w:val="32"/>
        </w:rPr>
        <w:t>五、《一般公共预算财政拨款支出决算表》</w:t>
      </w:r>
    </w:p>
    <w:p w14:paraId="09027283">
      <w:pPr>
        <w:spacing w:line="240" w:lineRule="auto"/>
        <w:ind w:firstLine="640"/>
        <w:jc w:val="both"/>
      </w:pPr>
      <w:r>
        <w:rPr>
          <w:rFonts w:ascii="仿宋_GB2312" w:hAnsi="仿宋_GB2312" w:eastAsia="仿宋_GB2312"/>
          <w:b w:val="0"/>
          <w:sz w:val="32"/>
        </w:rPr>
        <w:t>六、《一般公共预算财政拨款基本支出决算表》</w:t>
      </w:r>
    </w:p>
    <w:p w14:paraId="7495CE91">
      <w:pPr>
        <w:spacing w:line="240" w:lineRule="auto"/>
        <w:ind w:firstLine="640"/>
        <w:jc w:val="both"/>
      </w:pPr>
      <w:r>
        <w:rPr>
          <w:rFonts w:ascii="仿宋_GB2312" w:hAnsi="仿宋_GB2312" w:eastAsia="仿宋_GB2312"/>
          <w:b w:val="0"/>
          <w:sz w:val="32"/>
        </w:rPr>
        <w:t>七、《政府性基金预算财政拨款收入支出决算表》</w:t>
      </w:r>
    </w:p>
    <w:p w14:paraId="381A3730">
      <w:pPr>
        <w:spacing w:line="240" w:lineRule="auto"/>
        <w:ind w:firstLine="640"/>
        <w:jc w:val="both"/>
      </w:pPr>
      <w:r>
        <w:rPr>
          <w:rFonts w:ascii="仿宋_GB2312" w:hAnsi="仿宋_GB2312" w:eastAsia="仿宋_GB2312"/>
          <w:b w:val="0"/>
          <w:sz w:val="32"/>
        </w:rPr>
        <w:t>八、《国有资本经营预算财政拨款收入支出决算表》</w:t>
      </w:r>
    </w:p>
    <w:p w14:paraId="6FDD57F7">
      <w:pPr>
        <w:spacing w:line="240" w:lineRule="auto"/>
        <w:ind w:firstLine="640"/>
        <w:jc w:val="both"/>
      </w:pPr>
      <w:r>
        <w:rPr>
          <w:rFonts w:ascii="仿宋_GB2312" w:hAnsi="仿宋_GB2312" w:eastAsia="仿宋_GB2312"/>
          <w:b w:val="0"/>
          <w:sz w:val="32"/>
        </w:rPr>
        <w:t>九、《财政拨款“三公”经费支出决算表》</w:t>
      </w:r>
    </w:p>
    <w:p w14:paraId="2E5E7824">
      <w:pPr>
        <w:spacing w:line="240" w:lineRule="auto"/>
        <w:ind w:firstLine="640"/>
        <w:jc w:val="both"/>
      </w:pPr>
    </w:p>
    <w:p w14:paraId="30E02009">
      <w:pPr>
        <w:spacing w:line="240" w:lineRule="auto"/>
        <w:ind w:firstLine="640"/>
        <w:jc w:val="both"/>
      </w:pPr>
    </w:p>
    <w:p w14:paraId="31C929E5">
      <w:pPr>
        <w:spacing w:line="240" w:lineRule="auto"/>
        <w:ind w:firstLine="640"/>
        <w:jc w:val="both"/>
      </w:pPr>
    </w:p>
    <w:p w14:paraId="31215CA2">
      <w:pPr>
        <w:spacing w:line="240" w:lineRule="auto"/>
        <w:ind w:firstLine="640"/>
        <w:jc w:val="both"/>
      </w:pPr>
    </w:p>
    <w:p w14:paraId="6EF1FA5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443ECA"/>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793F92"/>
    <w:rsid w:val="4B4C0111"/>
    <w:rsid w:val="4BB23021"/>
    <w:rsid w:val="4E2B5A2B"/>
    <w:rsid w:val="4F3F074E"/>
    <w:rsid w:val="50DB5F45"/>
    <w:rsid w:val="52B46FAC"/>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077B0C"/>
    <w:rsid w:val="69846A0E"/>
    <w:rsid w:val="69AD798C"/>
    <w:rsid w:val="6B68175F"/>
    <w:rsid w:val="6B8B5C99"/>
    <w:rsid w:val="6CA7198F"/>
    <w:rsid w:val="6D8919A8"/>
    <w:rsid w:val="6E0F7A08"/>
    <w:rsid w:val="6E801ABC"/>
    <w:rsid w:val="71473612"/>
    <w:rsid w:val="718F7F65"/>
    <w:rsid w:val="71A633AD"/>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4839</Words>
  <Characters>5545</Characters>
  <Lines>0</Lines>
  <Paragraphs>0</Paragraphs>
  <TotalTime>11</TotalTime>
  <ScaleCrop>false</ScaleCrop>
  <LinksUpToDate>false</LinksUpToDate>
  <CharactersWithSpaces>5553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2025-09-04T11:55:27Z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