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0DC028E">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克孜勒苏柯尔克孜自治州图书馆2024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EEC295B">
      <w:r>
        <w:br w:type="page"/>
      </w:r>
    </w:p>
    <w:p w14:paraId="7BADCB8F">
      <w:pPr>
        <w:spacing w:line="640" w:lineRule="exact"/>
        <w:jc w:val="center"/>
        <w:outlineLvl w:val="1"/>
      </w:pPr>
      <w:r>
        <w:rPr>
          <w:rFonts w:ascii="黑体" w:hAnsi="黑体" w:eastAsia="黑体"/>
          <w:sz w:val="32"/>
        </w:rPr>
        <w:t>第一部分 单位概况</w:t>
      </w:r>
    </w:p>
    <w:p w14:paraId="55986B48">
      <w:pPr>
        <w:spacing w:line="640" w:lineRule="exact"/>
        <w:ind w:firstLine="640"/>
        <w:jc w:val="both"/>
        <w:outlineLvl w:val="2"/>
      </w:pPr>
      <w:r>
        <w:rPr>
          <w:rFonts w:ascii="黑体" w:hAnsi="黑体" w:eastAsia="黑体"/>
          <w:sz w:val="32"/>
        </w:rPr>
        <w:t>一、主要职能</w:t>
      </w:r>
    </w:p>
    <w:p w14:paraId="37472E3C">
      <w:pPr>
        <w:spacing w:line="580" w:lineRule="exact"/>
        <w:ind w:firstLine="640"/>
        <w:jc w:val="both"/>
      </w:pPr>
      <w:r>
        <w:rPr>
          <w:rFonts w:ascii="仿宋_GB2312" w:hAnsi="仿宋_GB2312" w:eastAsia="仿宋_GB2312"/>
          <w:sz w:val="32"/>
        </w:rPr>
        <w:t>（1）图书馆的产生是保存人类文化遗产的需要。因为有了图书馆，人类的社会实践所取得的经验、文化、知识才得以系统地保存并流传下来，成为今天人类宝贵的文化遗产和精神财富。</w:t>
      </w:r>
    </w:p>
    <w:p w14:paraId="4E8202BD">
      <w:pPr>
        <w:spacing w:line="580" w:lineRule="exact"/>
        <w:ind w:firstLine="640"/>
        <w:jc w:val="both"/>
      </w:pPr>
      <w:r>
        <w:rPr>
          <w:rFonts w:ascii="仿宋_GB2312" w:hAnsi="仿宋_GB2312" w:eastAsia="仿宋_GB2312"/>
          <w:sz w:val="32"/>
        </w:rPr>
        <w:t>（2）现代社会，图书馆成为继续教育的基地，担负了更多的教育职能。图书馆收藏的图书资料是人类长期积累的一种智力资源，图书馆对这些资源的加工、处理是对这种智力资源的开发。</w:t>
      </w:r>
    </w:p>
    <w:p w14:paraId="6B6F4ED4">
      <w:pPr>
        <w:spacing w:line="580" w:lineRule="exact"/>
        <w:ind w:firstLine="640"/>
        <w:jc w:val="both"/>
      </w:pPr>
      <w:r>
        <w:rPr>
          <w:rFonts w:ascii="仿宋_GB2312" w:hAnsi="仿宋_GB2312" w:eastAsia="仿宋_GB2312"/>
          <w:sz w:val="32"/>
        </w:rPr>
        <w:t>（3）克州图书馆拥有丰富的书刊典籍和品类繁多的现代化载体文献，被誉为“知识的宝库”“智慧的殿堂”，克州图书馆通过开展各类知识讲座，展览等免费开放活动，提高人民群众生活质量，丰富群众业余文化，提升幸福指数。</w:t>
      </w:r>
    </w:p>
    <w:p w14:paraId="447F24B4">
      <w:pPr>
        <w:spacing w:line="640" w:lineRule="exact"/>
        <w:ind w:firstLine="640"/>
        <w:jc w:val="both"/>
        <w:outlineLvl w:val="2"/>
      </w:pPr>
      <w:r>
        <w:rPr>
          <w:rFonts w:ascii="黑体" w:hAnsi="黑体" w:eastAsia="黑体"/>
          <w:sz w:val="32"/>
        </w:rPr>
        <w:t>二、机构设置及人员情况</w:t>
      </w:r>
    </w:p>
    <w:p w14:paraId="49192170">
      <w:pPr>
        <w:spacing w:line="580" w:lineRule="exact"/>
        <w:ind w:firstLine="640"/>
        <w:jc w:val="both"/>
      </w:pPr>
      <w:r>
        <w:rPr>
          <w:rFonts w:ascii="仿宋_GB2312" w:hAnsi="仿宋_GB2312" w:eastAsia="仿宋_GB2312"/>
          <w:sz w:val="32"/>
        </w:rPr>
        <w:t>克孜勒苏柯尔克孜自治州图书馆2024年度，实有人数23人，其中：在职人员9人，减少1人；离休人员0人，增加0人；退休人员14人,增加2人。</w:t>
      </w:r>
    </w:p>
    <w:p w14:paraId="2F258047">
      <w:pPr>
        <w:spacing w:line="580" w:lineRule="exact"/>
        <w:ind w:firstLine="640"/>
        <w:jc w:val="both"/>
      </w:pPr>
      <w:r>
        <w:rPr>
          <w:rFonts w:ascii="仿宋_GB2312" w:hAnsi="仿宋_GB2312" w:eastAsia="仿宋_GB2312"/>
          <w:sz w:val="32"/>
        </w:rPr>
        <w:t>克孜勒苏柯尔克孜自治州图书馆无下属预算单位，下设2个科室，分别是：综合科、业务科。</w:t>
      </w:r>
    </w:p>
    <w:p w14:paraId="0500FC42">
      <w:r>
        <w:br w:type="page"/>
      </w:r>
    </w:p>
    <w:p w14:paraId="0C2F5A09">
      <w:pPr>
        <w:spacing w:line="240" w:lineRule="auto"/>
        <w:jc w:val="center"/>
        <w:outlineLvl w:val="1"/>
      </w:pPr>
      <w:r>
        <w:rPr>
          <w:rFonts w:ascii="黑体" w:hAnsi="黑体" w:eastAsia="黑体"/>
          <w:sz w:val="32"/>
        </w:rPr>
        <w:t>第二部分 部门决算情况说明</w:t>
      </w:r>
    </w:p>
    <w:p w14:paraId="57E10CA1">
      <w:pPr>
        <w:spacing w:line="640" w:lineRule="exact"/>
        <w:ind w:firstLine="640"/>
        <w:jc w:val="both"/>
        <w:outlineLvl w:val="2"/>
      </w:pPr>
      <w:r>
        <w:rPr>
          <w:rFonts w:ascii="黑体" w:hAnsi="黑体" w:eastAsia="黑体"/>
          <w:sz w:val="32"/>
        </w:rPr>
        <w:t>一、收入支出决算总体情况说明</w:t>
      </w:r>
    </w:p>
    <w:p w14:paraId="287442D2">
      <w:pPr>
        <w:spacing w:line="580" w:lineRule="exact"/>
        <w:ind w:firstLine="640"/>
        <w:jc w:val="both"/>
      </w:pPr>
      <w:r>
        <w:rPr>
          <w:rFonts w:ascii="仿宋_GB2312" w:hAnsi="仿宋_GB2312" w:eastAsia="仿宋_GB2312"/>
          <w:b/>
          <w:sz w:val="32"/>
        </w:rPr>
        <w:t>2024年度收入总计333.63万元，</w:t>
      </w:r>
      <w:r>
        <w:rPr>
          <w:rFonts w:ascii="仿宋_GB2312" w:hAnsi="仿宋_GB2312" w:eastAsia="仿宋_GB2312"/>
          <w:b w:val="0"/>
          <w:sz w:val="32"/>
        </w:rPr>
        <w:t>其中：本年收入合计333.63万元，使用非财政拨款结余（含专用结余）0.00万元，年初结转和结余0.00万元。</w:t>
      </w:r>
    </w:p>
    <w:p w14:paraId="19174EFA">
      <w:pPr>
        <w:spacing w:line="580" w:lineRule="exact"/>
        <w:ind w:firstLine="640"/>
        <w:jc w:val="both"/>
      </w:pPr>
      <w:r>
        <w:rPr>
          <w:rFonts w:ascii="仿宋_GB2312" w:hAnsi="仿宋_GB2312" w:eastAsia="仿宋_GB2312"/>
          <w:b/>
          <w:sz w:val="32"/>
        </w:rPr>
        <w:t>2024年度支出总计333.63万元，</w:t>
      </w:r>
      <w:r>
        <w:rPr>
          <w:rFonts w:ascii="仿宋_GB2312" w:hAnsi="仿宋_GB2312" w:eastAsia="仿宋_GB2312"/>
          <w:b w:val="0"/>
          <w:sz w:val="32"/>
        </w:rPr>
        <w:t>其中：本年支出合计333.63万元，结余分配0.00万元，年末结转和结余0.00万元。</w:t>
      </w:r>
    </w:p>
    <w:p w14:paraId="57317A57">
      <w:pPr>
        <w:spacing w:line="580" w:lineRule="exact"/>
        <w:ind w:firstLine="640"/>
        <w:jc w:val="both"/>
      </w:pPr>
      <w:r>
        <w:rPr>
          <w:rFonts w:ascii="仿宋_GB2312" w:hAnsi="仿宋_GB2312" w:eastAsia="仿宋_GB2312"/>
          <w:b w:val="0"/>
          <w:sz w:val="32"/>
        </w:rPr>
        <w:t>收入支出总体与上年相比，增加40.91万元，增长13.98%，主要原因是：本年增加数字化阅读平台建设项目资金及彩票公益金旅游志愿服务项目资金。</w:t>
      </w:r>
    </w:p>
    <w:p w14:paraId="175EAB18">
      <w:pPr>
        <w:spacing w:line="640" w:lineRule="exact"/>
        <w:ind w:firstLine="640"/>
        <w:jc w:val="both"/>
        <w:outlineLvl w:val="2"/>
      </w:pPr>
      <w:r>
        <w:rPr>
          <w:rFonts w:ascii="黑体" w:hAnsi="黑体" w:eastAsia="黑体"/>
          <w:sz w:val="32"/>
        </w:rPr>
        <w:t>二、收入决算情况说明</w:t>
      </w:r>
    </w:p>
    <w:p w14:paraId="30BD9500">
      <w:pPr>
        <w:spacing w:line="580" w:lineRule="exact"/>
        <w:ind w:firstLine="640"/>
        <w:jc w:val="both"/>
      </w:pPr>
      <w:r>
        <w:rPr>
          <w:rFonts w:ascii="仿宋_GB2312" w:hAnsi="仿宋_GB2312" w:eastAsia="仿宋_GB2312"/>
          <w:b/>
          <w:sz w:val="32"/>
        </w:rPr>
        <w:t>本年收入333.63万元，</w:t>
      </w:r>
      <w:r>
        <w:rPr>
          <w:rFonts w:ascii="仿宋_GB2312" w:hAnsi="仿宋_GB2312" w:eastAsia="仿宋_GB2312"/>
          <w:b w:val="0"/>
          <w:sz w:val="32"/>
        </w:rPr>
        <w:t>其中：财政拨款收入333.63万元，占100.00%；上级补助收入0.00万元，占0.00%；事业收入0.00万元，占0.00%；经营收入0.00万元，占0.00%；附属单位上缴收入0.00万元，占0.00%；其他收入0.00万元，占0.00%。</w:t>
      </w:r>
    </w:p>
    <w:p w14:paraId="736D11E0">
      <w:pPr>
        <w:spacing w:line="640" w:lineRule="exact"/>
        <w:ind w:firstLine="640"/>
        <w:jc w:val="both"/>
        <w:outlineLvl w:val="2"/>
      </w:pPr>
      <w:r>
        <w:rPr>
          <w:rFonts w:ascii="黑体" w:hAnsi="黑体" w:eastAsia="黑体"/>
          <w:sz w:val="32"/>
        </w:rPr>
        <w:t>三、支出决算情况说明</w:t>
      </w:r>
    </w:p>
    <w:p w14:paraId="54339852">
      <w:pPr>
        <w:spacing w:line="580" w:lineRule="exact"/>
        <w:ind w:firstLine="640"/>
        <w:jc w:val="both"/>
      </w:pPr>
      <w:r>
        <w:rPr>
          <w:rFonts w:ascii="仿宋_GB2312" w:hAnsi="仿宋_GB2312" w:eastAsia="仿宋_GB2312"/>
          <w:b/>
          <w:sz w:val="32"/>
        </w:rPr>
        <w:t>本年支出333.63万元，</w:t>
      </w:r>
      <w:r>
        <w:rPr>
          <w:rFonts w:ascii="仿宋_GB2312" w:hAnsi="仿宋_GB2312" w:eastAsia="仿宋_GB2312"/>
          <w:b w:val="0"/>
          <w:sz w:val="32"/>
        </w:rPr>
        <w:t>其中：基本支出199.68万元，占59.85%；项目支出133.94万元，占40.15%；上缴上级支出0.00万元，占0.00%；经营支出0.00万元，占0.00%；对附属单位补助支出0.00万元，占0.00%。</w:t>
      </w:r>
    </w:p>
    <w:p w14:paraId="1B76A4DF">
      <w:pPr>
        <w:spacing w:line="640" w:lineRule="exact"/>
        <w:ind w:firstLine="640"/>
        <w:jc w:val="both"/>
        <w:outlineLvl w:val="2"/>
      </w:pPr>
      <w:r>
        <w:rPr>
          <w:rFonts w:ascii="黑体" w:hAnsi="黑体" w:eastAsia="黑体"/>
          <w:sz w:val="32"/>
        </w:rPr>
        <w:t>四、财政拨款收入支出决算总体情况说明</w:t>
      </w:r>
    </w:p>
    <w:p w14:paraId="5F9C142D">
      <w:pPr>
        <w:spacing w:line="580" w:lineRule="exact"/>
        <w:ind w:firstLine="640"/>
        <w:jc w:val="both"/>
      </w:pPr>
      <w:r>
        <w:rPr>
          <w:rFonts w:ascii="仿宋_GB2312" w:hAnsi="仿宋_GB2312" w:eastAsia="仿宋_GB2312"/>
          <w:b/>
          <w:sz w:val="32"/>
        </w:rPr>
        <w:t>2024年度财政拨款收入总计333.63万元，</w:t>
      </w:r>
      <w:r>
        <w:rPr>
          <w:rFonts w:ascii="仿宋_GB2312" w:hAnsi="仿宋_GB2312" w:eastAsia="仿宋_GB2312"/>
          <w:b w:val="0"/>
          <w:sz w:val="32"/>
        </w:rPr>
        <w:t>其中：年初财政拨款结转和结余0.00万元，本年财政拨款收入333.63万元。</w:t>
      </w:r>
      <w:r>
        <w:rPr>
          <w:rFonts w:ascii="仿宋_GB2312" w:hAnsi="仿宋_GB2312" w:eastAsia="仿宋_GB2312"/>
          <w:b/>
          <w:sz w:val="32"/>
        </w:rPr>
        <w:t>财政拨款支出总计333.63万元，</w:t>
      </w:r>
      <w:r>
        <w:rPr>
          <w:rFonts w:ascii="仿宋_GB2312" w:hAnsi="仿宋_GB2312" w:eastAsia="仿宋_GB2312"/>
          <w:b w:val="0"/>
          <w:sz w:val="32"/>
        </w:rPr>
        <w:t>其中：年末财政拨款结转和结余0.00万元，本年财政拨款支出333.63万元。</w:t>
      </w:r>
    </w:p>
    <w:p w14:paraId="651EEAB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增加41.24万元，增长14.10%，主要原因是：本年增加数字化阅读平台建设项目资金及彩票公益金旅游志愿服务项目资金。</w:t>
      </w:r>
      <w:r>
        <w:rPr>
          <w:rFonts w:ascii="仿宋_GB2312" w:hAnsi="仿宋_GB2312" w:eastAsia="仿宋_GB2312"/>
          <w:b/>
          <w:sz w:val="32"/>
        </w:rPr>
        <w:t>与年初预算相比，</w:t>
      </w:r>
      <w:r>
        <w:rPr>
          <w:rFonts w:ascii="仿宋_GB2312" w:hAnsi="仿宋_GB2312" w:eastAsia="仿宋_GB2312"/>
          <w:b w:val="0"/>
          <w:sz w:val="32"/>
        </w:rPr>
        <w:t>年初预算数316.60万元，决算数333.63万元，预决算差异率5.38%，主要原因是：年中追加数字化阅读平台建设项目资金及彩票公益金旅游志愿服务项目资金。</w:t>
      </w:r>
    </w:p>
    <w:p w14:paraId="22381441">
      <w:pPr>
        <w:spacing w:line="640" w:lineRule="exact"/>
        <w:ind w:firstLine="640"/>
        <w:jc w:val="both"/>
        <w:outlineLvl w:val="2"/>
      </w:pPr>
      <w:r>
        <w:rPr>
          <w:rFonts w:ascii="黑体" w:hAnsi="黑体" w:eastAsia="黑体"/>
          <w:sz w:val="32"/>
        </w:rPr>
        <w:t>五、一般公共预算财政拨款支出决算情况说明</w:t>
      </w:r>
    </w:p>
    <w:p w14:paraId="192CB74A">
      <w:pPr>
        <w:spacing w:line="640" w:lineRule="exact"/>
        <w:ind w:firstLine="640"/>
        <w:jc w:val="both"/>
        <w:outlineLvl w:val="3"/>
      </w:pPr>
      <w:r>
        <w:rPr>
          <w:rFonts w:ascii="楷体_GB2312" w:hAnsi="楷体_GB2312" w:eastAsia="楷体_GB2312"/>
          <w:b/>
          <w:sz w:val="32"/>
        </w:rPr>
        <w:t>（一）一般公共预算财政拨款支出决算总体情况</w:t>
      </w:r>
    </w:p>
    <w:p w14:paraId="441E3571">
      <w:pPr>
        <w:spacing w:line="580" w:lineRule="exact"/>
        <w:ind w:firstLine="640"/>
        <w:jc w:val="both"/>
      </w:pPr>
      <w:r>
        <w:rPr>
          <w:rFonts w:ascii="仿宋_GB2312" w:hAnsi="仿宋_GB2312" w:eastAsia="仿宋_GB2312"/>
          <w:b/>
          <w:sz w:val="32"/>
        </w:rPr>
        <w:t>2024年度一般公共预算财政拨款支出262.66万元，</w:t>
      </w:r>
      <w:r>
        <w:rPr>
          <w:rFonts w:ascii="仿宋_GB2312" w:hAnsi="仿宋_GB2312" w:eastAsia="仿宋_GB2312"/>
          <w:b w:val="0"/>
          <w:sz w:val="32"/>
        </w:rPr>
        <w:t>占本年支出合计的78.73%。</w:t>
      </w:r>
      <w:r>
        <w:rPr>
          <w:rFonts w:ascii="仿宋_GB2312" w:hAnsi="仿宋_GB2312" w:eastAsia="仿宋_GB2312"/>
          <w:b/>
          <w:sz w:val="32"/>
        </w:rPr>
        <w:t>与上年相比，</w:t>
      </w:r>
      <w:r>
        <w:rPr>
          <w:rFonts w:ascii="仿宋_GB2312" w:hAnsi="仿宋_GB2312" w:eastAsia="仿宋_GB2312"/>
          <w:b w:val="0"/>
          <w:sz w:val="32"/>
        </w:rPr>
        <w:t>减少29.73万元，下降10.17%，主要原因是：本年减少智慧图书建设、图书馆图书配置费。</w:t>
      </w:r>
      <w:r>
        <w:rPr>
          <w:rFonts w:ascii="仿宋_GB2312" w:hAnsi="仿宋_GB2312" w:eastAsia="仿宋_GB2312"/>
          <w:b/>
          <w:sz w:val="32"/>
        </w:rPr>
        <w:t>与年初预算相比,</w:t>
      </w:r>
      <w:r>
        <w:rPr>
          <w:rFonts w:ascii="仿宋_GB2312" w:hAnsi="仿宋_GB2312" w:eastAsia="仿宋_GB2312"/>
          <w:b w:val="0"/>
          <w:sz w:val="32"/>
        </w:rPr>
        <w:t>年初预算数246.60万元，决算数262.66万元，预决算差异率6.51%，主要原因是：年中追加人员工资、社保、公积金基数调增部分资金，导致预决算存在差异。</w:t>
      </w:r>
    </w:p>
    <w:p w14:paraId="0AE12CCB">
      <w:pPr>
        <w:spacing w:line="640" w:lineRule="exact"/>
        <w:ind w:firstLine="640"/>
        <w:jc w:val="both"/>
        <w:outlineLvl w:val="3"/>
      </w:pPr>
      <w:r>
        <w:rPr>
          <w:rFonts w:ascii="楷体_GB2312" w:hAnsi="楷体_GB2312" w:eastAsia="楷体_GB2312"/>
          <w:b/>
          <w:sz w:val="32"/>
        </w:rPr>
        <w:t>（二）一般公共预算财政拨款支出决算结构情况</w:t>
      </w:r>
    </w:p>
    <w:p w14:paraId="467EC02A">
      <w:pPr>
        <w:spacing w:line="580" w:lineRule="exact"/>
        <w:ind w:firstLine="640"/>
        <w:jc w:val="both"/>
      </w:pPr>
      <w:r>
        <w:rPr>
          <w:rFonts w:ascii="仿宋_GB2312" w:hAnsi="仿宋_GB2312" w:eastAsia="仿宋_GB2312"/>
          <w:b w:val="0"/>
          <w:sz w:val="32"/>
        </w:rPr>
        <w:t>1.文化旅游体育与传媒支出(类)227.28万元,占86.53%。</w:t>
      </w:r>
    </w:p>
    <w:p w14:paraId="539B53FC">
      <w:pPr>
        <w:spacing w:line="580" w:lineRule="exact"/>
        <w:ind w:firstLine="640"/>
        <w:jc w:val="both"/>
      </w:pPr>
      <w:r>
        <w:rPr>
          <w:rFonts w:ascii="仿宋_GB2312" w:hAnsi="仿宋_GB2312" w:eastAsia="仿宋_GB2312"/>
          <w:b w:val="0"/>
          <w:sz w:val="32"/>
        </w:rPr>
        <w:t>2.社会保障和就业支出(类)35.38万元,占13.47%。</w:t>
      </w:r>
    </w:p>
    <w:p w14:paraId="01660829">
      <w:pPr>
        <w:spacing w:line="640" w:lineRule="exact"/>
        <w:ind w:firstLine="640"/>
        <w:jc w:val="both"/>
        <w:outlineLvl w:val="3"/>
      </w:pPr>
      <w:r>
        <w:rPr>
          <w:rFonts w:ascii="楷体_GB2312" w:hAnsi="楷体_GB2312" w:eastAsia="楷体_GB2312"/>
          <w:b/>
          <w:sz w:val="32"/>
        </w:rPr>
        <w:t>（三）一般公共预算财政拨款支出决算具体情况</w:t>
      </w:r>
    </w:p>
    <w:p w14:paraId="29FCF5B4">
      <w:pPr>
        <w:spacing w:line="580" w:lineRule="exact"/>
        <w:ind w:firstLine="640"/>
        <w:jc w:val="both"/>
      </w:pPr>
      <w:r>
        <w:rPr>
          <w:rFonts w:ascii="仿宋_GB2312" w:hAnsi="仿宋_GB2312" w:eastAsia="仿宋_GB2312"/>
          <w:b w:val="0"/>
          <w:sz w:val="32"/>
        </w:rPr>
        <w:t>1.文化旅游体育与传媒支出(类)文化和旅游(款)图书馆(项):支出决算数为181.56万元，比上年决算减少9.50万元，下降4.97%,主要原因是：本年在职人员减少，人员经费减少</w:t>
      </w:r>
      <w:r>
        <w:rPr>
          <w:rFonts w:hint="eastAsia" w:ascii="仿宋_GB2312" w:hAnsi="仿宋_GB2312" w:eastAsia="仿宋_GB2312"/>
          <w:b w:val="0"/>
          <w:sz w:val="32"/>
          <w:lang w:eastAsia="zh-CN"/>
        </w:rPr>
        <w:t>；</w:t>
      </w:r>
      <w:r>
        <w:rPr>
          <w:rFonts w:ascii="仿宋_GB2312" w:hAnsi="仿宋_GB2312" w:eastAsia="仿宋_GB2312"/>
          <w:b w:val="0"/>
          <w:sz w:val="32"/>
        </w:rPr>
        <w:t>本年功能科目调整，养老保险缴费上年度在主科目列支，本年单独列支，导致经费较上年</w:t>
      </w:r>
      <w:r>
        <w:rPr>
          <w:rFonts w:hint="eastAsia" w:ascii="仿宋_GB2312" w:hAnsi="仿宋_GB2312" w:eastAsia="仿宋_GB2312"/>
          <w:b w:val="0"/>
          <w:sz w:val="32"/>
          <w:lang w:val="en-US" w:eastAsia="zh-CN"/>
        </w:rPr>
        <w:t>减少</w:t>
      </w:r>
      <w:r>
        <w:rPr>
          <w:rFonts w:ascii="仿宋_GB2312" w:hAnsi="仿宋_GB2312" w:eastAsia="仿宋_GB2312"/>
          <w:b w:val="0"/>
          <w:sz w:val="32"/>
        </w:rPr>
        <w:t>。</w:t>
      </w:r>
    </w:p>
    <w:p w14:paraId="71CB3FF7">
      <w:pPr>
        <w:spacing w:line="580" w:lineRule="exact"/>
        <w:ind w:firstLine="640"/>
        <w:jc w:val="both"/>
      </w:pPr>
      <w:r>
        <w:rPr>
          <w:rFonts w:ascii="仿宋_GB2312" w:hAnsi="仿宋_GB2312" w:eastAsia="仿宋_GB2312"/>
          <w:b w:val="0"/>
          <w:sz w:val="32"/>
        </w:rPr>
        <w:t>2.文化旅游体育与传媒支出(类)文化和旅游(款)其他文化和旅游支出(项):支出决算数为45.72万元，比上年决算减少8.99万元，下降16.43%,主要原因是：本年减少免费开放活动经费。</w:t>
      </w:r>
    </w:p>
    <w:p w14:paraId="4E5686A5">
      <w:pPr>
        <w:spacing w:line="580" w:lineRule="exact"/>
        <w:ind w:firstLine="640"/>
        <w:jc w:val="both"/>
      </w:pPr>
      <w:r>
        <w:rPr>
          <w:rFonts w:ascii="仿宋_GB2312" w:hAnsi="仿宋_GB2312" w:eastAsia="仿宋_GB2312"/>
          <w:b w:val="0"/>
          <w:sz w:val="32"/>
        </w:rPr>
        <w:t>3.文化旅游体育与传媒支出(类)其他文化旅游体育与传媒支出(款)其他文化旅游体育与传媒支出(项):支出决算数为0.00万元，比上年决算减少35.00万元，下降100.00%,主要原因是：本年减少智慧图书建设、图书馆图书配置费。</w:t>
      </w:r>
    </w:p>
    <w:p w14:paraId="03D21070">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16.69万元，比上年决算增加16.69万元，增长100.00%,主要原因是：本年功能科目调整，养老保险缴费上年度在主科目列支，本年单独列支，导致经费较上年增加。</w:t>
      </w:r>
    </w:p>
    <w:p w14:paraId="3FE24029">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5.社会保障和就业支出(类)行政事业单位养老支出(款)机关事业单位职业年金缴费支出(项):支出决算数为15.43万元，比上年决算增加9.84万元，增长176.03%,主要原因是：本年新增退休人员，职业年金缴费支出增加。</w:t>
      </w:r>
    </w:p>
    <w:p w14:paraId="67DDA95C">
      <w:pPr>
        <w:spacing w:line="580" w:lineRule="exact"/>
        <w:ind w:firstLine="640"/>
        <w:jc w:val="both"/>
      </w:pPr>
      <w:r>
        <w:rPr>
          <w:rFonts w:ascii="仿宋_GB2312" w:hAnsi="仿宋_GB2312" w:eastAsia="仿宋_GB2312"/>
          <w:b w:val="0"/>
          <w:sz w:val="32"/>
        </w:rPr>
        <w:t>6.社会保障和就业支出(类)就业补助(款)就业见习补贴(项):支出决算数为3.26万元，比上年决算减少2.77万元，下降45.94%,主要原因是：本年减少就业见习补贴。</w:t>
      </w:r>
    </w:p>
    <w:p w14:paraId="70106C71">
      <w:pPr>
        <w:spacing w:line="640" w:lineRule="exact"/>
        <w:ind w:firstLine="640"/>
        <w:jc w:val="both"/>
        <w:outlineLvl w:val="2"/>
      </w:pPr>
      <w:r>
        <w:rPr>
          <w:rFonts w:ascii="黑体" w:hAnsi="黑体" w:eastAsia="黑体"/>
          <w:sz w:val="32"/>
        </w:rPr>
        <w:t>六、一般公共预算财政拨款基本支出决算情况说明</w:t>
      </w:r>
    </w:p>
    <w:p w14:paraId="23EFF679">
      <w:pPr>
        <w:spacing w:line="580" w:lineRule="exact"/>
        <w:ind w:firstLine="640"/>
        <w:jc w:val="both"/>
      </w:pPr>
      <w:r>
        <w:rPr>
          <w:rFonts w:ascii="仿宋_GB2312" w:hAnsi="仿宋_GB2312" w:eastAsia="仿宋_GB2312"/>
          <w:b w:val="0"/>
          <w:sz w:val="32"/>
        </w:rPr>
        <w:t>2024年度一般公共预算财政拨款基本支出199.68万元，其中：</w:t>
      </w:r>
      <w:r>
        <w:rPr>
          <w:rFonts w:ascii="仿宋_GB2312" w:hAnsi="仿宋_GB2312" w:eastAsia="仿宋_GB2312"/>
          <w:b/>
          <w:sz w:val="32"/>
        </w:rPr>
        <w:t>人员经费195.70万元，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包括：基本工资、津贴补贴、奖金、机关事业单位基本养老保险缴费、职业年金缴费、职工基本医疗保险缴费、其他社会保障缴费、住房公积金、退休费、奖励金。</w:t>
      </w:r>
    </w:p>
    <w:p w14:paraId="2A683781">
      <w:pPr>
        <w:spacing w:line="580" w:lineRule="exact"/>
        <w:ind w:firstLine="640"/>
        <w:jc w:val="both"/>
      </w:pPr>
      <w:r>
        <w:rPr>
          <w:rFonts w:ascii="仿宋_GB2312" w:hAnsi="仿宋_GB2312" w:eastAsia="仿宋_GB2312"/>
          <w:b/>
          <w:sz w:val="32"/>
        </w:rPr>
        <w:t>公用经费3.98万元，</w:t>
      </w:r>
      <w:r>
        <w:rPr>
          <w:rFonts w:ascii="仿宋_GB2312" w:hAnsi="仿宋_GB2312" w:eastAsia="仿宋_GB2312"/>
          <w:b w:val="0"/>
          <w:sz w:val="32"/>
        </w:rPr>
        <w:t>包括：办公费、工会经费、福利费、公务用车运行维护费、其他商品和服务支出。</w:t>
      </w:r>
    </w:p>
    <w:p w14:paraId="7DBD3CE7">
      <w:pPr>
        <w:spacing w:line="640" w:lineRule="exact"/>
        <w:ind w:firstLine="640"/>
        <w:jc w:val="both"/>
        <w:outlineLvl w:val="2"/>
      </w:pPr>
      <w:r>
        <w:rPr>
          <w:rFonts w:ascii="黑体" w:hAnsi="黑体" w:eastAsia="黑体"/>
          <w:sz w:val="32"/>
        </w:rPr>
        <w:t>七、政府性基金预算财政拨款收入支出决算情况说明</w:t>
      </w:r>
    </w:p>
    <w:p w14:paraId="3726B184">
      <w:pPr>
        <w:spacing w:line="580" w:lineRule="exact"/>
        <w:ind w:firstLine="640"/>
        <w:jc w:val="both"/>
      </w:pPr>
      <w:r>
        <w:rPr>
          <w:rFonts w:ascii="仿宋_GB2312" w:hAnsi="仿宋_GB2312" w:eastAsia="仿宋_GB2312"/>
          <w:b/>
          <w:sz w:val="32"/>
        </w:rPr>
        <w:t>2024年度政府性基金预算财政拨款收入总计70.97万元，</w:t>
      </w:r>
      <w:r>
        <w:rPr>
          <w:rFonts w:ascii="仿宋_GB2312" w:hAnsi="仿宋_GB2312" w:eastAsia="仿宋_GB2312"/>
          <w:b w:val="0"/>
          <w:sz w:val="32"/>
        </w:rPr>
        <w:t>其中：年初结转和结余0.00万元，本年收入70.97万元。</w:t>
      </w:r>
      <w:r>
        <w:rPr>
          <w:rFonts w:ascii="仿宋_GB2312" w:hAnsi="仿宋_GB2312" w:eastAsia="仿宋_GB2312"/>
          <w:b/>
          <w:sz w:val="32"/>
        </w:rPr>
        <w:t>政府性基金预算财政拨款支出总计70.97万元，</w:t>
      </w:r>
      <w:r>
        <w:rPr>
          <w:rFonts w:ascii="仿宋_GB2312" w:hAnsi="仿宋_GB2312" w:eastAsia="仿宋_GB2312"/>
          <w:b w:val="0"/>
          <w:sz w:val="32"/>
        </w:rPr>
        <w:t>其中：年末结转和结余0.00万元，本年支出70.97万元。</w:t>
      </w:r>
    </w:p>
    <w:p w14:paraId="31774535">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增加70.97万元，增长100.00%，主要原因是：本年增加数字化阅读平台建设项目资金及彩票公益金旅游志愿服务项目资金。</w:t>
      </w:r>
      <w:r>
        <w:rPr>
          <w:rFonts w:ascii="仿宋_GB2312" w:hAnsi="仿宋_GB2312" w:eastAsia="仿宋_GB2312"/>
          <w:b/>
          <w:sz w:val="32"/>
        </w:rPr>
        <w:t>与年初预算相比，</w:t>
      </w:r>
      <w:r>
        <w:rPr>
          <w:rFonts w:ascii="仿宋_GB2312" w:hAnsi="仿宋_GB2312" w:eastAsia="仿宋_GB2312"/>
          <w:b w:val="0"/>
          <w:sz w:val="32"/>
        </w:rPr>
        <w:t>年初预算数70.00万元，决算数70.97万元，预决算差异率1.39%，主要原因是：年中追加彩票公益金旅游志愿服务项目资金。</w:t>
      </w:r>
    </w:p>
    <w:p w14:paraId="5FF0AEF6">
      <w:pPr>
        <w:spacing w:line="580" w:lineRule="exact"/>
        <w:ind w:firstLine="640"/>
        <w:jc w:val="both"/>
      </w:pPr>
      <w:r>
        <w:rPr>
          <w:rFonts w:ascii="仿宋_GB2312" w:hAnsi="仿宋_GB2312" w:eastAsia="仿宋_GB2312"/>
          <w:b w:val="0"/>
          <w:sz w:val="32"/>
        </w:rPr>
        <w:t>政府性基金预算财政拨款支出70.97万元。</w:t>
      </w:r>
    </w:p>
    <w:p w14:paraId="6BAA28DC">
      <w:pPr>
        <w:spacing w:line="580" w:lineRule="exact"/>
        <w:ind w:firstLine="640"/>
        <w:jc w:val="both"/>
      </w:pPr>
      <w:r>
        <w:rPr>
          <w:rFonts w:ascii="仿宋_GB2312" w:hAnsi="仿宋_GB2312" w:eastAsia="仿宋_GB2312"/>
          <w:b w:val="0"/>
          <w:sz w:val="32"/>
        </w:rPr>
        <w:t>1.其他支出(类)彩票公益金安排的支出(款)用于文化事业的彩票公益金支出(项):支出决算数为70.97万元，比上年决算增加70.97万元，增长100.00%,主要原因是：本年增加数字化阅读平台建设项目资金及彩票公益金旅游志愿服务项目资金。</w:t>
      </w:r>
    </w:p>
    <w:p w14:paraId="3C20656E">
      <w:pPr>
        <w:spacing w:line="640" w:lineRule="exact"/>
        <w:ind w:firstLine="640"/>
        <w:jc w:val="both"/>
        <w:outlineLvl w:val="2"/>
      </w:pPr>
      <w:r>
        <w:rPr>
          <w:rFonts w:ascii="黑体" w:hAnsi="黑体" w:eastAsia="黑体"/>
          <w:sz w:val="32"/>
        </w:rPr>
        <w:t>八、国有资本经营预算财政拨款收入支出决算情况说明</w:t>
      </w:r>
    </w:p>
    <w:p w14:paraId="1189FFB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9437A7A">
      <w:pPr>
        <w:spacing w:line="640" w:lineRule="exact"/>
        <w:ind w:firstLine="640"/>
        <w:jc w:val="both"/>
        <w:outlineLvl w:val="2"/>
      </w:pPr>
      <w:r>
        <w:rPr>
          <w:rFonts w:ascii="黑体" w:hAnsi="黑体" w:eastAsia="黑体"/>
          <w:sz w:val="32"/>
        </w:rPr>
        <w:t>九、财政拨款“三公”经费支出决算情况说明</w:t>
      </w:r>
    </w:p>
    <w:p w14:paraId="512531F5">
      <w:pPr>
        <w:spacing w:line="580" w:lineRule="exact"/>
        <w:ind w:firstLine="640"/>
        <w:jc w:val="both"/>
      </w:pPr>
      <w:r>
        <w:rPr>
          <w:rFonts w:ascii="仿宋_GB2312" w:hAnsi="仿宋_GB2312" w:eastAsia="仿宋_GB2312"/>
          <w:b/>
          <w:sz w:val="32"/>
        </w:rPr>
        <w:t>2024年度财政拨款“三公”经费支出0.25万元，</w:t>
      </w:r>
      <w:r>
        <w:rPr>
          <w:rFonts w:ascii="仿宋_GB2312" w:hAnsi="仿宋_GB2312" w:eastAsia="仿宋_GB2312"/>
          <w:b w:val="0"/>
          <w:sz w:val="32"/>
        </w:rPr>
        <w:t>比上年增加0.25万元，增长100.00%，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0.25万元，占100.00%，比上年增加0.25万元，增长100.00%，主要原因是：本年因业务需求，用车次数增加，燃油费增加，导致公务用车运行维护费较上年增加。公务接待费支出0.00万元，占0.00%，比上年增加0.00万元，增长0.00%，主要原因是：2023年与2024年均未安排公务接待费支出。</w:t>
      </w:r>
    </w:p>
    <w:p w14:paraId="78F31F5D">
      <w:pPr>
        <w:spacing w:line="580" w:lineRule="exact"/>
        <w:ind w:firstLine="640"/>
        <w:jc w:val="both"/>
      </w:pPr>
      <w:r>
        <w:rPr>
          <w:rFonts w:ascii="仿宋_GB2312" w:hAnsi="仿宋_GB2312" w:eastAsia="仿宋_GB2312"/>
          <w:b/>
          <w:sz w:val="32"/>
        </w:rPr>
        <w:t>具体情况如下：</w:t>
      </w:r>
    </w:p>
    <w:p w14:paraId="4F0C63B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62AA275">
      <w:pPr>
        <w:spacing w:line="580" w:lineRule="exact"/>
        <w:ind w:firstLine="640"/>
        <w:jc w:val="both"/>
      </w:pPr>
      <w:r>
        <w:rPr>
          <w:rFonts w:ascii="仿宋_GB2312" w:hAnsi="仿宋_GB2312" w:eastAsia="仿宋_GB2312"/>
          <w:b w:val="0"/>
          <w:sz w:val="32"/>
        </w:rPr>
        <w:t>公务用车购置及运行维护费0.25万元，其中：公务用车购置费0.00万元，公务用车运行维护费0.25万元。公务用车运行维护费开支内容包括车辆加油费、维护费、保险费。公务用车购置数0辆，公务用车保有量1辆。国有资产占用情况中固定资产车辆0辆，与公务用车保有量差异原因是：借用其他单位车辆，车辆费用由本单位支付。</w:t>
      </w:r>
    </w:p>
    <w:p w14:paraId="76F5D68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7DAF4F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0.25万元，决算数0.25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0.25万元，决算数0.25万元，预决算差异率0.00%，主要原因是：严格按照预算执行，预决算无差异。公务接待费全年预算数0.00万元，决算数0.00万元，预决算差异率0.00%，主要原因是：本单位无公务接待费。</w:t>
      </w:r>
    </w:p>
    <w:p w14:paraId="7F613E9A">
      <w:pPr>
        <w:spacing w:line="640" w:lineRule="exact"/>
        <w:ind w:firstLine="640"/>
        <w:jc w:val="both"/>
        <w:outlineLvl w:val="2"/>
      </w:pPr>
      <w:r>
        <w:rPr>
          <w:rFonts w:ascii="黑体" w:hAnsi="黑体" w:eastAsia="黑体"/>
          <w:sz w:val="32"/>
        </w:rPr>
        <w:t>十、其他重要事项的情况说明</w:t>
      </w:r>
    </w:p>
    <w:p w14:paraId="5CC0FBBF">
      <w:pPr>
        <w:spacing w:line="640" w:lineRule="exact"/>
        <w:ind w:firstLine="640"/>
        <w:jc w:val="both"/>
        <w:outlineLvl w:val="3"/>
      </w:pPr>
      <w:r>
        <w:rPr>
          <w:rFonts w:ascii="楷体_GB2312" w:hAnsi="楷体_GB2312" w:eastAsia="楷体_GB2312"/>
          <w:b/>
          <w:sz w:val="32"/>
        </w:rPr>
        <w:t>（一）机关运行经费及公用经费支出情况</w:t>
      </w:r>
    </w:p>
    <w:p w14:paraId="2B9AB7C0">
      <w:pPr>
        <w:spacing w:line="580" w:lineRule="exact"/>
        <w:ind w:firstLine="640"/>
        <w:jc w:val="both"/>
      </w:pPr>
      <w:r>
        <w:rPr>
          <w:rFonts w:ascii="仿宋_GB2312" w:hAnsi="仿宋_GB2312" w:eastAsia="仿宋_GB2312"/>
          <w:b w:val="0"/>
          <w:sz w:val="32"/>
        </w:rPr>
        <w:t>2024年度克孜勒苏柯尔克孜自治州图书馆（事业单位）公用经费支出3.98万元，比上年减少0.63万元，下降13.67%，主要原因是：严格控制公用经费，合理节约办公用品，减少不必要开支。</w:t>
      </w:r>
    </w:p>
    <w:p w14:paraId="7F7F710E">
      <w:pPr>
        <w:spacing w:line="640" w:lineRule="exact"/>
        <w:ind w:firstLine="640"/>
        <w:jc w:val="both"/>
        <w:outlineLvl w:val="3"/>
      </w:pPr>
      <w:r>
        <w:rPr>
          <w:rFonts w:ascii="楷体_GB2312" w:hAnsi="楷体_GB2312" w:eastAsia="楷体_GB2312"/>
          <w:b/>
          <w:sz w:val="32"/>
        </w:rPr>
        <w:t>（二）政府采购情况</w:t>
      </w:r>
    </w:p>
    <w:p w14:paraId="74F61A3F">
      <w:pPr>
        <w:spacing w:line="580" w:lineRule="exact"/>
        <w:ind w:firstLine="640"/>
        <w:jc w:val="both"/>
      </w:pPr>
      <w:r>
        <w:rPr>
          <w:rFonts w:ascii="仿宋_GB2312" w:hAnsi="仿宋_GB2312" w:eastAsia="仿宋_GB2312"/>
          <w:b w:val="0"/>
          <w:sz w:val="32"/>
        </w:rPr>
        <w:t>2024年度政府采购支出总额31.71万元，其中：政府采购货物支出12.79万元、政府采购工程支出0.00万元、政府采购服务支出18.93万元。</w:t>
      </w:r>
    </w:p>
    <w:p w14:paraId="37BA61D3">
      <w:pPr>
        <w:spacing w:line="580" w:lineRule="exact"/>
        <w:ind w:firstLine="640"/>
        <w:jc w:val="both"/>
      </w:pPr>
      <w:r>
        <w:rPr>
          <w:rFonts w:ascii="仿宋_GB2312" w:hAnsi="仿宋_GB2312" w:eastAsia="仿宋_GB2312"/>
          <w:b w:val="0"/>
          <w:sz w:val="32"/>
        </w:rPr>
        <w:t>授予中小企业合同金额31.71万元，占政府采购支出总额的100.00%，其中：授予小微企业合同金额31.58万元，占政府采购支出总额的99.59%。</w:t>
      </w:r>
    </w:p>
    <w:p w14:paraId="1105983B">
      <w:pPr>
        <w:spacing w:line="640" w:lineRule="exact"/>
        <w:ind w:firstLine="640"/>
        <w:jc w:val="both"/>
        <w:outlineLvl w:val="3"/>
      </w:pPr>
      <w:r>
        <w:rPr>
          <w:rFonts w:ascii="楷体_GB2312" w:hAnsi="楷体_GB2312" w:eastAsia="楷体_GB2312"/>
          <w:b/>
          <w:sz w:val="32"/>
        </w:rPr>
        <w:t>（三）国有资产占用情况说明</w:t>
      </w:r>
    </w:p>
    <w:p w14:paraId="0C1873FF">
      <w:pPr>
        <w:spacing w:line="580" w:lineRule="exact"/>
        <w:ind w:firstLine="640"/>
        <w:jc w:val="both"/>
      </w:pPr>
      <w:r>
        <w:rPr>
          <w:rFonts w:ascii="仿宋_GB2312" w:hAnsi="仿宋_GB2312" w:eastAsia="仿宋_GB2312"/>
          <w:b w:val="0"/>
          <w:sz w:val="32"/>
        </w:rPr>
        <w:t>截至2024年12月31日，房屋1,882.00平方米，价值63.00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271ECDB7">
      <w:pPr>
        <w:spacing w:line="640" w:lineRule="exact"/>
        <w:ind w:firstLine="640"/>
        <w:jc w:val="both"/>
        <w:outlineLvl w:val="2"/>
      </w:pPr>
      <w:r>
        <w:rPr>
          <w:rFonts w:ascii="黑体" w:hAnsi="黑体" w:eastAsia="黑体"/>
          <w:sz w:val="32"/>
        </w:rPr>
        <w:t>十一、预算绩效的情况说明</w:t>
      </w:r>
    </w:p>
    <w:p w14:paraId="5E38F14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333.62万元，实际执行总额333.62万元；预算绩效评价项目6个，全年预算数149.54万元，全年执行数149.23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64CEC03E">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E3DEDC7">
        <w:tblPrEx>
          <w:tblCellMar>
            <w:top w:w="0" w:type="dxa"/>
            <w:left w:w="108" w:type="dxa"/>
            <w:bottom w:w="0" w:type="dxa"/>
            <w:right w:w="108" w:type="dxa"/>
          </w:tblCellMar>
        </w:tblPrEx>
        <w:tc>
          <w:tcPr>
            <w:tcW w:w="8840" w:type="dxa"/>
            <w:gridSpan w:val="8"/>
            <w:vAlign w:val="center"/>
          </w:tcPr>
          <w:p w14:paraId="5795EBDA">
            <w:pPr>
              <w:jc w:val="center"/>
            </w:pPr>
            <w:r>
              <w:rPr>
                <w:rFonts w:ascii="宋体" w:hAnsi="宋体" w:eastAsia="宋体"/>
                <w:sz w:val="24"/>
              </w:rPr>
              <w:t>单位整体支出绩效自评表</w:t>
            </w:r>
          </w:p>
        </w:tc>
      </w:tr>
      <w:tr w14:paraId="7FB23BEA">
        <w:tblPrEx>
          <w:tblCellMar>
            <w:top w:w="0" w:type="dxa"/>
            <w:left w:w="108" w:type="dxa"/>
            <w:bottom w:w="0" w:type="dxa"/>
            <w:right w:w="108" w:type="dxa"/>
          </w:tblCellMar>
        </w:tblPrEx>
        <w:tc>
          <w:tcPr>
            <w:tcW w:w="8840" w:type="dxa"/>
            <w:gridSpan w:val="8"/>
            <w:vAlign w:val="center"/>
          </w:tcPr>
          <w:p w14:paraId="5A85038B">
            <w:pPr>
              <w:jc w:val="center"/>
            </w:pPr>
            <w:r>
              <w:rPr>
                <w:rFonts w:ascii="宋体" w:hAnsi="宋体" w:eastAsia="宋体"/>
                <w:sz w:val="24"/>
              </w:rPr>
              <w:t>（2024年度）</w:t>
            </w:r>
          </w:p>
        </w:tc>
      </w:tr>
      <w:tr w14:paraId="5AF52DA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D44897">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4CD91F">
            <w:pPr>
              <w:jc w:val="center"/>
            </w:pPr>
            <w:r>
              <w:rPr>
                <w:rFonts w:ascii="宋体" w:hAnsi="宋体" w:eastAsia="宋体"/>
                <w:sz w:val="16"/>
              </w:rPr>
              <w:t>克孜勒苏柯尔克孜自治州图书馆</w:t>
            </w:r>
          </w:p>
        </w:tc>
      </w:tr>
      <w:tr w14:paraId="00FDDF4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50BD0C">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43B919">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282ABD">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262E59">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136EC5">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16EE7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7E41C7">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E2C08F">
            <w:pPr>
              <w:jc w:val="center"/>
            </w:pPr>
            <w:r>
              <w:rPr>
                <w:rFonts w:ascii="宋体" w:hAnsi="宋体" w:eastAsia="宋体"/>
                <w:sz w:val="16"/>
              </w:rPr>
              <w:t>得分</w:t>
            </w:r>
          </w:p>
        </w:tc>
      </w:tr>
      <w:tr w14:paraId="1AD506F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61F24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815659">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6917EE">
            <w:pPr>
              <w:jc w:val="center"/>
            </w:pPr>
            <w:r>
              <w:rPr>
                <w:rFonts w:ascii="宋体" w:hAnsi="宋体" w:eastAsia="宋体"/>
                <w:sz w:val="16"/>
              </w:rPr>
              <w:t>335.14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BCE86B">
            <w:pPr>
              <w:jc w:val="center"/>
            </w:pPr>
            <w:r>
              <w:rPr>
                <w:rFonts w:ascii="宋体" w:hAnsi="宋体" w:eastAsia="宋体"/>
                <w:sz w:val="16"/>
              </w:rPr>
              <w:t>333.62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82E829">
            <w:pPr>
              <w:jc w:val="center"/>
            </w:pPr>
            <w:r>
              <w:rPr>
                <w:rFonts w:ascii="宋体" w:hAnsi="宋体" w:eastAsia="宋体"/>
                <w:sz w:val="16"/>
              </w:rPr>
              <w:t>333.62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35572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4F8CF1">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60ECB2">
            <w:pPr>
              <w:jc w:val="center"/>
            </w:pPr>
            <w:r>
              <w:rPr>
                <w:rFonts w:ascii="宋体" w:hAnsi="宋体" w:eastAsia="宋体"/>
                <w:sz w:val="16"/>
              </w:rPr>
              <w:t>10</w:t>
            </w:r>
            <w:bookmarkStart w:id="0" w:name="_GoBack"/>
            <w:bookmarkEnd w:id="0"/>
          </w:p>
        </w:tc>
      </w:tr>
      <w:tr w14:paraId="1B1585F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CEA44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D3A3F6">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211093">
            <w:pPr>
              <w:jc w:val="center"/>
            </w:pPr>
            <w:r>
              <w:rPr>
                <w:rFonts w:ascii="宋体" w:hAnsi="宋体" w:eastAsia="宋体"/>
                <w:sz w:val="16"/>
              </w:rPr>
              <w:t>116.00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667C2F">
            <w:pPr>
              <w:jc w:val="center"/>
            </w:pPr>
            <w:r>
              <w:rPr>
                <w:rFonts w:ascii="宋体" w:hAnsi="宋体" w:eastAsia="宋体"/>
                <w:sz w:val="16"/>
              </w:rPr>
              <w:t>133.94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D4330D">
            <w:pPr>
              <w:jc w:val="center"/>
            </w:pPr>
            <w:r>
              <w:rPr>
                <w:rFonts w:ascii="宋体" w:hAnsi="宋体" w:eastAsia="宋体"/>
                <w:sz w:val="16"/>
              </w:rPr>
              <w:t>133.94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8BAD7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1EB94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618306">
            <w:pPr>
              <w:jc w:val="center"/>
            </w:pPr>
            <w:r>
              <w:rPr>
                <w:rFonts w:ascii="宋体" w:hAnsi="宋体" w:eastAsia="宋体"/>
                <w:sz w:val="16"/>
              </w:rPr>
              <w:t>—</w:t>
            </w:r>
          </w:p>
        </w:tc>
      </w:tr>
      <w:tr w14:paraId="15FC7AF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9DA0E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999338">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3BD8E6">
            <w:pPr>
              <w:jc w:val="center"/>
            </w:pPr>
            <w:r>
              <w:rPr>
                <w:rFonts w:ascii="宋体" w:hAnsi="宋体" w:eastAsia="宋体"/>
                <w:sz w:val="16"/>
              </w:rPr>
              <w:t>200.60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4358EF">
            <w:pPr>
              <w:jc w:val="center"/>
            </w:pPr>
            <w:r>
              <w:rPr>
                <w:rFonts w:ascii="宋体" w:hAnsi="宋体" w:eastAsia="宋体"/>
                <w:sz w:val="16"/>
              </w:rPr>
              <w:t>199.68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D8AD51">
            <w:pPr>
              <w:jc w:val="center"/>
            </w:pPr>
            <w:r>
              <w:rPr>
                <w:rFonts w:ascii="宋体" w:hAnsi="宋体" w:eastAsia="宋体"/>
                <w:sz w:val="16"/>
              </w:rPr>
              <w:t>199.68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D9924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C56A6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2B4615">
            <w:pPr>
              <w:jc w:val="center"/>
            </w:pPr>
            <w:r>
              <w:rPr>
                <w:rFonts w:ascii="宋体" w:hAnsi="宋体" w:eastAsia="宋体"/>
                <w:sz w:val="16"/>
              </w:rPr>
              <w:t>—</w:t>
            </w:r>
          </w:p>
        </w:tc>
      </w:tr>
      <w:tr w14:paraId="26412DA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F372A3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119E44">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5B1F18">
            <w:pPr>
              <w:jc w:val="center"/>
            </w:pPr>
            <w:r>
              <w:rPr>
                <w:rFonts w:ascii="宋体" w:hAnsi="宋体" w:eastAsia="宋体"/>
                <w:sz w:val="16"/>
              </w:rPr>
              <w:t>18.54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52290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DDD20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B27F9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A3879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6D1583">
            <w:pPr>
              <w:jc w:val="center"/>
            </w:pPr>
            <w:r>
              <w:rPr>
                <w:rFonts w:ascii="宋体" w:hAnsi="宋体" w:eastAsia="宋体"/>
                <w:sz w:val="16"/>
              </w:rPr>
              <w:t>—</w:t>
            </w:r>
          </w:p>
        </w:tc>
      </w:tr>
      <w:tr w14:paraId="60438FD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384871">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E5DB9C">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A573E6">
            <w:pPr>
              <w:jc w:val="center"/>
            </w:pPr>
            <w:r>
              <w:rPr>
                <w:rFonts w:ascii="宋体" w:hAnsi="宋体" w:eastAsia="宋体"/>
                <w:sz w:val="16"/>
              </w:rPr>
              <w:t>实际完成情况</w:t>
            </w:r>
          </w:p>
        </w:tc>
      </w:tr>
      <w:tr w14:paraId="1902D4D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A34E8E"/>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A4C0EF">
            <w:pPr>
              <w:jc w:val="both"/>
            </w:pPr>
            <w:r>
              <w:rPr>
                <w:rFonts w:ascii="宋体" w:hAnsi="宋体" w:eastAsia="宋体"/>
                <w:sz w:val="16"/>
              </w:rPr>
              <w:t>2024年克州图书馆将在克州文化体育和旅游局党组的正确指导下，坚持不断学习理论知识，总结工作经验，加强坚持学以致用,坚持理论联系实际，严格遵守单位各项规章制度，牢固树立“读者第一  服务至上”服务宗旨，重视并不断提高全体干部职工的业务水平、工作能力，注重提高工作质量和办事效率。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为大力弘扬中华民族传统美德，积极倡导温馨、和谐、文明、健康的克州图书馆，计划将</w:t>
            </w:r>
            <w:r>
              <w:rPr>
                <w:rFonts w:hint="eastAsia" w:ascii="宋体" w:hAnsi="宋体"/>
                <w:sz w:val="16"/>
                <w:lang w:eastAsia="zh-CN"/>
              </w:rPr>
              <w:t>在</w:t>
            </w:r>
            <w:r>
              <w:rPr>
                <w:rFonts w:ascii="宋体" w:hAnsi="宋体" w:eastAsia="宋体"/>
                <w:sz w:val="16"/>
              </w:rPr>
              <w:t>元旦春节、期间精心策划组织丰富多彩的“喜迎元旦 瑞兔送福 志愿服务”活动；“童心绘画·我们的节日·元旦”亲子活动；“探秘寻宝 奇妙无穷”活动；“书香致远润天山 书韵迎春享阅读”活动等活动。并计划邀请本地书法爱好者组织开展“灯耀中华 福润新疆 春联进万家”主题活动；“灯耀中华 福润新疆”游园活动；“欢乐迎新春 喜悦图书馆”儿童朗诵活动；“克州文旅系统迎新春茶话会文体趣味”活动；“巧手做灯笼 喜过元宵节”主题活动等活动。计划与援疆省市共同开展翰墨丹青颂党恩 丹青绘团结—克州民族团结进步主题书画展；“春雨工程”情艺联苏克大美润万山—江苏省美术馆艺术家交流活动；苏韵克情—江苏省文化馆书画交流展，“彩泥做月饼 共度中秋节”活动；“清凉暑假 童话乐园”活动，“图书馆奇妙夜”活动。为进一步推动克州广大群众学习宣传贯彻党的二十大精神，让阅读深入到基层、深入到群众，引导广大群众发现阅读的美好、养成阅读习惯，计划组织策划“卯兔贺岁 感恩奉献 乡村阅读”活动。深入阿图什市松他克镇巴格拉村、阿图什市格达良镇萨依村开展“书香三八  绽放年华—图书进乡村”活动，深入阿克陶县塔尔乡第一届杏花节组织开展“送书进景区 共赏杏花开”阅读推广活动。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克州图书馆通过免费开展基本公共文化服务，包括举办展览、公益性讲座、开展公共教育和观众体验拓展活动，业务活动用房小型修缮及零星业务设备更新等。通过上述活动的实施，图书馆有效满足社会对文化娱乐的需要，丰富和活跃人民群众的文化生活。</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C0DAAF">
            <w:pPr>
              <w:jc w:val="both"/>
            </w:pPr>
            <w:r>
              <w:rPr>
                <w:rFonts w:ascii="宋体" w:hAnsi="宋体" w:eastAsia="宋体"/>
                <w:sz w:val="16"/>
              </w:rPr>
              <w:t>截至2024年12月31日，已完成：1、克州图书馆定期每月开展一期阅读活动，全年共开展12场次。主要有以“书香润童心 绘本伴成长”《春福》绘本故事+互动的模式，带领孩子们走进以绘本为媒介的阅读世界；开展了档案线上档案培训；“动巧手 知传统”清明节手绘风筝活动；“礼赞新时代·共抒爱国情”诗歌朗诵活动；“学雷锋 品书香 红色经典读书”分享活动；克州2024年“红领巾奖章”三星章颁章仪式；“救在身边 机关先行 应急救护知识普及”培训。活动参与总人次2755人。翰墨丹青颂党恩 丹青绘团结—克州民族团结进步主题书画展；“春雨工程”情艺联苏克大美润万山—江苏省美术馆艺术家交流活动；苏韵克情—江苏省文化馆书画交流展，“彩泥做月饼 共度中秋节”活动；“清凉暑假 童话乐园”活动，“图书馆奇妙夜”活动；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2、克州图书馆今年购置和征订了一批优秀现代文学图书以及优质期刊，用来丰富馆内现有图书存量，为读者带来更好的阅读体验。</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克州图书馆作为重点消防单位，安全生产重于泰山，对单位用水用电消防安全检查做到常抓不懈，组织专人每天开展巡查、按时报告，全面排查整治风险隐患，及时对水、电、暖进行维修、维护，随时发现随时修缮。</w:t>
            </w:r>
          </w:p>
        </w:tc>
      </w:tr>
      <w:tr w14:paraId="05321C3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45F26C">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19048C">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33A021">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DC6059">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99BF98">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BC6C2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4CFEEA">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F3A9A5">
            <w:pPr>
              <w:jc w:val="center"/>
            </w:pPr>
            <w:r>
              <w:rPr>
                <w:rFonts w:ascii="宋体" w:hAnsi="宋体" w:eastAsia="宋体"/>
                <w:sz w:val="16"/>
              </w:rPr>
              <w:t>得分</w:t>
            </w:r>
          </w:p>
        </w:tc>
      </w:tr>
      <w:tr w14:paraId="451E3C4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65D8DB">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F70F63">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570733">
            <w:pPr>
              <w:jc w:val="center"/>
            </w:pPr>
            <w:r>
              <w:rPr>
                <w:rFonts w:ascii="宋体" w:hAnsi="宋体" w:eastAsia="宋体"/>
                <w:sz w:val="16"/>
              </w:rPr>
              <w:t>开展阅读活动次数（次）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BDA53B">
            <w:pPr>
              <w:jc w:val="center"/>
            </w:pPr>
            <w:r>
              <w:rPr>
                <w:rFonts w:ascii="宋体" w:hAnsi="宋体" w:eastAsia="宋体"/>
                <w:sz w:val="16"/>
              </w:rPr>
              <w:t>&gt;=12次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EEC28F">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D030AB">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DF8729">
            <w:pPr>
              <w:jc w:val="center"/>
            </w:pPr>
            <w:r>
              <w:rPr>
                <w:rFonts w:ascii="宋体" w:hAnsi="宋体" w:eastAsia="宋体"/>
                <w:sz w:val="16"/>
              </w:rPr>
              <w: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F3FD88">
            <w:pPr>
              <w:jc w:val="center"/>
            </w:pPr>
            <w:r>
              <w:rPr>
                <w:rFonts w:ascii="宋体" w:hAnsi="宋体" w:eastAsia="宋体"/>
                <w:sz w:val="16"/>
              </w:rPr>
              <w:t>30</w:t>
            </w:r>
          </w:p>
        </w:tc>
      </w:tr>
      <w:tr w14:paraId="3F0D79E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FCCD0C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96D4C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F09A7D">
            <w:pPr>
              <w:jc w:val="center"/>
            </w:pPr>
            <w:r>
              <w:rPr>
                <w:rFonts w:ascii="宋体" w:hAnsi="宋体" w:eastAsia="宋体"/>
                <w:sz w:val="16"/>
              </w:rPr>
              <w:t>电子阅读设备升级维护次数（次)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C24AA5">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92B8D8">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841D0A">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1DF656">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120702">
            <w:pPr>
              <w:jc w:val="center"/>
            </w:pPr>
            <w:r>
              <w:rPr>
                <w:rFonts w:ascii="宋体" w:hAnsi="宋体" w:eastAsia="宋体"/>
                <w:sz w:val="16"/>
              </w:rPr>
              <w:t>20</w:t>
            </w:r>
          </w:p>
        </w:tc>
      </w:tr>
      <w:tr w14:paraId="6B1665B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089261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34E10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BE023C">
            <w:pPr>
              <w:jc w:val="center"/>
            </w:pPr>
            <w:r>
              <w:rPr>
                <w:rFonts w:ascii="宋体" w:hAnsi="宋体" w:eastAsia="宋体"/>
                <w:sz w:val="16"/>
              </w:rPr>
              <w:t>期刊征订（批次）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162E51">
            <w:pPr>
              <w:jc w:val="center"/>
            </w:pPr>
            <w:r>
              <w:rPr>
                <w:rFonts w:ascii="宋体" w:hAnsi="宋体" w:eastAsia="宋体"/>
                <w:sz w:val="16"/>
              </w:rPr>
              <w:t>=1批次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9858EA">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F09A90">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B8B4EB">
            <w:pPr>
              <w:jc w:val="center"/>
            </w:pPr>
            <w:r>
              <w:rPr>
                <w:rFonts w:ascii="宋体" w:hAnsi="宋体" w:eastAsia="宋体"/>
                <w:sz w:val="16"/>
              </w:rPr>
              <w:t>1批次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377181">
            <w:pPr>
              <w:jc w:val="center"/>
            </w:pPr>
            <w:r>
              <w:rPr>
                <w:rFonts w:ascii="宋体" w:hAnsi="宋体" w:eastAsia="宋体"/>
                <w:sz w:val="16"/>
              </w:rPr>
              <w:t>20</w:t>
            </w:r>
          </w:p>
        </w:tc>
      </w:tr>
      <w:tr w14:paraId="50F6B97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AE3CB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4450E5">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6EE373">
            <w:pPr>
              <w:jc w:val="center"/>
            </w:pPr>
            <w:r>
              <w:rPr>
                <w:rFonts w:ascii="宋体" w:hAnsi="宋体" w:eastAsia="宋体"/>
                <w:sz w:val="16"/>
              </w:rPr>
              <w:t>消防检查覆盖率（%）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D5E3E9">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258038">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EE0EEF">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B8089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98382D">
            <w:pPr>
              <w:jc w:val="center"/>
            </w:pPr>
            <w:r>
              <w:rPr>
                <w:rFonts w:ascii="宋体" w:hAnsi="宋体" w:eastAsia="宋体"/>
                <w:sz w:val="16"/>
              </w:rPr>
              <w:t>20</w:t>
            </w:r>
          </w:p>
        </w:tc>
      </w:tr>
    </w:tbl>
    <w:p w14:paraId="6D1C86C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4EC4990">
        <w:tblPrEx>
          <w:tblCellMar>
            <w:top w:w="0" w:type="dxa"/>
            <w:left w:w="108" w:type="dxa"/>
            <w:bottom w:w="0" w:type="dxa"/>
            <w:right w:w="108" w:type="dxa"/>
          </w:tblCellMar>
        </w:tblPrEx>
        <w:tc>
          <w:tcPr>
            <w:tcW w:w="8848" w:type="dxa"/>
            <w:gridSpan w:val="14"/>
            <w:vAlign w:val="center"/>
          </w:tcPr>
          <w:p w14:paraId="00802078">
            <w:pPr>
              <w:jc w:val="center"/>
            </w:pPr>
            <w:r>
              <w:rPr>
                <w:rFonts w:ascii="宋体" w:hAnsi="宋体" w:eastAsia="宋体"/>
                <w:sz w:val="24"/>
              </w:rPr>
              <w:t>项目支出绩效自评表</w:t>
            </w:r>
          </w:p>
        </w:tc>
      </w:tr>
      <w:tr w14:paraId="63BBB177">
        <w:tblPrEx>
          <w:tblCellMar>
            <w:top w:w="0" w:type="dxa"/>
            <w:left w:w="108" w:type="dxa"/>
            <w:bottom w:w="0" w:type="dxa"/>
            <w:right w:w="108" w:type="dxa"/>
          </w:tblCellMar>
        </w:tblPrEx>
        <w:tc>
          <w:tcPr>
            <w:tcW w:w="8848" w:type="dxa"/>
            <w:gridSpan w:val="14"/>
            <w:vAlign w:val="center"/>
          </w:tcPr>
          <w:p w14:paraId="249C4256">
            <w:pPr>
              <w:jc w:val="center"/>
            </w:pPr>
            <w:r>
              <w:rPr>
                <w:rFonts w:ascii="宋体" w:hAnsi="宋体" w:eastAsia="宋体"/>
                <w:sz w:val="24"/>
              </w:rPr>
              <w:t>(2024年度)</w:t>
            </w:r>
          </w:p>
        </w:tc>
      </w:tr>
      <w:tr w14:paraId="6537A2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6E8D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AF060A">
            <w:pPr>
              <w:jc w:val="center"/>
            </w:pPr>
            <w:r>
              <w:rPr>
                <w:rFonts w:ascii="宋体" w:hAnsi="宋体" w:eastAsia="宋体"/>
                <w:sz w:val="16"/>
              </w:rPr>
              <w:t>2024年中央支持地方公共文化服务体系建设补助资金（文化润疆工程重点项目）</w:t>
            </w:r>
          </w:p>
        </w:tc>
      </w:tr>
      <w:tr w14:paraId="00F28C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1234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EEB966">
            <w:pPr>
              <w:jc w:val="center"/>
            </w:pPr>
            <w:r>
              <w:rPr>
                <w:rFonts w:ascii="宋体" w:hAnsi="宋体" w:eastAsia="宋体"/>
                <w:sz w:val="16"/>
              </w:rPr>
              <w:t>克孜勒苏柯尔克孜自治州文化体育广播和旅游局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E8B4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972E3F">
            <w:pPr>
              <w:jc w:val="center"/>
            </w:pPr>
            <w:r>
              <w:rPr>
                <w:rFonts w:ascii="宋体" w:hAnsi="宋体" w:eastAsia="宋体"/>
                <w:sz w:val="16"/>
              </w:rPr>
              <w:t>克孜勒苏柯尔克孜自治州图书馆</w:t>
            </w:r>
          </w:p>
        </w:tc>
      </w:tr>
      <w:tr w14:paraId="10A870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DCBD3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D6A7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D5FD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7DA3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2D1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4E42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9990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A2E84">
            <w:pPr>
              <w:jc w:val="center"/>
            </w:pPr>
            <w:r>
              <w:rPr>
                <w:rFonts w:ascii="宋体" w:hAnsi="宋体" w:eastAsia="宋体"/>
                <w:sz w:val="16"/>
              </w:rPr>
              <w:t>得分</w:t>
            </w:r>
          </w:p>
        </w:tc>
      </w:tr>
      <w:tr w14:paraId="74253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A57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C0B1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6D65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BEFD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9C9D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88D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62BA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09CF2">
            <w:pPr>
              <w:jc w:val="center"/>
            </w:pPr>
            <w:r>
              <w:rPr>
                <w:rFonts w:ascii="宋体" w:hAnsi="宋体" w:eastAsia="宋体"/>
                <w:sz w:val="16"/>
              </w:rPr>
              <w:t>10.00分</w:t>
            </w:r>
          </w:p>
        </w:tc>
      </w:tr>
      <w:tr w14:paraId="38EA7D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4D7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C6AE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7CFE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E8DF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BE21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399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C1C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22B25">
            <w:pPr>
              <w:jc w:val="center"/>
            </w:pPr>
            <w:r>
              <w:rPr>
                <w:rFonts w:ascii="宋体" w:hAnsi="宋体" w:eastAsia="宋体"/>
                <w:sz w:val="16"/>
              </w:rPr>
              <w:t>—</w:t>
            </w:r>
          </w:p>
        </w:tc>
      </w:tr>
      <w:tr w14:paraId="64AEC0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0C1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AA40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36F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DAC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A75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776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905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A7BB0">
            <w:pPr>
              <w:jc w:val="center"/>
            </w:pPr>
            <w:r>
              <w:rPr>
                <w:rFonts w:ascii="宋体" w:hAnsi="宋体" w:eastAsia="宋体"/>
                <w:sz w:val="16"/>
              </w:rPr>
              <w:t>—</w:t>
            </w:r>
          </w:p>
        </w:tc>
      </w:tr>
      <w:tr w14:paraId="74EDEF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BF53A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B1822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EE243A">
            <w:pPr>
              <w:jc w:val="center"/>
            </w:pPr>
            <w:r>
              <w:rPr>
                <w:rFonts w:ascii="宋体" w:hAnsi="宋体" w:eastAsia="宋体"/>
                <w:sz w:val="16"/>
              </w:rPr>
              <w:t>实际完成情况</w:t>
            </w:r>
          </w:p>
        </w:tc>
      </w:tr>
      <w:tr w14:paraId="02B6D2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DE75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729A74">
            <w:pPr>
              <w:jc w:val="both"/>
            </w:pPr>
            <w:r>
              <w:rPr>
                <w:rFonts w:ascii="宋体" w:hAnsi="宋体" w:eastAsia="宋体"/>
                <w:sz w:val="16"/>
              </w:rPr>
              <w:t>2024年中央支持大方公共文化服务体系建设项目资金10万元，助力中华优秀传统文化在克州的传播与传承，营造浓厚的文化氛围，激发群众对传统文化的热爱，推动文化创新发展，丰富群众精神文化生活。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66DB59">
            <w:pPr>
              <w:jc w:val="both"/>
            </w:pPr>
            <w:r>
              <w:rPr>
                <w:rFonts w:ascii="宋体" w:hAnsi="宋体" w:eastAsia="宋体"/>
                <w:sz w:val="16"/>
              </w:rPr>
              <w:t>2024年中央支持大方公共文化服务体系建设项目资金10万元，开展国学讲座活动3次，经典诵读会2次，通过此项目达到助力中华优秀传统文化在克州的传播与传承，营造浓厚的文化氛围，激发群众对传统文化的热爱，推动文化创新发展，丰富群众精神文化生活。</w:t>
            </w:r>
          </w:p>
        </w:tc>
      </w:tr>
      <w:tr w14:paraId="3273C7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39D3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71D9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3C3A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8AF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C4A7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F37C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F5F6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2977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F85C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D83C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7D21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2634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457AC">
            <w:pPr>
              <w:jc w:val="center"/>
            </w:pPr>
            <w:r>
              <w:rPr>
                <w:rFonts w:ascii="宋体" w:hAnsi="宋体" w:eastAsia="宋体"/>
                <w:sz w:val="16"/>
              </w:rPr>
              <w:t>偏差原因分析及改进措施</w:t>
            </w:r>
          </w:p>
        </w:tc>
      </w:tr>
      <w:tr w14:paraId="0E6006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89D3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09E26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0A6DE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9A98C">
            <w:pPr>
              <w:jc w:val="center"/>
            </w:pPr>
            <w:r>
              <w:rPr>
                <w:rFonts w:ascii="宋体" w:hAnsi="宋体" w:eastAsia="宋体"/>
                <w:sz w:val="16"/>
              </w:rPr>
              <w:t>国学讲座举办次数（次）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623A0">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DDF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164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6DA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904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142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043D5">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BAC9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0045B">
            <w:pPr>
              <w:jc w:val="center"/>
            </w:pPr>
          </w:p>
        </w:tc>
      </w:tr>
      <w:tr w14:paraId="59F74A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61C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293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95B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E2E0">
            <w:pPr>
              <w:jc w:val="center"/>
            </w:pPr>
            <w:r>
              <w:rPr>
                <w:rFonts w:ascii="宋体" w:hAnsi="宋体" w:eastAsia="宋体"/>
                <w:sz w:val="16"/>
              </w:rPr>
              <w:t>经典诵读会举办次数（次）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3B60E">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832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4FF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CB7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167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6BB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5DA3">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269F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14360">
            <w:pPr>
              <w:jc w:val="center"/>
            </w:pPr>
          </w:p>
        </w:tc>
      </w:tr>
      <w:tr w14:paraId="779E02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9B9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3C5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F90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D422">
            <w:pPr>
              <w:jc w:val="center"/>
            </w:pPr>
            <w:r>
              <w:rPr>
                <w:rFonts w:ascii="宋体" w:hAnsi="宋体" w:eastAsia="宋体"/>
                <w:sz w:val="16"/>
              </w:rPr>
              <w:t>宣传资料发放数量（份）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40952">
            <w:pPr>
              <w:jc w:val="center"/>
            </w:pPr>
            <w:r>
              <w:rPr>
                <w:rFonts w:ascii="宋体" w:hAnsi="宋体" w:eastAsia="宋体"/>
                <w:sz w:val="16"/>
              </w:rPr>
              <w:t>&gt;=500份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325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1AA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5F2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FBD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B28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66AEF">
            <w:pPr>
              <w:jc w:val="center"/>
            </w:pPr>
            <w:r>
              <w:rPr>
                <w:rFonts w:ascii="宋体" w:hAnsi="宋体" w:eastAsia="宋体"/>
                <w:sz w:val="16"/>
              </w:rPr>
              <w:t>=500份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09EA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34031">
            <w:pPr>
              <w:jc w:val="center"/>
            </w:pPr>
          </w:p>
        </w:tc>
      </w:tr>
      <w:tr w14:paraId="03622F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896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762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C8A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3FEB4">
            <w:pPr>
              <w:jc w:val="center"/>
            </w:pPr>
            <w:r>
              <w:rPr>
                <w:rFonts w:ascii="宋体" w:hAnsi="宋体" w:eastAsia="宋体"/>
                <w:sz w:val="16"/>
              </w:rPr>
              <w:t>宣传海报张贴数量（份）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B743A">
            <w:pPr>
              <w:jc w:val="center"/>
            </w:pPr>
            <w:r>
              <w:rPr>
                <w:rFonts w:ascii="宋体" w:hAnsi="宋体" w:eastAsia="宋体"/>
                <w:sz w:val="16"/>
              </w:rPr>
              <w:t>&gt;=100张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63A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354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394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D2B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25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F63C5">
            <w:pPr>
              <w:jc w:val="center"/>
            </w:pPr>
            <w:r>
              <w:rPr>
                <w:rFonts w:ascii="宋体" w:hAnsi="宋体" w:eastAsia="宋体"/>
                <w:sz w:val="16"/>
              </w:rPr>
              <w:t>=100张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7BA8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B1205">
            <w:pPr>
              <w:jc w:val="center"/>
            </w:pPr>
          </w:p>
        </w:tc>
      </w:tr>
      <w:tr w14:paraId="45F0A5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000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B97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DFDD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956FF">
            <w:pPr>
              <w:jc w:val="center"/>
            </w:pPr>
            <w:r>
              <w:rPr>
                <w:rFonts w:ascii="宋体" w:hAnsi="宋体" w:eastAsia="宋体"/>
                <w:sz w:val="16"/>
              </w:rPr>
              <w:t>活动执行达标率（%）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509F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80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21A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AB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ACA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25C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40AB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86E6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3B0C8">
            <w:pPr>
              <w:jc w:val="center"/>
            </w:pPr>
          </w:p>
        </w:tc>
      </w:tr>
      <w:tr w14:paraId="2CDCCA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C44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A79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EFD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7C44C">
            <w:pPr>
              <w:jc w:val="center"/>
            </w:pPr>
            <w:r>
              <w:rPr>
                <w:rFonts w:ascii="宋体" w:hAnsi="宋体" w:eastAsia="宋体"/>
                <w:sz w:val="16"/>
              </w:rPr>
              <w:t>资料制作达标率（%）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534E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5D4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E47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FB8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6B4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9D0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645D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E71C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ED3C7">
            <w:pPr>
              <w:jc w:val="center"/>
            </w:pPr>
          </w:p>
        </w:tc>
      </w:tr>
      <w:tr w14:paraId="19D54E1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AF3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E32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5B29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F50E4">
            <w:pPr>
              <w:jc w:val="center"/>
            </w:pPr>
            <w:r>
              <w:rPr>
                <w:rFonts w:ascii="宋体" w:hAnsi="宋体" w:eastAsia="宋体"/>
                <w:sz w:val="16"/>
              </w:rPr>
              <w:t>活动按时开展率（%）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63C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84F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4DE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DED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61C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0CF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18E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ADA6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11EC9">
            <w:pPr>
              <w:jc w:val="center"/>
            </w:pPr>
          </w:p>
        </w:tc>
      </w:tr>
      <w:tr w14:paraId="145E15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DED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9FE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9BB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AD439">
            <w:pPr>
              <w:jc w:val="center"/>
            </w:pPr>
            <w:r>
              <w:rPr>
                <w:rFonts w:ascii="宋体" w:hAnsi="宋体" w:eastAsia="宋体"/>
                <w:sz w:val="16"/>
              </w:rPr>
              <w:t>资料发放及时率（%）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1CA7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4C8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957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29D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DC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302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E2C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A6A2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324FF">
            <w:pPr>
              <w:jc w:val="center"/>
            </w:pPr>
          </w:p>
        </w:tc>
      </w:tr>
      <w:tr w14:paraId="11C8F2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2F7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11D0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3D008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15075">
            <w:pPr>
              <w:jc w:val="center"/>
            </w:pPr>
            <w:r>
              <w:rPr>
                <w:rFonts w:ascii="宋体" w:hAnsi="宋体" w:eastAsia="宋体"/>
                <w:sz w:val="16"/>
              </w:rPr>
              <w:t>开展活动经费（万元）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DE303">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1B45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E88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3B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661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B57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D85D8">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27F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C3715">
            <w:pPr>
              <w:jc w:val="center"/>
            </w:pPr>
          </w:p>
        </w:tc>
      </w:tr>
      <w:tr w14:paraId="20120B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E3F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514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22B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67DA3">
            <w:pPr>
              <w:jc w:val="center"/>
            </w:pPr>
            <w:r>
              <w:rPr>
                <w:rFonts w:ascii="宋体" w:hAnsi="宋体" w:eastAsia="宋体"/>
                <w:sz w:val="16"/>
              </w:rPr>
              <w:t>宣传物料制作费（万元）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486A5">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ABA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18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62A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224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4D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1FF7B">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A8A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196E5">
            <w:pPr>
              <w:jc w:val="center"/>
            </w:pPr>
          </w:p>
        </w:tc>
      </w:tr>
      <w:tr w14:paraId="2A6710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F7A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24F7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A603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E2901">
            <w:pPr>
              <w:jc w:val="center"/>
            </w:pPr>
            <w:r>
              <w:rPr>
                <w:rFonts w:ascii="宋体" w:hAnsi="宋体" w:eastAsia="宋体"/>
                <w:sz w:val="16"/>
              </w:rPr>
              <w:t>群众文化认同感提升程度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ED7AA">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19B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40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7C6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27B0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E3E1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56501">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5099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15BCF">
            <w:pPr>
              <w:jc w:val="center"/>
            </w:pPr>
          </w:p>
        </w:tc>
      </w:tr>
      <w:tr w14:paraId="153334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AA9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857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4F3A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BEE52">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3210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443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423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DE9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D12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FAD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C4E4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8AA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710D1">
            <w:pPr>
              <w:jc w:val="center"/>
            </w:pPr>
          </w:p>
        </w:tc>
      </w:tr>
      <w:tr w14:paraId="4AB4DC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A256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1E71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0A15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91A110">
            <w:pPr>
              <w:jc w:val="center"/>
            </w:pPr>
            <w:r>
              <w:rPr>
                <w:rFonts w:ascii="宋体" w:hAnsi="宋体" w:eastAsia="宋体"/>
                <w:sz w:val="16"/>
              </w:rPr>
              <w:t>100分</w:t>
            </w:r>
          </w:p>
        </w:tc>
      </w:tr>
    </w:tbl>
    <w:p w14:paraId="3E1CE7C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0CF1A3EB">
        <w:tblPrEx>
          <w:tblCellMar>
            <w:top w:w="0" w:type="dxa"/>
            <w:left w:w="108" w:type="dxa"/>
            <w:bottom w:w="0" w:type="dxa"/>
            <w:right w:w="108" w:type="dxa"/>
          </w:tblCellMar>
        </w:tblPrEx>
        <w:tc>
          <w:tcPr>
            <w:tcW w:w="8848" w:type="dxa"/>
            <w:gridSpan w:val="14"/>
            <w:vAlign w:val="center"/>
          </w:tcPr>
          <w:p w14:paraId="7291867A">
            <w:pPr>
              <w:jc w:val="center"/>
            </w:pPr>
            <w:r>
              <w:rPr>
                <w:rFonts w:ascii="宋体" w:hAnsi="宋体" w:eastAsia="宋体"/>
                <w:sz w:val="24"/>
              </w:rPr>
              <w:t>项目支出绩效自评表</w:t>
            </w:r>
          </w:p>
        </w:tc>
      </w:tr>
      <w:tr w14:paraId="0062E9E1">
        <w:tblPrEx>
          <w:tblCellMar>
            <w:top w:w="0" w:type="dxa"/>
            <w:left w:w="108" w:type="dxa"/>
            <w:bottom w:w="0" w:type="dxa"/>
            <w:right w:w="108" w:type="dxa"/>
          </w:tblCellMar>
        </w:tblPrEx>
        <w:tc>
          <w:tcPr>
            <w:tcW w:w="8848" w:type="dxa"/>
            <w:gridSpan w:val="14"/>
            <w:vAlign w:val="center"/>
          </w:tcPr>
          <w:p w14:paraId="121E37A6">
            <w:pPr>
              <w:jc w:val="center"/>
            </w:pPr>
            <w:r>
              <w:rPr>
                <w:rFonts w:ascii="宋体" w:hAnsi="宋体" w:eastAsia="宋体"/>
                <w:sz w:val="24"/>
              </w:rPr>
              <w:t>(2024年度)</w:t>
            </w:r>
          </w:p>
        </w:tc>
      </w:tr>
      <w:tr w14:paraId="181EDD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C0FA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C1495B">
            <w:pPr>
              <w:jc w:val="center"/>
            </w:pPr>
            <w:r>
              <w:rPr>
                <w:rFonts w:ascii="宋体" w:hAnsi="宋体" w:eastAsia="宋体"/>
                <w:sz w:val="16"/>
              </w:rPr>
              <w:t>克州图书馆免费开放活动经费项目</w:t>
            </w:r>
          </w:p>
        </w:tc>
      </w:tr>
      <w:tr w14:paraId="7EECAF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4715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03973F">
            <w:pPr>
              <w:jc w:val="center"/>
            </w:pPr>
            <w:r>
              <w:rPr>
                <w:rFonts w:ascii="宋体" w:hAnsi="宋体" w:eastAsia="宋体"/>
                <w:sz w:val="16"/>
              </w:rPr>
              <w:t>克孜勒苏柯尔克孜自治州文化体育广播和旅游局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D57E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EE7C63">
            <w:pPr>
              <w:jc w:val="center"/>
            </w:pPr>
            <w:r>
              <w:rPr>
                <w:rFonts w:ascii="宋体" w:hAnsi="宋体" w:eastAsia="宋体"/>
                <w:sz w:val="16"/>
              </w:rPr>
              <w:t>克孜勒苏柯尔克孜自治州图书馆</w:t>
            </w:r>
          </w:p>
        </w:tc>
      </w:tr>
      <w:tr w14:paraId="3AA2C3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B3F6B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40EA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895D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91A8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4C4B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D214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4F38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F1E91">
            <w:pPr>
              <w:jc w:val="center"/>
            </w:pPr>
            <w:r>
              <w:rPr>
                <w:rFonts w:ascii="宋体" w:hAnsi="宋体" w:eastAsia="宋体"/>
                <w:sz w:val="16"/>
              </w:rPr>
              <w:t>得分</w:t>
            </w:r>
          </w:p>
        </w:tc>
      </w:tr>
      <w:tr w14:paraId="29ACEC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DA2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4E2B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A430E">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D74D8">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E12BB">
            <w:pPr>
              <w:jc w:val="center"/>
            </w:pPr>
            <w:r>
              <w:rPr>
                <w:rFonts w:ascii="宋体" w:hAnsi="宋体" w:eastAsia="宋体"/>
                <w:sz w:val="16"/>
              </w:rPr>
              <w:t>45.72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734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3F6D6">
            <w:pPr>
              <w:jc w:val="center"/>
            </w:pPr>
            <w:r>
              <w:rPr>
                <w:rFonts w:ascii="宋体" w:hAnsi="宋体" w:eastAsia="宋体"/>
                <w:sz w:val="16"/>
              </w:rPr>
              <w:t>99.4%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97658">
            <w:pPr>
              <w:jc w:val="center"/>
            </w:pPr>
            <w:r>
              <w:rPr>
                <w:rFonts w:ascii="宋体" w:hAnsi="宋体" w:eastAsia="宋体"/>
                <w:sz w:val="16"/>
              </w:rPr>
              <w:t>9.85分</w:t>
            </w:r>
          </w:p>
        </w:tc>
      </w:tr>
      <w:tr w14:paraId="6F3421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4C9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A48C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79983">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DA363">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5D671">
            <w:pPr>
              <w:jc w:val="center"/>
            </w:pPr>
            <w:r>
              <w:rPr>
                <w:rFonts w:ascii="宋体" w:hAnsi="宋体" w:eastAsia="宋体"/>
                <w:sz w:val="16"/>
              </w:rPr>
              <w:t>45.72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F68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5C5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5B05B">
            <w:pPr>
              <w:jc w:val="center"/>
            </w:pPr>
            <w:r>
              <w:rPr>
                <w:rFonts w:ascii="宋体" w:hAnsi="宋体" w:eastAsia="宋体"/>
                <w:sz w:val="16"/>
              </w:rPr>
              <w:t>—</w:t>
            </w:r>
          </w:p>
        </w:tc>
      </w:tr>
      <w:tr w14:paraId="08DAC1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51D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0F7C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05F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63A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974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C1C9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57E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1266F">
            <w:pPr>
              <w:jc w:val="center"/>
            </w:pPr>
            <w:r>
              <w:rPr>
                <w:rFonts w:ascii="宋体" w:hAnsi="宋体" w:eastAsia="宋体"/>
                <w:sz w:val="16"/>
              </w:rPr>
              <w:t>—</w:t>
            </w:r>
          </w:p>
        </w:tc>
      </w:tr>
      <w:tr w14:paraId="606A8A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5A927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C0056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A8D6F2">
            <w:pPr>
              <w:jc w:val="center"/>
            </w:pPr>
            <w:r>
              <w:rPr>
                <w:rFonts w:ascii="宋体" w:hAnsi="宋体" w:eastAsia="宋体"/>
                <w:sz w:val="16"/>
              </w:rPr>
              <w:t>实际完成情况</w:t>
            </w:r>
          </w:p>
        </w:tc>
      </w:tr>
      <w:tr w14:paraId="6E79DD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E4F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43374A">
            <w:pPr>
              <w:jc w:val="both"/>
            </w:pPr>
            <w:r>
              <w:rPr>
                <w:rFonts w:ascii="宋体" w:hAnsi="宋体" w:eastAsia="宋体"/>
                <w:sz w:val="16"/>
              </w:rPr>
              <w:t>通过该项目资金，确保克州免费开放活动经费项目实施，成立了专门的领导小组，进行了专题会议研究，单位内控制度健全、组织保障到位，经费保障充足，项目实施中监督检查、绩效管理监督到位，做到制度在先，有据可依。此项目资金投入较为合理、保障较为完备、可行性较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94D89F">
            <w:pPr>
              <w:jc w:val="both"/>
            </w:pPr>
            <w:r>
              <w:rPr>
                <w:rFonts w:ascii="宋体" w:hAnsi="宋体" w:eastAsia="宋体"/>
                <w:sz w:val="16"/>
              </w:rPr>
              <w:t>通过该项目资金，完成开展免费开放活动12次，电子设备升级维护2次，通过该项目达到了单位内控制度健全、组织保障到位，经费保障充足，项目实施中监督检查、绩效管理监督到位，做到制度在先，有据可依。此项目资金投入较为合理、保障较为完备、可行性较强。</w:t>
            </w:r>
            <w:r>
              <w:rPr>
                <w:rFonts w:ascii="宋体" w:hAnsi="宋体" w:eastAsia="宋体"/>
                <w:sz w:val="16"/>
              </w:rPr>
              <w:br w:type="textWrapping"/>
            </w:r>
          </w:p>
        </w:tc>
      </w:tr>
      <w:tr w14:paraId="21079C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B48F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CC3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23F1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702D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3F75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EF8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2903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A377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6C1E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446B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FA5D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5AC8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99224">
            <w:pPr>
              <w:jc w:val="center"/>
            </w:pPr>
            <w:r>
              <w:rPr>
                <w:rFonts w:ascii="宋体" w:hAnsi="宋体" w:eastAsia="宋体"/>
                <w:sz w:val="16"/>
              </w:rPr>
              <w:t>偏差原因分析及改进措施</w:t>
            </w:r>
          </w:p>
        </w:tc>
      </w:tr>
      <w:tr w14:paraId="701BAF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1789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B5FA8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1E7FB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B905E">
            <w:pPr>
              <w:jc w:val="center"/>
            </w:pPr>
            <w:r>
              <w:rPr>
                <w:rFonts w:ascii="宋体" w:hAnsi="宋体" w:eastAsia="宋体"/>
                <w:sz w:val="16"/>
              </w:rPr>
              <w:t>开展免费开放活动次数（次）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8BC54">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985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E6E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51A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91A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DBF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29C92">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A406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77635">
            <w:pPr>
              <w:jc w:val="center"/>
            </w:pPr>
          </w:p>
        </w:tc>
      </w:tr>
      <w:tr w14:paraId="6C63C1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263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F31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131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2E81F">
            <w:pPr>
              <w:jc w:val="center"/>
            </w:pPr>
            <w:r>
              <w:rPr>
                <w:rFonts w:ascii="宋体" w:hAnsi="宋体" w:eastAsia="宋体"/>
                <w:sz w:val="16"/>
              </w:rPr>
              <w:t>电子设备升级维护（次）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7B91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60A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242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BAD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A48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702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A02F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2963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61692">
            <w:pPr>
              <w:jc w:val="center"/>
            </w:pPr>
          </w:p>
        </w:tc>
      </w:tr>
      <w:tr w14:paraId="0F62F9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EB2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35D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0B6C2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3CF18">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03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4D7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386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E18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6C6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045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9A08D">
            <w:pPr>
              <w:jc w:val="center"/>
            </w:pPr>
            <w:r>
              <w:rPr>
                <w:rFonts w:ascii="宋体" w:hAnsi="宋体" w:eastAsia="宋体"/>
                <w:sz w:val="16"/>
              </w:rPr>
              <w:t>=99.4%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40335">
            <w:pPr>
              <w:jc w:val="center"/>
            </w:pPr>
            <w:r>
              <w:rPr>
                <w:rFonts w:ascii="宋体" w:hAnsi="宋体" w:eastAsia="宋体"/>
                <w:sz w:val="16"/>
              </w:rPr>
              <w:t>4.93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8EB0D">
            <w:pPr>
              <w:jc w:val="center"/>
            </w:pPr>
            <w:r>
              <w:rPr>
                <w:rFonts w:ascii="宋体" w:hAnsi="宋体" w:eastAsia="宋体"/>
                <w:sz w:val="16"/>
              </w:rPr>
              <w:t>偏差原因：因年底支付时，有退汇情况。改进措施今后按时支付。</w:t>
            </w:r>
          </w:p>
        </w:tc>
      </w:tr>
      <w:tr w14:paraId="385171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D18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240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030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489E">
            <w:pPr>
              <w:jc w:val="center"/>
            </w:pPr>
            <w:r>
              <w:rPr>
                <w:rFonts w:ascii="宋体" w:hAnsi="宋体" w:eastAsia="宋体"/>
                <w:sz w:val="16"/>
              </w:rPr>
              <w:t>电子设备升级维护验收合格率（%）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AF6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1E5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4D4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08F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49D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0CC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852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1C0B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00E30">
            <w:pPr>
              <w:jc w:val="center"/>
            </w:pPr>
          </w:p>
        </w:tc>
      </w:tr>
      <w:tr w14:paraId="4C7A24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2C4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F7F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E417A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52B84">
            <w:pPr>
              <w:jc w:val="center"/>
            </w:pPr>
            <w:r>
              <w:rPr>
                <w:rFonts w:ascii="宋体" w:hAnsi="宋体" w:eastAsia="宋体"/>
                <w:sz w:val="16"/>
              </w:rPr>
              <w:t>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644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C94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881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05A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328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ED9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83E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33E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4E904">
            <w:pPr>
              <w:jc w:val="center"/>
            </w:pPr>
          </w:p>
        </w:tc>
      </w:tr>
      <w:tr w14:paraId="620FE8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6ED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55A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C0E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250D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0C5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D91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8B6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E97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9BC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F31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4EE0D">
            <w:pPr>
              <w:jc w:val="center"/>
            </w:pPr>
            <w:r>
              <w:rPr>
                <w:rFonts w:ascii="宋体" w:hAnsi="宋体" w:eastAsia="宋体"/>
                <w:sz w:val="16"/>
              </w:rPr>
              <w:t>=99.4%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E5555">
            <w:pPr>
              <w:jc w:val="center"/>
            </w:pPr>
            <w:r>
              <w:rPr>
                <w:rFonts w:ascii="宋体" w:hAnsi="宋体" w:eastAsia="宋体"/>
                <w:sz w:val="16"/>
              </w:rPr>
              <w:t>9.85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F8CC6">
            <w:pPr>
              <w:jc w:val="center"/>
            </w:pPr>
            <w:r>
              <w:rPr>
                <w:rFonts w:ascii="宋体" w:hAnsi="宋体" w:eastAsia="宋体"/>
                <w:sz w:val="16"/>
              </w:rPr>
              <w:t>偏差原因：因年底支付时，有退汇情况。改进措施今后按时支付</w:t>
            </w:r>
            <w:r>
              <w:rPr>
                <w:rFonts w:hint="eastAsia" w:ascii="宋体" w:hAnsi="宋体"/>
                <w:sz w:val="16"/>
                <w:lang w:eastAsia="zh-CN"/>
              </w:rPr>
              <w:t>。</w:t>
            </w:r>
          </w:p>
        </w:tc>
      </w:tr>
      <w:tr w14:paraId="09DF24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6C3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D606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77D7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B9DB7">
            <w:pPr>
              <w:jc w:val="center"/>
            </w:pPr>
            <w:r>
              <w:rPr>
                <w:rFonts w:ascii="宋体" w:hAnsi="宋体" w:eastAsia="宋体"/>
                <w:sz w:val="16"/>
              </w:rPr>
              <w:t>免费开放活动费用（元）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78BE1">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B15C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4FF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EE2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188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467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692DE">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CAF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1C9D4">
            <w:pPr>
              <w:jc w:val="center"/>
            </w:pPr>
          </w:p>
        </w:tc>
      </w:tr>
      <w:tr w14:paraId="7F116D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CE2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0BB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9E9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C1B10">
            <w:pPr>
              <w:jc w:val="center"/>
            </w:pPr>
            <w:r>
              <w:rPr>
                <w:rFonts w:ascii="宋体" w:hAnsi="宋体" w:eastAsia="宋体"/>
                <w:sz w:val="16"/>
              </w:rPr>
              <w:t>电子设备升级维护（元）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0191B">
            <w:pPr>
              <w:jc w:val="center"/>
            </w:pPr>
            <w:r>
              <w:rPr>
                <w:rFonts w:ascii="宋体" w:hAnsi="宋体" w:eastAsia="宋体"/>
                <w:sz w:val="16"/>
              </w:rPr>
              <w:t>&lt;=16万元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C27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04E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EFA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B6A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083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428C">
            <w:pPr>
              <w:jc w:val="center"/>
            </w:pPr>
            <w:r>
              <w:rPr>
                <w:rFonts w:ascii="宋体" w:hAnsi="宋体" w:eastAsia="宋体"/>
                <w:sz w:val="16"/>
              </w:rPr>
              <w:t>=15.72万元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76E54">
            <w:pPr>
              <w:jc w:val="center"/>
            </w:pPr>
            <w:r>
              <w:rPr>
                <w:rFonts w:ascii="宋体" w:hAnsi="宋体" w:eastAsia="宋体"/>
                <w:sz w:val="16"/>
              </w:rPr>
              <w:t>9.56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D7FBE">
            <w:pPr>
              <w:jc w:val="center"/>
            </w:pPr>
            <w:r>
              <w:rPr>
                <w:rFonts w:ascii="宋体" w:hAnsi="宋体" w:eastAsia="宋体"/>
                <w:sz w:val="16"/>
              </w:rPr>
              <w:t>偏差原因：因年底支付时，有退汇情况。改进措施：今后按时支付。</w:t>
            </w:r>
          </w:p>
        </w:tc>
      </w:tr>
      <w:tr w14:paraId="58F8E9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748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E2A6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151D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EEA0C">
            <w:pPr>
              <w:jc w:val="center"/>
            </w:pPr>
            <w:r>
              <w:rPr>
                <w:rFonts w:ascii="宋体" w:hAnsi="宋体" w:eastAsia="宋体"/>
                <w:sz w:val="16"/>
              </w:rPr>
              <w:t>提升人民群众文化生活水平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94E9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ADE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FC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8648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D41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C830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B038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B107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BBEA0">
            <w:pPr>
              <w:jc w:val="center"/>
            </w:pPr>
          </w:p>
        </w:tc>
      </w:tr>
      <w:tr w14:paraId="099DB0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0DC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FB3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A34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6BD09">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7561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9B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D26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FCE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EF17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56A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65EE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002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17FBC">
            <w:pPr>
              <w:jc w:val="center"/>
            </w:pPr>
          </w:p>
        </w:tc>
      </w:tr>
      <w:tr w14:paraId="403617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395E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13CF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9A29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B05736">
            <w:pPr>
              <w:jc w:val="center"/>
            </w:pPr>
            <w:r>
              <w:rPr>
                <w:rFonts w:ascii="宋体" w:hAnsi="宋体" w:eastAsia="宋体"/>
                <w:sz w:val="16"/>
              </w:rPr>
              <w:t>99.19分</w:t>
            </w:r>
          </w:p>
        </w:tc>
      </w:tr>
    </w:tbl>
    <w:p w14:paraId="4C984E5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6CC8068">
        <w:tblPrEx>
          <w:tblCellMar>
            <w:top w:w="0" w:type="dxa"/>
            <w:left w:w="108" w:type="dxa"/>
            <w:bottom w:w="0" w:type="dxa"/>
            <w:right w:w="108" w:type="dxa"/>
          </w:tblCellMar>
        </w:tblPrEx>
        <w:tc>
          <w:tcPr>
            <w:tcW w:w="8848" w:type="dxa"/>
            <w:gridSpan w:val="14"/>
            <w:vAlign w:val="center"/>
          </w:tcPr>
          <w:p w14:paraId="495007F3">
            <w:pPr>
              <w:jc w:val="center"/>
            </w:pPr>
            <w:r>
              <w:rPr>
                <w:rFonts w:ascii="宋体" w:hAnsi="宋体" w:eastAsia="宋体"/>
                <w:sz w:val="24"/>
              </w:rPr>
              <w:t>项目支出绩效自评表</w:t>
            </w:r>
          </w:p>
        </w:tc>
      </w:tr>
      <w:tr w14:paraId="29CB042B">
        <w:tblPrEx>
          <w:tblCellMar>
            <w:top w:w="0" w:type="dxa"/>
            <w:left w:w="108" w:type="dxa"/>
            <w:bottom w:w="0" w:type="dxa"/>
            <w:right w:w="108" w:type="dxa"/>
          </w:tblCellMar>
        </w:tblPrEx>
        <w:tc>
          <w:tcPr>
            <w:tcW w:w="8848" w:type="dxa"/>
            <w:gridSpan w:val="14"/>
            <w:vAlign w:val="center"/>
          </w:tcPr>
          <w:p w14:paraId="5920B1E1">
            <w:pPr>
              <w:jc w:val="center"/>
            </w:pPr>
            <w:r>
              <w:rPr>
                <w:rFonts w:ascii="宋体" w:hAnsi="宋体" w:eastAsia="宋体"/>
                <w:sz w:val="24"/>
              </w:rPr>
              <w:t>(2024年度)</w:t>
            </w:r>
          </w:p>
        </w:tc>
      </w:tr>
      <w:tr w14:paraId="43176D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DC80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865B2D">
            <w:pPr>
              <w:jc w:val="center"/>
            </w:pPr>
            <w:r>
              <w:rPr>
                <w:rFonts w:ascii="宋体" w:hAnsi="宋体" w:eastAsia="宋体"/>
                <w:sz w:val="16"/>
              </w:rPr>
              <w:t>克州图书馆免费开放补助资金（第二批）</w:t>
            </w:r>
          </w:p>
        </w:tc>
      </w:tr>
      <w:tr w14:paraId="379053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055B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2E58EE">
            <w:pPr>
              <w:jc w:val="center"/>
            </w:pPr>
            <w:r>
              <w:rPr>
                <w:rFonts w:ascii="宋体" w:hAnsi="宋体" w:eastAsia="宋体"/>
                <w:sz w:val="16"/>
              </w:rPr>
              <w:t>克孜勒苏柯尔克孜自治州文化体育广播和旅游局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9FD5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7E4676">
            <w:pPr>
              <w:jc w:val="center"/>
            </w:pPr>
            <w:r>
              <w:rPr>
                <w:rFonts w:ascii="宋体" w:hAnsi="宋体" w:eastAsia="宋体"/>
                <w:sz w:val="16"/>
              </w:rPr>
              <w:t>克孜勒苏柯尔克孜自治州图书馆</w:t>
            </w:r>
          </w:p>
        </w:tc>
      </w:tr>
      <w:tr w14:paraId="0CC715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02BDA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681C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5EE8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FDCE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C629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1CAE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1E0A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6B0F1">
            <w:pPr>
              <w:jc w:val="center"/>
            </w:pPr>
            <w:r>
              <w:rPr>
                <w:rFonts w:ascii="宋体" w:hAnsi="宋体" w:eastAsia="宋体"/>
                <w:sz w:val="16"/>
              </w:rPr>
              <w:t>得分</w:t>
            </w:r>
          </w:p>
        </w:tc>
      </w:tr>
      <w:tr w14:paraId="1FE992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1C7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7935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4D5D8">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B3BE6">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6CEAF">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267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FD35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05D5A">
            <w:pPr>
              <w:jc w:val="center"/>
            </w:pPr>
            <w:r>
              <w:rPr>
                <w:rFonts w:ascii="宋体" w:hAnsi="宋体" w:eastAsia="宋体"/>
                <w:sz w:val="16"/>
              </w:rPr>
              <w:t>10.00分</w:t>
            </w:r>
          </w:p>
        </w:tc>
      </w:tr>
      <w:tr w14:paraId="231D5F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F98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DE04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6CBF2">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D1CF7">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A5C23">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DD1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7E9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D2641">
            <w:pPr>
              <w:jc w:val="center"/>
            </w:pPr>
            <w:r>
              <w:rPr>
                <w:rFonts w:ascii="宋体" w:hAnsi="宋体" w:eastAsia="宋体"/>
                <w:sz w:val="16"/>
              </w:rPr>
              <w:t>—</w:t>
            </w:r>
          </w:p>
        </w:tc>
      </w:tr>
      <w:tr w14:paraId="40FAC1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403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42DC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84D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83E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879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C1E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3B8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B1556">
            <w:pPr>
              <w:jc w:val="center"/>
            </w:pPr>
            <w:r>
              <w:rPr>
                <w:rFonts w:ascii="宋体" w:hAnsi="宋体" w:eastAsia="宋体"/>
                <w:sz w:val="16"/>
              </w:rPr>
              <w:t>—</w:t>
            </w:r>
          </w:p>
        </w:tc>
      </w:tr>
      <w:tr w14:paraId="06AEF9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515A9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30084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1D3499">
            <w:pPr>
              <w:jc w:val="center"/>
            </w:pPr>
            <w:r>
              <w:rPr>
                <w:rFonts w:ascii="宋体" w:hAnsi="宋体" w:eastAsia="宋体"/>
                <w:sz w:val="16"/>
              </w:rPr>
              <w:t>实际完成情况</w:t>
            </w:r>
          </w:p>
        </w:tc>
      </w:tr>
      <w:tr w14:paraId="4D9252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A9BB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367624">
            <w:pPr>
              <w:jc w:val="both"/>
            </w:pPr>
            <w:r>
              <w:rPr>
                <w:rFonts w:ascii="宋体" w:hAnsi="宋体" w:eastAsia="宋体"/>
                <w:sz w:val="16"/>
              </w:rPr>
              <w:t>项目资金4万元，用于进一步保障本单位服务免费开放活动工作，提升本单位服务免费开放活动工作质量，提高克州图书馆正常、安全运行，达到进一步提高克州图书馆智慧化运营，优化数据反馈模式，本项目立项依据为年初部门预算相关会议纪要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CBA38E">
            <w:pPr>
              <w:jc w:val="both"/>
            </w:pPr>
            <w:r>
              <w:rPr>
                <w:rFonts w:ascii="宋体" w:hAnsi="宋体" w:eastAsia="宋体"/>
                <w:sz w:val="16"/>
              </w:rPr>
              <w:t>该项目资金总额为4万元，2024年度图书馆已开展免费开放活动5次，电子审计维护2次，通过该项目的实施，图书馆有效满足了社会对文化娱乐的需要，丰富和活跃了人民群众的文化生活。</w:t>
            </w:r>
          </w:p>
        </w:tc>
      </w:tr>
      <w:tr w14:paraId="5FCDF6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E0CD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1160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DEFD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5430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2E99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CC22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AEA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3A16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7EC8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5D6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F55C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441A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CECA5">
            <w:pPr>
              <w:jc w:val="center"/>
            </w:pPr>
            <w:r>
              <w:rPr>
                <w:rFonts w:ascii="宋体" w:hAnsi="宋体" w:eastAsia="宋体"/>
                <w:sz w:val="16"/>
              </w:rPr>
              <w:t>偏差原因分析及改进措施</w:t>
            </w:r>
          </w:p>
        </w:tc>
      </w:tr>
      <w:tr w14:paraId="2EC00C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FABB0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E114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A091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B98D9">
            <w:pPr>
              <w:jc w:val="center"/>
            </w:pPr>
            <w:r>
              <w:rPr>
                <w:rFonts w:ascii="宋体" w:hAnsi="宋体" w:eastAsia="宋体"/>
                <w:sz w:val="16"/>
              </w:rPr>
              <w:t>开展免费开放活动（次数）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DBB4D">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134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26C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1F1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52D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42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3423E">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E31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A9EFD">
            <w:pPr>
              <w:jc w:val="center"/>
            </w:pPr>
          </w:p>
        </w:tc>
      </w:tr>
      <w:tr w14:paraId="311ECE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F6A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6B6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8D6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0234">
            <w:pPr>
              <w:jc w:val="center"/>
            </w:pPr>
            <w:r>
              <w:rPr>
                <w:rFonts w:ascii="宋体" w:hAnsi="宋体" w:eastAsia="宋体"/>
                <w:sz w:val="16"/>
              </w:rPr>
              <w:t>电子设备升级维护（次）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78DCD">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DA4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545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59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F48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783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722C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CDC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81FDB">
            <w:pPr>
              <w:jc w:val="center"/>
            </w:pPr>
          </w:p>
        </w:tc>
      </w:tr>
      <w:tr w14:paraId="016B99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2BF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3C7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FA7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7DB0D">
            <w:pPr>
              <w:jc w:val="center"/>
            </w:pPr>
            <w:r>
              <w:rPr>
                <w:rFonts w:ascii="宋体" w:hAnsi="宋体" w:eastAsia="宋体"/>
                <w:sz w:val="16"/>
              </w:rPr>
              <w:t>电子设备升级维护验收合格率（%）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620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0DA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6AF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8E2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763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A53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46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12B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711F4">
            <w:pPr>
              <w:jc w:val="center"/>
            </w:pPr>
          </w:p>
        </w:tc>
      </w:tr>
      <w:tr w14:paraId="370F85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457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73E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CD90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26348">
            <w:pPr>
              <w:jc w:val="center"/>
            </w:pPr>
            <w:r>
              <w:rPr>
                <w:rFonts w:ascii="宋体" w:hAnsi="宋体" w:eastAsia="宋体"/>
                <w:sz w:val="16"/>
              </w:rPr>
              <w:t>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40A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AF3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A39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27A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CCB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51A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D6D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45E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E8365">
            <w:pPr>
              <w:jc w:val="center"/>
            </w:pPr>
          </w:p>
        </w:tc>
      </w:tr>
      <w:tr w14:paraId="2440FE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7F4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A88B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B612D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2C351">
            <w:pPr>
              <w:jc w:val="center"/>
            </w:pPr>
            <w:r>
              <w:rPr>
                <w:rFonts w:ascii="宋体" w:hAnsi="宋体" w:eastAsia="宋体"/>
                <w:sz w:val="16"/>
              </w:rPr>
              <w:t>免费开放活动费用（万元）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42865">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4CCE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D6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AC9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EB1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078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97844">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FDA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2FF5C">
            <w:pPr>
              <w:jc w:val="center"/>
            </w:pPr>
          </w:p>
        </w:tc>
      </w:tr>
      <w:tr w14:paraId="585915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8CD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9D6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4C1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71770">
            <w:pPr>
              <w:jc w:val="center"/>
            </w:pPr>
            <w:r>
              <w:rPr>
                <w:rFonts w:ascii="宋体" w:hAnsi="宋体" w:eastAsia="宋体"/>
                <w:sz w:val="16"/>
              </w:rPr>
              <w:t>电子设备升级维护（万元）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7C18D">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25EC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78C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E7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F7D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050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F076">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CE9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1F61D">
            <w:pPr>
              <w:jc w:val="center"/>
            </w:pPr>
          </w:p>
        </w:tc>
      </w:tr>
      <w:tr w14:paraId="3BECF1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68F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FDD9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91C7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4594D">
            <w:pPr>
              <w:jc w:val="center"/>
            </w:pPr>
            <w:r>
              <w:rPr>
                <w:rFonts w:ascii="宋体" w:hAnsi="宋体" w:eastAsia="宋体"/>
                <w:sz w:val="16"/>
              </w:rPr>
              <w:t>提升人民群众文化生活水平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BD7A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AF6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D33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2F2C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9B53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D500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8E6B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7599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FDFD4">
            <w:pPr>
              <w:jc w:val="center"/>
            </w:pPr>
          </w:p>
        </w:tc>
      </w:tr>
      <w:tr w14:paraId="0C6653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98C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C9C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646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5E3BE">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3B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64E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5A9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1EA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04E7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E68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C8C8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BB3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1850B">
            <w:pPr>
              <w:jc w:val="center"/>
            </w:pPr>
          </w:p>
        </w:tc>
      </w:tr>
      <w:tr w14:paraId="31877B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B566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766C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6098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4A49E1">
            <w:pPr>
              <w:jc w:val="center"/>
            </w:pPr>
            <w:r>
              <w:rPr>
                <w:rFonts w:ascii="宋体" w:hAnsi="宋体" w:eastAsia="宋体"/>
                <w:sz w:val="16"/>
              </w:rPr>
              <w:t>100分</w:t>
            </w:r>
          </w:p>
        </w:tc>
      </w:tr>
    </w:tbl>
    <w:p w14:paraId="68E2122E">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012914D9">
        <w:tblPrEx>
          <w:tblCellMar>
            <w:top w:w="0" w:type="dxa"/>
            <w:left w:w="108" w:type="dxa"/>
            <w:bottom w:w="0" w:type="dxa"/>
            <w:right w:w="108" w:type="dxa"/>
          </w:tblCellMar>
        </w:tblPrEx>
        <w:tc>
          <w:tcPr>
            <w:tcW w:w="8848" w:type="dxa"/>
            <w:gridSpan w:val="14"/>
            <w:vAlign w:val="center"/>
          </w:tcPr>
          <w:p w14:paraId="5E45172A">
            <w:pPr>
              <w:jc w:val="center"/>
            </w:pPr>
            <w:r>
              <w:rPr>
                <w:rFonts w:ascii="宋体" w:hAnsi="宋体" w:eastAsia="宋体"/>
                <w:sz w:val="24"/>
              </w:rPr>
              <w:t>项目支出绩效自评表</w:t>
            </w:r>
          </w:p>
        </w:tc>
      </w:tr>
      <w:tr w14:paraId="1C2676BF">
        <w:tblPrEx>
          <w:tblCellMar>
            <w:top w:w="0" w:type="dxa"/>
            <w:left w:w="108" w:type="dxa"/>
            <w:bottom w:w="0" w:type="dxa"/>
            <w:right w:w="108" w:type="dxa"/>
          </w:tblCellMar>
        </w:tblPrEx>
        <w:tc>
          <w:tcPr>
            <w:tcW w:w="8848" w:type="dxa"/>
            <w:gridSpan w:val="14"/>
            <w:vAlign w:val="center"/>
          </w:tcPr>
          <w:p w14:paraId="71572FBD">
            <w:pPr>
              <w:jc w:val="center"/>
            </w:pPr>
            <w:r>
              <w:rPr>
                <w:rFonts w:ascii="宋体" w:hAnsi="宋体" w:eastAsia="宋体"/>
                <w:sz w:val="24"/>
              </w:rPr>
              <w:t>(2024年度)</w:t>
            </w:r>
          </w:p>
        </w:tc>
      </w:tr>
      <w:tr w14:paraId="220DB2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4746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2EDEA4">
            <w:pPr>
              <w:jc w:val="center"/>
            </w:pPr>
            <w:r>
              <w:rPr>
                <w:rFonts w:ascii="宋体" w:hAnsi="宋体" w:eastAsia="宋体"/>
                <w:sz w:val="16"/>
              </w:rPr>
              <w:t>克州图书馆单位实有资金结余款（2023年结余）项目</w:t>
            </w:r>
          </w:p>
        </w:tc>
      </w:tr>
      <w:tr w14:paraId="093980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09D9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282BA3">
            <w:pPr>
              <w:jc w:val="center"/>
            </w:pPr>
            <w:r>
              <w:rPr>
                <w:rFonts w:ascii="宋体" w:hAnsi="宋体" w:eastAsia="宋体"/>
                <w:sz w:val="16"/>
              </w:rPr>
              <w:t>克孜勒苏柯尔克孜自治州文化体育广播和旅游局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DF1A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CA2D1D">
            <w:pPr>
              <w:jc w:val="center"/>
            </w:pPr>
            <w:r>
              <w:rPr>
                <w:rFonts w:ascii="宋体" w:hAnsi="宋体" w:eastAsia="宋体"/>
                <w:sz w:val="16"/>
              </w:rPr>
              <w:t>克孜勒苏柯尔克孜自治州图书馆</w:t>
            </w:r>
          </w:p>
        </w:tc>
      </w:tr>
      <w:tr w14:paraId="43351E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C646C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F8C9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1A49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186B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5164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19DE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56E7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0CFE8">
            <w:pPr>
              <w:jc w:val="center"/>
            </w:pPr>
            <w:r>
              <w:rPr>
                <w:rFonts w:ascii="宋体" w:hAnsi="宋体" w:eastAsia="宋体"/>
                <w:sz w:val="16"/>
              </w:rPr>
              <w:t>得分</w:t>
            </w:r>
          </w:p>
        </w:tc>
      </w:tr>
      <w:tr w14:paraId="1306EC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562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3A2A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1FCAD">
            <w:pPr>
              <w:jc w:val="center"/>
            </w:pPr>
            <w:r>
              <w:rPr>
                <w:rFonts w:ascii="宋体" w:hAnsi="宋体" w:eastAsia="宋体"/>
                <w:sz w:val="16"/>
              </w:rPr>
              <w:t>18.54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9F847">
            <w:pPr>
              <w:jc w:val="center"/>
            </w:pPr>
            <w:r>
              <w:rPr>
                <w:rFonts w:ascii="宋体" w:hAnsi="宋体" w:eastAsia="宋体"/>
                <w:sz w:val="16"/>
              </w:rPr>
              <w:t>18.54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733FA">
            <w:pPr>
              <w:jc w:val="center"/>
            </w:pPr>
            <w:r>
              <w:rPr>
                <w:rFonts w:ascii="宋体" w:hAnsi="宋体" w:eastAsia="宋体"/>
                <w:sz w:val="16"/>
              </w:rPr>
              <w:t>18.54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9E6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C212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84421">
            <w:pPr>
              <w:jc w:val="center"/>
            </w:pPr>
            <w:r>
              <w:rPr>
                <w:rFonts w:ascii="宋体" w:hAnsi="宋体" w:eastAsia="宋体"/>
                <w:sz w:val="16"/>
              </w:rPr>
              <w:t>10.00分</w:t>
            </w:r>
          </w:p>
        </w:tc>
      </w:tr>
      <w:tr w14:paraId="7F4743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83D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B956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DB1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005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1B7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14A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8B7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E6600">
            <w:pPr>
              <w:jc w:val="center"/>
            </w:pPr>
            <w:r>
              <w:rPr>
                <w:rFonts w:ascii="宋体" w:hAnsi="宋体" w:eastAsia="宋体"/>
                <w:sz w:val="16"/>
              </w:rPr>
              <w:t>—</w:t>
            </w:r>
          </w:p>
        </w:tc>
      </w:tr>
      <w:tr w14:paraId="4121AB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082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CB91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54D93">
            <w:pPr>
              <w:jc w:val="center"/>
            </w:pPr>
            <w:r>
              <w:rPr>
                <w:rFonts w:ascii="宋体" w:hAnsi="宋体" w:eastAsia="宋体"/>
                <w:sz w:val="16"/>
              </w:rPr>
              <w:t>18.54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5BB1F">
            <w:pPr>
              <w:jc w:val="center"/>
            </w:pPr>
            <w:r>
              <w:rPr>
                <w:rFonts w:ascii="宋体" w:hAnsi="宋体" w:eastAsia="宋体"/>
                <w:sz w:val="16"/>
              </w:rPr>
              <w:t>18.54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AD380">
            <w:pPr>
              <w:jc w:val="center"/>
            </w:pPr>
            <w:r>
              <w:rPr>
                <w:rFonts w:ascii="宋体" w:hAnsi="宋体" w:eastAsia="宋体"/>
                <w:sz w:val="16"/>
              </w:rPr>
              <w:t>18.54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CC6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206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25D73">
            <w:pPr>
              <w:jc w:val="center"/>
            </w:pPr>
            <w:r>
              <w:rPr>
                <w:rFonts w:ascii="宋体" w:hAnsi="宋体" w:eastAsia="宋体"/>
                <w:sz w:val="16"/>
              </w:rPr>
              <w:t>—</w:t>
            </w:r>
          </w:p>
        </w:tc>
      </w:tr>
      <w:tr w14:paraId="67AAF0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EA9F6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C1307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7161CA">
            <w:pPr>
              <w:jc w:val="center"/>
            </w:pPr>
            <w:r>
              <w:rPr>
                <w:rFonts w:ascii="宋体" w:hAnsi="宋体" w:eastAsia="宋体"/>
                <w:sz w:val="16"/>
              </w:rPr>
              <w:t>实际完成情况</w:t>
            </w:r>
          </w:p>
        </w:tc>
      </w:tr>
      <w:tr w14:paraId="6BE7C5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73D3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9E8203">
            <w:pPr>
              <w:jc w:val="both"/>
            </w:pPr>
            <w:r>
              <w:rPr>
                <w:rFonts w:ascii="宋体" w:hAnsi="宋体" w:eastAsia="宋体"/>
                <w:sz w:val="16"/>
              </w:rPr>
              <w:t>通过该项目资金，根据自治州</w:t>
            </w:r>
            <w:r>
              <w:rPr>
                <w:rFonts w:hint="eastAsia" w:ascii="宋体" w:hAnsi="宋体"/>
                <w:sz w:val="16"/>
                <w:lang w:eastAsia="zh-CN"/>
              </w:rPr>
              <w:t>“十四五”发展规划</w:t>
            </w:r>
            <w:r>
              <w:rPr>
                <w:rFonts w:ascii="宋体" w:hAnsi="宋体" w:eastAsia="宋体"/>
                <w:sz w:val="16"/>
              </w:rPr>
              <w:t>及文化行业发展需要，按自治区“文化润疆”工作要求，结合本单位服务免费开放活动方面职能、保障单位职工2023年7至12月基础性绩效奖及各类社保补贴的正常发放项目资金18.541829万元，其中：财政资金18.541829万元，其他资金0万元</w:t>
            </w:r>
            <w:r>
              <w:rPr>
                <w:rFonts w:hint="eastAsia" w:ascii="宋体" w:hAnsi="宋体"/>
                <w:sz w:val="16"/>
                <w:lang w:eastAsia="zh-CN"/>
              </w:rPr>
              <w:t>。</w:t>
            </w:r>
            <w:r>
              <w:rPr>
                <w:rFonts w:ascii="宋体" w:hAnsi="宋体" w:eastAsia="宋体"/>
                <w:sz w:val="16"/>
              </w:rPr>
              <w:t>按照年度工作计划，开展克州图书馆单位实有资金结余款（2023年结余）项目。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7A3BBF">
            <w:pPr>
              <w:jc w:val="both"/>
            </w:pPr>
            <w:r>
              <w:rPr>
                <w:rFonts w:ascii="宋体" w:hAnsi="宋体" w:eastAsia="宋体"/>
                <w:sz w:val="16"/>
              </w:rPr>
              <w:t>该项目资金总额为18.54万元，2024年图书馆发放10人2023年7-12月份基础性绩效工资6个月，缴纳单位职工3个月社保补贴。通过对结余资金的合理调配与精准使用，项目整体进度较原计划提前完成，圆满达成预期的绩效目标。</w:t>
            </w:r>
            <w:r>
              <w:rPr>
                <w:rFonts w:ascii="宋体" w:hAnsi="宋体" w:eastAsia="宋体"/>
                <w:sz w:val="16"/>
              </w:rPr>
              <w:br w:type="textWrapping"/>
            </w:r>
          </w:p>
        </w:tc>
      </w:tr>
      <w:tr w14:paraId="5A1ADC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FD40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DF24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728A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117D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43C6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73F6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8BC5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E94A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5215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6C4C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D337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BA56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446ED">
            <w:pPr>
              <w:jc w:val="center"/>
            </w:pPr>
            <w:r>
              <w:rPr>
                <w:rFonts w:ascii="宋体" w:hAnsi="宋体" w:eastAsia="宋体"/>
                <w:sz w:val="16"/>
              </w:rPr>
              <w:t>偏差原因分析及改进措施</w:t>
            </w:r>
          </w:p>
        </w:tc>
      </w:tr>
      <w:tr w14:paraId="1CDD51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4348A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9D47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0157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DCFAE">
            <w:pPr>
              <w:jc w:val="center"/>
            </w:pPr>
            <w:r>
              <w:rPr>
                <w:rFonts w:ascii="宋体" w:hAnsi="宋体" w:eastAsia="宋体"/>
                <w:sz w:val="16"/>
              </w:rPr>
              <w:t>单位职工2023年需发放基础性绩效奖人数（人）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05E50">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C04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660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6C5C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973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120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6097A">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F924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F2D8B">
            <w:pPr>
              <w:jc w:val="center"/>
            </w:pPr>
          </w:p>
        </w:tc>
      </w:tr>
      <w:tr w14:paraId="4FD836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CDE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266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62F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1419A">
            <w:pPr>
              <w:jc w:val="center"/>
            </w:pPr>
            <w:r>
              <w:rPr>
                <w:rFonts w:ascii="宋体" w:hAnsi="宋体" w:eastAsia="宋体"/>
                <w:sz w:val="16"/>
              </w:rPr>
              <w:t>单位职工缴纳社</w:t>
            </w:r>
            <w:r>
              <w:rPr>
                <w:rFonts w:hint="eastAsia" w:ascii="宋体" w:hAnsi="宋体"/>
                <w:sz w:val="16"/>
                <w:lang w:val="en-US" w:eastAsia="zh-CN"/>
              </w:rPr>
              <w:t>保</w:t>
            </w:r>
            <w:r>
              <w:rPr>
                <w:rFonts w:ascii="宋体" w:hAnsi="宋体" w:eastAsia="宋体"/>
                <w:sz w:val="16"/>
              </w:rPr>
              <w:t>各类保补贴月数（个）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30EBC">
            <w:pPr>
              <w:jc w:val="center"/>
            </w:pPr>
            <w:r>
              <w:rPr>
                <w:rFonts w:ascii="宋体" w:hAnsi="宋体" w:eastAsia="宋体"/>
                <w:sz w:val="16"/>
              </w:rPr>
              <w:t>&gt;=3个月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B83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1AB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14CB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BEF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D50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0E2D2">
            <w:pPr>
              <w:jc w:val="center"/>
            </w:pPr>
            <w:r>
              <w:rPr>
                <w:rFonts w:ascii="宋体" w:hAnsi="宋体" w:eastAsia="宋体"/>
                <w:sz w:val="16"/>
              </w:rPr>
              <w:t>=3个月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B9D7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3458D">
            <w:pPr>
              <w:jc w:val="center"/>
            </w:pPr>
          </w:p>
        </w:tc>
      </w:tr>
      <w:tr w14:paraId="540BAD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EDF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5F5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651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CC29F">
            <w:pPr>
              <w:jc w:val="center"/>
            </w:pPr>
            <w:r>
              <w:rPr>
                <w:rFonts w:ascii="宋体" w:hAnsi="宋体" w:eastAsia="宋体"/>
                <w:sz w:val="16"/>
              </w:rPr>
              <w:t>单位职工2023年需发放基础性绩效奖余额数（个月）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A926">
            <w:pPr>
              <w:jc w:val="center"/>
            </w:pPr>
            <w:r>
              <w:rPr>
                <w:rFonts w:ascii="宋体" w:hAnsi="宋体" w:eastAsia="宋体"/>
                <w:sz w:val="16"/>
              </w:rPr>
              <w:t>&gt;=6个月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FA3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519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92E1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D09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9C5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EBBA2">
            <w:pPr>
              <w:jc w:val="center"/>
            </w:pPr>
            <w:r>
              <w:rPr>
                <w:rFonts w:ascii="宋体" w:hAnsi="宋体" w:eastAsia="宋体"/>
                <w:sz w:val="16"/>
              </w:rPr>
              <w: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F3A7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CD233">
            <w:pPr>
              <w:jc w:val="center"/>
            </w:pPr>
          </w:p>
        </w:tc>
      </w:tr>
      <w:tr w14:paraId="4474FE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FDE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48D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3253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CD9A6">
            <w:pPr>
              <w:jc w:val="center"/>
            </w:pPr>
            <w:r>
              <w:rPr>
                <w:rFonts w:ascii="宋体" w:hAnsi="宋体" w:eastAsia="宋体"/>
                <w:sz w:val="16"/>
              </w:rPr>
              <w:t>绩效奖金和社保资金核对准确率（%）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6C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5F1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58F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8940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196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727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628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F84F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CA1EE">
            <w:pPr>
              <w:jc w:val="center"/>
            </w:pPr>
          </w:p>
        </w:tc>
      </w:tr>
      <w:tr w14:paraId="799486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F4A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14C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C163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92203">
            <w:pPr>
              <w:jc w:val="center"/>
            </w:pPr>
            <w:r>
              <w:rPr>
                <w:rFonts w:ascii="宋体" w:hAnsi="宋体" w:eastAsia="宋体"/>
                <w:sz w:val="16"/>
              </w:rPr>
              <w:t>资金缴纳和发放及时率（%）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75F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EDA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594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542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AB1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33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6CF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A777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09728">
            <w:pPr>
              <w:jc w:val="center"/>
            </w:pPr>
          </w:p>
        </w:tc>
      </w:tr>
      <w:tr w14:paraId="7485CE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A89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DFED8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9A3CE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144A4">
            <w:pPr>
              <w:jc w:val="center"/>
            </w:pPr>
            <w:r>
              <w:rPr>
                <w:rFonts w:ascii="宋体" w:hAnsi="宋体" w:eastAsia="宋体"/>
                <w:sz w:val="16"/>
              </w:rPr>
              <w:t>单位职工2023年7至12月基础性绩效奖及各类社保补贴金额(万元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B1134">
            <w:pPr>
              <w:jc w:val="center"/>
            </w:pPr>
            <w:r>
              <w:rPr>
                <w:rFonts w:ascii="宋体" w:hAnsi="宋体" w:eastAsia="宋体"/>
                <w:sz w:val="16"/>
              </w:rPr>
              <w:t>&lt;=11.23万元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1FE0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FA2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E24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57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1E3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DB042">
            <w:pPr>
              <w:jc w:val="center"/>
            </w:pPr>
            <w:r>
              <w:rPr>
                <w:rFonts w:ascii="宋体" w:hAnsi="宋体" w:eastAsia="宋体"/>
                <w:sz w:val="16"/>
              </w:rPr>
              <w:t>=11.23万元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41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8E236">
            <w:pPr>
              <w:jc w:val="center"/>
            </w:pPr>
          </w:p>
        </w:tc>
      </w:tr>
      <w:tr w14:paraId="61330E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FA7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1CF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041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DAB15">
            <w:pPr>
              <w:jc w:val="center"/>
            </w:pPr>
            <w:r>
              <w:rPr>
                <w:rFonts w:ascii="宋体" w:hAnsi="宋体" w:eastAsia="宋体"/>
                <w:sz w:val="16"/>
              </w:rPr>
              <w:t>单位职工缴纳社</w:t>
            </w:r>
            <w:r>
              <w:rPr>
                <w:rFonts w:hint="eastAsia" w:ascii="宋体" w:hAnsi="宋体"/>
                <w:sz w:val="16"/>
                <w:lang w:val="en-US" w:eastAsia="zh-CN"/>
              </w:rPr>
              <w:t>保</w:t>
            </w:r>
            <w:r>
              <w:rPr>
                <w:rFonts w:ascii="宋体" w:hAnsi="宋体" w:eastAsia="宋体"/>
                <w:sz w:val="16"/>
              </w:rPr>
              <w:t>各类</w:t>
            </w:r>
            <w:r>
              <w:rPr>
                <w:rFonts w:hint="eastAsia" w:ascii="宋体" w:hAnsi="宋体"/>
                <w:sz w:val="16"/>
                <w:lang w:eastAsia="zh-CN"/>
              </w:rPr>
              <w:t>保障</w:t>
            </w:r>
            <w:r>
              <w:rPr>
                <w:rFonts w:ascii="宋体" w:hAnsi="宋体" w:eastAsia="宋体"/>
                <w:sz w:val="16"/>
              </w:rPr>
              <w:t>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93405">
            <w:pPr>
              <w:jc w:val="center"/>
            </w:pPr>
            <w:r>
              <w:rPr>
                <w:rFonts w:ascii="宋体" w:hAnsi="宋体" w:eastAsia="宋体"/>
                <w:sz w:val="16"/>
              </w:rPr>
              <w:t>&lt;=7.31万元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F8A9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F4F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51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916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847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12B50">
            <w:pPr>
              <w:jc w:val="center"/>
            </w:pPr>
            <w:r>
              <w:rPr>
                <w:rFonts w:ascii="宋体" w:hAnsi="宋体" w:eastAsia="宋体"/>
                <w:sz w:val="16"/>
              </w:rPr>
              <w:t>=7.31万元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62C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D0C80">
            <w:pPr>
              <w:jc w:val="center"/>
            </w:pPr>
          </w:p>
        </w:tc>
      </w:tr>
      <w:tr w14:paraId="7E964F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D52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7647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D53B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381ED">
            <w:pPr>
              <w:jc w:val="center"/>
            </w:pPr>
            <w:r>
              <w:rPr>
                <w:rFonts w:ascii="宋体" w:hAnsi="宋体" w:eastAsia="宋体"/>
                <w:sz w:val="16"/>
              </w:rPr>
              <w:t>保障本单位职工正常享受工资待遇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F22B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EB5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189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C1F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3D25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754A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BC79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7A5D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68F6B">
            <w:pPr>
              <w:jc w:val="center"/>
            </w:pPr>
          </w:p>
        </w:tc>
      </w:tr>
      <w:tr w14:paraId="3E4D26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24E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094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6A7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A00D4">
            <w:pPr>
              <w:jc w:val="center"/>
            </w:pPr>
            <w:r>
              <w:rPr>
                <w:rFonts w:ascii="宋体" w:hAnsi="宋体" w:eastAsia="宋体"/>
                <w:sz w:val="16"/>
              </w:rPr>
              <w:t>单位职工满意度（%）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C98B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0CE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88D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DA0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3D8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4FF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4673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E3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54EC0">
            <w:pPr>
              <w:jc w:val="center"/>
            </w:pPr>
          </w:p>
        </w:tc>
      </w:tr>
      <w:tr w14:paraId="3730F5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A756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B0ED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C2F4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826DBD">
            <w:pPr>
              <w:jc w:val="center"/>
            </w:pPr>
            <w:r>
              <w:rPr>
                <w:rFonts w:ascii="宋体" w:hAnsi="宋体" w:eastAsia="宋体"/>
                <w:sz w:val="16"/>
              </w:rPr>
              <w:t>100分</w:t>
            </w:r>
          </w:p>
        </w:tc>
      </w:tr>
    </w:tbl>
    <w:p w14:paraId="7248BB3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F9286DE">
        <w:tblPrEx>
          <w:tblCellMar>
            <w:top w:w="0" w:type="dxa"/>
            <w:left w:w="108" w:type="dxa"/>
            <w:bottom w:w="0" w:type="dxa"/>
            <w:right w:w="108" w:type="dxa"/>
          </w:tblCellMar>
        </w:tblPrEx>
        <w:tc>
          <w:tcPr>
            <w:tcW w:w="8848" w:type="dxa"/>
            <w:gridSpan w:val="14"/>
            <w:vAlign w:val="center"/>
          </w:tcPr>
          <w:p w14:paraId="64C93F67">
            <w:pPr>
              <w:jc w:val="center"/>
            </w:pPr>
            <w:r>
              <w:rPr>
                <w:rFonts w:ascii="宋体" w:hAnsi="宋体" w:eastAsia="宋体"/>
                <w:sz w:val="24"/>
              </w:rPr>
              <w:t>项目支出绩效自评表</w:t>
            </w:r>
          </w:p>
        </w:tc>
      </w:tr>
      <w:tr w14:paraId="30AA644C">
        <w:tblPrEx>
          <w:tblCellMar>
            <w:top w:w="0" w:type="dxa"/>
            <w:left w:w="108" w:type="dxa"/>
            <w:bottom w:w="0" w:type="dxa"/>
            <w:right w:w="108" w:type="dxa"/>
          </w:tblCellMar>
        </w:tblPrEx>
        <w:tc>
          <w:tcPr>
            <w:tcW w:w="8848" w:type="dxa"/>
            <w:gridSpan w:val="14"/>
            <w:vAlign w:val="center"/>
          </w:tcPr>
          <w:p w14:paraId="794DF2B2">
            <w:pPr>
              <w:jc w:val="center"/>
            </w:pPr>
            <w:r>
              <w:rPr>
                <w:rFonts w:ascii="宋体" w:hAnsi="宋体" w:eastAsia="宋体"/>
                <w:sz w:val="24"/>
              </w:rPr>
              <w:t>(2024年度)</w:t>
            </w:r>
          </w:p>
        </w:tc>
      </w:tr>
      <w:tr w14:paraId="630098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1342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7C77DB">
            <w:pPr>
              <w:jc w:val="center"/>
            </w:pPr>
            <w:r>
              <w:rPr>
                <w:rFonts w:ascii="宋体" w:hAnsi="宋体" w:eastAsia="宋体"/>
                <w:sz w:val="16"/>
              </w:rPr>
              <w:t>克州图书馆数字化阅读平台建设项目</w:t>
            </w:r>
          </w:p>
        </w:tc>
      </w:tr>
      <w:tr w14:paraId="1C0328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90C1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F0BFDE">
            <w:pPr>
              <w:jc w:val="center"/>
            </w:pPr>
            <w:r>
              <w:rPr>
                <w:rFonts w:ascii="宋体" w:hAnsi="宋体" w:eastAsia="宋体"/>
                <w:sz w:val="16"/>
              </w:rPr>
              <w:t>克孜勒苏柯尔克孜自治州文化体育广播和旅游局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96F5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CEA7B7">
            <w:pPr>
              <w:jc w:val="center"/>
            </w:pPr>
            <w:r>
              <w:rPr>
                <w:rFonts w:ascii="宋体" w:hAnsi="宋体" w:eastAsia="宋体"/>
                <w:sz w:val="16"/>
              </w:rPr>
              <w:t>克孜勒苏柯尔克孜自治州图书馆</w:t>
            </w:r>
          </w:p>
        </w:tc>
      </w:tr>
      <w:tr w14:paraId="3E4393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B18D8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D8ED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F9EE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5D75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D46B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3BDD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7C6A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C8553">
            <w:pPr>
              <w:jc w:val="center"/>
            </w:pPr>
            <w:r>
              <w:rPr>
                <w:rFonts w:ascii="宋体" w:hAnsi="宋体" w:eastAsia="宋体"/>
                <w:sz w:val="16"/>
              </w:rPr>
              <w:t>得分</w:t>
            </w:r>
          </w:p>
        </w:tc>
      </w:tr>
      <w:tr w14:paraId="34711C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06D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AC56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31EAD">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E209E">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F70F9">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F60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106B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3EA9D">
            <w:pPr>
              <w:jc w:val="center"/>
            </w:pPr>
            <w:r>
              <w:rPr>
                <w:rFonts w:ascii="宋体" w:hAnsi="宋体" w:eastAsia="宋体"/>
                <w:sz w:val="16"/>
              </w:rPr>
              <w:t>10.00分</w:t>
            </w:r>
          </w:p>
        </w:tc>
      </w:tr>
      <w:tr w14:paraId="2D4251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D8C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795C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186B4">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FBE53">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D6BB3">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1A6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71A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FCB15">
            <w:pPr>
              <w:jc w:val="center"/>
            </w:pPr>
            <w:r>
              <w:rPr>
                <w:rFonts w:ascii="宋体" w:hAnsi="宋体" w:eastAsia="宋体"/>
                <w:sz w:val="16"/>
              </w:rPr>
              <w:t>—</w:t>
            </w:r>
          </w:p>
        </w:tc>
      </w:tr>
      <w:tr w14:paraId="163809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A95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9801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6FA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926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9DD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4D1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4B5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53AA5">
            <w:pPr>
              <w:jc w:val="center"/>
            </w:pPr>
            <w:r>
              <w:rPr>
                <w:rFonts w:ascii="宋体" w:hAnsi="宋体" w:eastAsia="宋体"/>
                <w:sz w:val="16"/>
              </w:rPr>
              <w:t>—</w:t>
            </w:r>
          </w:p>
        </w:tc>
      </w:tr>
      <w:tr w14:paraId="1065F2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FFC8C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A42EB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8B83E2">
            <w:pPr>
              <w:jc w:val="center"/>
            </w:pPr>
            <w:r>
              <w:rPr>
                <w:rFonts w:ascii="宋体" w:hAnsi="宋体" w:eastAsia="宋体"/>
                <w:sz w:val="16"/>
              </w:rPr>
              <w:t>实际完成情况</w:t>
            </w:r>
          </w:p>
        </w:tc>
      </w:tr>
      <w:tr w14:paraId="7E672F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B7E2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51DE2B">
            <w:pPr>
              <w:jc w:val="both"/>
            </w:pPr>
            <w:r>
              <w:rPr>
                <w:rFonts w:ascii="宋体" w:hAnsi="宋体" w:eastAsia="宋体"/>
                <w:sz w:val="16"/>
              </w:rPr>
              <w:t>保障本单位免费开放活动服务工作、提升本单位服务免费开放活动工作质量。项目资金70万元，其中财政资金70万元，其他资金0元。运用人机交互、虚拟现实、</w:t>
            </w:r>
            <w:r>
              <w:rPr>
                <w:rFonts w:hint="eastAsia" w:ascii="宋体" w:hAnsi="宋体"/>
                <w:sz w:val="16"/>
                <w:lang w:eastAsia="zh-CN"/>
              </w:rPr>
              <w:t>全息影像等</w:t>
            </w:r>
            <w:r>
              <w:rPr>
                <w:rFonts w:ascii="宋体" w:hAnsi="宋体" w:eastAsia="宋体"/>
                <w:sz w:val="16"/>
              </w:rPr>
              <w:t>信息技术，加强公共文化“沉浸式”“互动式”体验服务，达到进一步提高克州图书馆智慧化运营，优化数据反馈模式。按照年度工作计划，开展克州图书馆数字化阅读平台建设项目。有效满足社会对文化娱乐的需要，丰富和活跃了人民群众的文化生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E0D4BA">
            <w:pPr>
              <w:jc w:val="both"/>
            </w:pPr>
            <w:r>
              <w:rPr>
                <w:rFonts w:ascii="宋体" w:hAnsi="宋体" w:eastAsia="宋体"/>
                <w:sz w:val="16"/>
              </w:rPr>
              <w:t>克州图书馆数字化阅读平台建设项目的70万元资金已全额投入使用，智慧图书互动体验设备个数10个，补助智慧阅读空间项目数1个，项目资金全部落实到位，建成了涵盖多领域资源数字化阅读平台，通过此项目有效满足社会对文化娱乐的需要，丰富和活跃了人民群众的文化生活。</w:t>
            </w:r>
          </w:p>
        </w:tc>
      </w:tr>
      <w:tr w14:paraId="3221ED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41AF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1C9D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8414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AE4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0CEB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8E7F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9BBF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794E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D091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ECA8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5D04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C915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F6E87">
            <w:pPr>
              <w:jc w:val="center"/>
            </w:pPr>
            <w:r>
              <w:rPr>
                <w:rFonts w:ascii="宋体" w:hAnsi="宋体" w:eastAsia="宋体"/>
                <w:sz w:val="16"/>
              </w:rPr>
              <w:t>偏差原因分析及改进措施</w:t>
            </w:r>
          </w:p>
        </w:tc>
      </w:tr>
      <w:tr w14:paraId="7F652E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D029E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8CEF6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8D0C4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C83AB">
            <w:pPr>
              <w:jc w:val="center"/>
            </w:pPr>
            <w:r>
              <w:rPr>
                <w:rFonts w:ascii="宋体" w:hAnsi="宋体" w:eastAsia="宋体"/>
                <w:sz w:val="16"/>
              </w:rPr>
              <w:t>智慧图书互动体验设备个数（个）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8095B">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C6B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05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C020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DBC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9E4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48EF3">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4319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DB774">
            <w:pPr>
              <w:jc w:val="center"/>
            </w:pPr>
          </w:p>
        </w:tc>
      </w:tr>
      <w:tr w14:paraId="193218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530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CF9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95C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4C28F">
            <w:pPr>
              <w:jc w:val="center"/>
            </w:pPr>
            <w:r>
              <w:rPr>
                <w:rFonts w:ascii="宋体" w:hAnsi="宋体" w:eastAsia="宋体"/>
                <w:sz w:val="16"/>
              </w:rPr>
              <w:t>补助智慧阅读空间项目数（个）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96B5C">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378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C5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0814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D4B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64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3E84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9CF3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6A71E">
            <w:pPr>
              <w:jc w:val="center"/>
            </w:pPr>
          </w:p>
        </w:tc>
      </w:tr>
      <w:tr w14:paraId="21D0AE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8B6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9C6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0265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8A115">
            <w:pPr>
              <w:jc w:val="center"/>
            </w:pPr>
            <w:r>
              <w:rPr>
                <w:rFonts w:ascii="宋体" w:hAnsi="宋体" w:eastAsia="宋体"/>
                <w:sz w:val="16"/>
              </w:rPr>
              <w:t>数字化阅读平台建设完成率（%）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4145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8D4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D6D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6F19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8FD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1C8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1DFE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E298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BE077">
            <w:pPr>
              <w:jc w:val="center"/>
            </w:pPr>
          </w:p>
        </w:tc>
      </w:tr>
      <w:tr w14:paraId="2A0491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596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E3C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C25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9A47E">
            <w:pPr>
              <w:jc w:val="center"/>
            </w:pPr>
            <w:r>
              <w:rPr>
                <w:rFonts w:ascii="宋体" w:hAnsi="宋体" w:eastAsia="宋体"/>
                <w:sz w:val="16"/>
              </w:rPr>
              <w:t>数字文化体验空间建设完成率（%）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80BD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D1E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C44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5700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331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E5C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A4C7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5237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6F6F0">
            <w:pPr>
              <w:jc w:val="center"/>
            </w:pPr>
          </w:p>
        </w:tc>
      </w:tr>
      <w:tr w14:paraId="0BA254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201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34D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2E92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59364">
            <w:pPr>
              <w:jc w:val="center"/>
            </w:pPr>
            <w:r>
              <w:rPr>
                <w:rFonts w:ascii="宋体" w:hAnsi="宋体" w:eastAsia="宋体"/>
                <w:sz w:val="16"/>
              </w:rPr>
              <w:t>项目跟踪及时性（%）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2D43C">
            <w:pPr>
              <w:jc w:val="center"/>
            </w:pPr>
            <w:r>
              <w:rPr>
                <w:rFonts w:ascii="宋体" w:hAnsi="宋体" w:eastAsia="宋体"/>
                <w:sz w:val="16"/>
              </w:rPr>
              <w:t>收到资金后30日内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AE4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954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91A0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6DD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939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3D5F1">
            <w:pPr>
              <w:jc w:val="center"/>
            </w:pPr>
            <w:r>
              <w:rPr>
                <w:rFonts w:ascii="宋体" w:hAnsi="宋体" w:eastAsia="宋体"/>
                <w:sz w:val="16"/>
              </w:rPr>
              <w:t>收到资金后30日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E0BF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26474">
            <w:pPr>
              <w:jc w:val="center"/>
            </w:pPr>
          </w:p>
        </w:tc>
      </w:tr>
      <w:tr w14:paraId="13582F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03B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8E61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677F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6F97D">
            <w:pPr>
              <w:jc w:val="center"/>
            </w:pPr>
            <w:r>
              <w:rPr>
                <w:rFonts w:ascii="宋体" w:hAnsi="宋体" w:eastAsia="宋体"/>
                <w:sz w:val="16"/>
              </w:rPr>
              <w:t>智慧阅读空间项目经费（万元）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C3146">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9133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C0D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C2A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703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57A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578A1">
            <w:pPr>
              <w:jc w:val="center"/>
            </w:pPr>
            <w:r>
              <w:rPr>
                <w:rFonts w:ascii="宋体" w:hAnsi="宋体" w:eastAsia="宋体"/>
                <w:sz w:val="16"/>
              </w:rPr>
              <w: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FAF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E7CF9">
            <w:pPr>
              <w:jc w:val="center"/>
            </w:pPr>
          </w:p>
        </w:tc>
      </w:tr>
      <w:tr w14:paraId="36177B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AD8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405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861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14AA1">
            <w:pPr>
              <w:jc w:val="center"/>
            </w:pPr>
            <w:r>
              <w:rPr>
                <w:rFonts w:ascii="宋体" w:hAnsi="宋体" w:eastAsia="宋体"/>
                <w:sz w:val="16"/>
              </w:rPr>
              <w:t>成本预算控制率（%）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527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165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558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137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737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C10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2E3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A2F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C1756">
            <w:pPr>
              <w:jc w:val="center"/>
            </w:pPr>
          </w:p>
        </w:tc>
      </w:tr>
      <w:tr w14:paraId="77938F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225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525B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883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6D94">
            <w:pPr>
              <w:jc w:val="center"/>
            </w:pPr>
            <w:r>
              <w:rPr>
                <w:rFonts w:ascii="宋体" w:hAnsi="宋体" w:eastAsia="宋体"/>
                <w:sz w:val="16"/>
              </w:rPr>
              <w:t>完善公共数字文化保障机制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E35DE">
            <w:pPr>
              <w:jc w:val="center"/>
            </w:pPr>
            <w:r>
              <w:rPr>
                <w:rFonts w:ascii="宋体" w:hAnsi="宋体" w:eastAsia="宋体"/>
                <w:sz w:val="16"/>
              </w:rPr>
              <w:t>逐步完善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F4E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3A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82C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60F9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80C3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672B0">
            <w:pPr>
              <w:jc w:val="center"/>
            </w:pPr>
            <w:r>
              <w:rPr>
                <w:rFonts w:ascii="宋体" w:hAnsi="宋体" w:eastAsia="宋体"/>
                <w:sz w:val="16"/>
              </w:rPr>
              <w:t>逐步完善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9F10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853B1">
            <w:pPr>
              <w:jc w:val="center"/>
            </w:pPr>
          </w:p>
        </w:tc>
      </w:tr>
      <w:tr w14:paraId="1BFA84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6C0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7ED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540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1C288">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6766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5C4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27A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A65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D46D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73B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64EA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109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3EE87">
            <w:pPr>
              <w:jc w:val="center"/>
            </w:pPr>
          </w:p>
        </w:tc>
      </w:tr>
      <w:tr w14:paraId="483148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F22C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810A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784A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A07528">
            <w:pPr>
              <w:jc w:val="center"/>
            </w:pPr>
            <w:r>
              <w:rPr>
                <w:rFonts w:ascii="宋体" w:hAnsi="宋体" w:eastAsia="宋体"/>
                <w:sz w:val="16"/>
              </w:rPr>
              <w:t>100分</w:t>
            </w:r>
          </w:p>
        </w:tc>
      </w:tr>
    </w:tbl>
    <w:p w14:paraId="4B888AB0">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696"/>
        <w:gridCol w:w="626"/>
        <w:gridCol w:w="626"/>
        <w:gridCol w:w="626"/>
        <w:gridCol w:w="626"/>
        <w:gridCol w:w="626"/>
        <w:gridCol w:w="776"/>
        <w:gridCol w:w="631"/>
        <w:gridCol w:w="618"/>
        <w:gridCol w:w="631"/>
      </w:tblGrid>
      <w:tr w14:paraId="217469FE">
        <w:tblPrEx>
          <w:tblCellMar>
            <w:top w:w="0" w:type="dxa"/>
            <w:left w:w="108" w:type="dxa"/>
            <w:bottom w:w="0" w:type="dxa"/>
            <w:right w:w="108" w:type="dxa"/>
          </w:tblCellMar>
        </w:tblPrEx>
        <w:tc>
          <w:tcPr>
            <w:tcW w:w="8848" w:type="dxa"/>
            <w:gridSpan w:val="14"/>
            <w:vAlign w:val="center"/>
          </w:tcPr>
          <w:p w14:paraId="13DD8433">
            <w:pPr>
              <w:jc w:val="center"/>
            </w:pPr>
            <w:r>
              <w:rPr>
                <w:rFonts w:ascii="宋体" w:hAnsi="宋体" w:eastAsia="宋体"/>
                <w:sz w:val="24"/>
              </w:rPr>
              <w:t>项目支出绩效自评表</w:t>
            </w:r>
          </w:p>
        </w:tc>
      </w:tr>
      <w:tr w14:paraId="1B63B4E1">
        <w:tblPrEx>
          <w:tblCellMar>
            <w:top w:w="0" w:type="dxa"/>
            <w:left w:w="108" w:type="dxa"/>
            <w:bottom w:w="0" w:type="dxa"/>
            <w:right w:w="108" w:type="dxa"/>
          </w:tblCellMar>
        </w:tblPrEx>
        <w:tc>
          <w:tcPr>
            <w:tcW w:w="8848" w:type="dxa"/>
            <w:gridSpan w:val="14"/>
            <w:vAlign w:val="center"/>
          </w:tcPr>
          <w:p w14:paraId="32D4EE56">
            <w:pPr>
              <w:jc w:val="center"/>
            </w:pPr>
            <w:r>
              <w:rPr>
                <w:rFonts w:ascii="宋体" w:hAnsi="宋体" w:eastAsia="宋体"/>
                <w:sz w:val="24"/>
              </w:rPr>
              <w:t>(2024年度)</w:t>
            </w:r>
          </w:p>
        </w:tc>
      </w:tr>
      <w:tr w14:paraId="5019D1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C913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10F527">
            <w:pPr>
              <w:jc w:val="center"/>
            </w:pPr>
            <w:r>
              <w:rPr>
                <w:rFonts w:ascii="宋体" w:hAnsi="宋体" w:eastAsia="宋体"/>
                <w:sz w:val="16"/>
              </w:rPr>
              <w:t>克州图书馆自治区彩票公益金支持文化和旅游志愿服务项目资金</w:t>
            </w:r>
          </w:p>
        </w:tc>
      </w:tr>
      <w:tr w14:paraId="3D290C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D99C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494DBC">
            <w:pPr>
              <w:jc w:val="center"/>
            </w:pPr>
            <w:r>
              <w:rPr>
                <w:rFonts w:ascii="宋体" w:hAnsi="宋体" w:eastAsia="宋体"/>
                <w:sz w:val="16"/>
              </w:rPr>
              <w:t>克孜勒苏柯尔克孜自治州文化体育广播和旅游局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39D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DA52D2">
            <w:pPr>
              <w:jc w:val="center"/>
            </w:pPr>
            <w:r>
              <w:rPr>
                <w:rFonts w:ascii="宋体" w:hAnsi="宋体" w:eastAsia="宋体"/>
                <w:sz w:val="16"/>
              </w:rPr>
              <w:t>克孜勒苏柯尔克孜自治州图书馆</w:t>
            </w:r>
          </w:p>
        </w:tc>
      </w:tr>
      <w:tr w14:paraId="78FD0F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6468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0BA3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B043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E141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7D7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5B06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34FE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F39B9">
            <w:pPr>
              <w:jc w:val="center"/>
            </w:pPr>
            <w:r>
              <w:rPr>
                <w:rFonts w:ascii="宋体" w:hAnsi="宋体" w:eastAsia="宋体"/>
                <w:sz w:val="16"/>
              </w:rPr>
              <w:t>得分</w:t>
            </w:r>
          </w:p>
        </w:tc>
      </w:tr>
      <w:tr w14:paraId="0CA633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D47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7D5E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40E96">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A0289">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0C8E5">
            <w:pPr>
              <w:jc w:val="center"/>
            </w:pPr>
            <w:r>
              <w:rPr>
                <w:rFonts w:ascii="宋体" w:hAnsi="宋体" w:eastAsia="宋体"/>
                <w:sz w:val="16"/>
              </w:rPr>
              <w:t>0.97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E35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E1D4E">
            <w:pPr>
              <w:jc w:val="center"/>
            </w:pPr>
            <w:r>
              <w:rPr>
                <w:rFonts w:ascii="宋体" w:hAnsi="宋体" w:eastAsia="宋体"/>
                <w:sz w:val="16"/>
              </w:rPr>
              <w:t>97.0%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C0BCE">
            <w:pPr>
              <w:jc w:val="center"/>
            </w:pPr>
            <w:r>
              <w:rPr>
                <w:rFonts w:ascii="宋体" w:hAnsi="宋体" w:eastAsia="宋体"/>
                <w:sz w:val="16"/>
              </w:rPr>
              <w:t>9.25分</w:t>
            </w:r>
          </w:p>
        </w:tc>
      </w:tr>
      <w:tr w14:paraId="1188E0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0F1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90A9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D8BF7">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15987">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CD8CD">
            <w:pPr>
              <w:jc w:val="center"/>
            </w:pPr>
            <w:r>
              <w:rPr>
                <w:rFonts w:ascii="宋体" w:hAnsi="宋体" w:eastAsia="宋体"/>
                <w:sz w:val="16"/>
              </w:rPr>
              <w:t>0.97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A57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082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88BE4">
            <w:pPr>
              <w:jc w:val="center"/>
            </w:pPr>
            <w:r>
              <w:rPr>
                <w:rFonts w:ascii="宋体" w:hAnsi="宋体" w:eastAsia="宋体"/>
                <w:sz w:val="16"/>
              </w:rPr>
              <w:t>—</w:t>
            </w:r>
          </w:p>
        </w:tc>
      </w:tr>
      <w:tr w14:paraId="60A0C0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629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F266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F1D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EBE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633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0A3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421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95BCE">
            <w:pPr>
              <w:jc w:val="center"/>
            </w:pPr>
            <w:r>
              <w:rPr>
                <w:rFonts w:ascii="宋体" w:hAnsi="宋体" w:eastAsia="宋体"/>
                <w:sz w:val="16"/>
              </w:rPr>
              <w:t>—</w:t>
            </w:r>
          </w:p>
        </w:tc>
      </w:tr>
      <w:tr w14:paraId="3D1818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C35E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91994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A6FDF3">
            <w:pPr>
              <w:jc w:val="center"/>
            </w:pPr>
            <w:r>
              <w:rPr>
                <w:rFonts w:ascii="宋体" w:hAnsi="宋体" w:eastAsia="宋体"/>
                <w:sz w:val="16"/>
              </w:rPr>
              <w:t>实际完成情况</w:t>
            </w:r>
          </w:p>
        </w:tc>
      </w:tr>
      <w:tr w14:paraId="709814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40CE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D1D0E7">
            <w:pPr>
              <w:jc w:val="both"/>
            </w:pPr>
            <w:r>
              <w:rPr>
                <w:rFonts w:ascii="宋体" w:hAnsi="宋体" w:eastAsia="宋体"/>
                <w:sz w:val="16"/>
              </w:rPr>
              <w:t>根据自治州</w:t>
            </w:r>
            <w:r>
              <w:rPr>
                <w:rFonts w:hint="eastAsia" w:ascii="宋体" w:hAnsi="宋体"/>
                <w:sz w:val="16"/>
                <w:lang w:eastAsia="zh-CN"/>
              </w:rPr>
              <w:t>“十四五”发展规划</w:t>
            </w:r>
            <w:r>
              <w:rPr>
                <w:rFonts w:ascii="宋体" w:hAnsi="宋体" w:eastAsia="宋体"/>
                <w:sz w:val="16"/>
              </w:rPr>
              <w:t>及文化行业发展需要，</w:t>
            </w:r>
            <w:r>
              <w:rPr>
                <w:rFonts w:hint="eastAsia" w:ascii="宋体" w:hAnsi="宋体"/>
                <w:sz w:val="16"/>
                <w:lang w:eastAsia="zh-CN"/>
              </w:rPr>
              <w:t>按照</w:t>
            </w:r>
            <w:r>
              <w:rPr>
                <w:rFonts w:ascii="宋体" w:hAnsi="宋体" w:eastAsia="宋体"/>
                <w:sz w:val="16"/>
              </w:rPr>
              <w:t>自治区“文化润疆”工作要求，根据自治区</w:t>
            </w:r>
            <w:r>
              <w:rPr>
                <w:rFonts w:hint="eastAsia" w:ascii="宋体" w:hAnsi="宋体"/>
                <w:sz w:val="16"/>
                <w:lang w:eastAsia="zh-CN"/>
              </w:rPr>
              <w:t>《</w:t>
            </w:r>
            <w:r>
              <w:rPr>
                <w:rFonts w:ascii="宋体" w:hAnsi="宋体" w:eastAsia="宋体"/>
                <w:sz w:val="16"/>
              </w:rPr>
              <w:t>关于挼付 2024年自治区彩票公益金支持文化和旅游志愿服务项目的通知》（新财教〔2024〕40号）要求，为充分发挥文化和旅游志愿者在公共文化服务、旅游公共服务方面的积极作用，2024年拨付给</w:t>
            </w:r>
            <w:r>
              <w:rPr>
                <w:rFonts w:hint="eastAsia" w:ascii="宋体" w:hAnsi="宋体"/>
                <w:sz w:val="16"/>
                <w:lang w:eastAsia="zh-CN"/>
              </w:rPr>
              <w:t>本单位</w:t>
            </w:r>
            <w:r>
              <w:rPr>
                <w:rFonts w:ascii="宋体" w:hAnsi="宋体" w:eastAsia="宋体"/>
                <w:sz w:val="16"/>
              </w:rPr>
              <w:t>1万元彩票公益金，用于开展文化和旅游志愿者服务工作，以图书馆为核心的文化和旅游志愿服务项目，能丰富群众文化生活，传播知识，提升公共文化服务质量。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1FF041">
            <w:pPr>
              <w:jc w:val="both"/>
            </w:pPr>
            <w:r>
              <w:rPr>
                <w:rFonts w:ascii="宋体" w:hAnsi="宋体" w:eastAsia="宋体"/>
                <w:sz w:val="16"/>
              </w:rPr>
              <w:t>项目资金用于开展志愿者服务次数5次，通过开展文化和旅游志愿者服务工作，以图书馆为核心的文化和旅游志愿服务项目，能丰富群众文化生活，传播知识，提升公共文化服务质量。</w:t>
            </w:r>
          </w:p>
        </w:tc>
      </w:tr>
      <w:tr w14:paraId="3F9555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1B6E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F659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CDB9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A0B5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4E54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D394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072D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54F9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BEB1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AAB3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A0D6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FB24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1B1F2">
            <w:pPr>
              <w:jc w:val="center"/>
            </w:pPr>
            <w:r>
              <w:rPr>
                <w:rFonts w:ascii="宋体" w:hAnsi="宋体" w:eastAsia="宋体"/>
                <w:sz w:val="16"/>
              </w:rPr>
              <w:t>偏差原因分析及改进措施</w:t>
            </w:r>
          </w:p>
        </w:tc>
      </w:tr>
      <w:tr w14:paraId="40CA09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F468C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2E539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75397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C8DD5">
            <w:pPr>
              <w:jc w:val="center"/>
            </w:pPr>
            <w:r>
              <w:rPr>
                <w:rFonts w:ascii="宋体" w:hAnsi="宋体" w:eastAsia="宋体"/>
                <w:sz w:val="16"/>
              </w:rPr>
              <w:t>开展志愿者服务次数（次）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EA2F2">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41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768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C2E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671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69A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2B19B">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C3A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922B3">
            <w:pPr>
              <w:jc w:val="center"/>
            </w:pPr>
          </w:p>
        </w:tc>
      </w:tr>
      <w:tr w14:paraId="764A42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E8A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41B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1B4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05B40">
            <w:pPr>
              <w:jc w:val="center"/>
            </w:pPr>
            <w:r>
              <w:rPr>
                <w:rFonts w:ascii="宋体" w:hAnsi="宋体" w:eastAsia="宋体"/>
                <w:sz w:val="16"/>
              </w:rPr>
              <w:t>参与志愿者服务（人次）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DB364">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635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C32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77E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B79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80CF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0DACF">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89F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6ABB6">
            <w:pPr>
              <w:jc w:val="center"/>
            </w:pPr>
          </w:p>
        </w:tc>
      </w:tr>
      <w:tr w14:paraId="4157C3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1A3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759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D7C7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BB643">
            <w:pPr>
              <w:jc w:val="center"/>
            </w:pPr>
            <w:r>
              <w:rPr>
                <w:rFonts w:ascii="宋体" w:hAnsi="宋体" w:eastAsia="宋体"/>
                <w:sz w:val="16"/>
              </w:rPr>
              <w:t>志愿者服务规范执行率（%）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4E2A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68F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444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0DE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42D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221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D09C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4F4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9A801">
            <w:pPr>
              <w:jc w:val="center"/>
            </w:pPr>
          </w:p>
        </w:tc>
      </w:tr>
      <w:tr w14:paraId="5F9574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229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FFB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E393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B72A0">
            <w:pPr>
              <w:jc w:val="center"/>
            </w:pPr>
            <w:r>
              <w:rPr>
                <w:rFonts w:ascii="宋体" w:hAnsi="宋体" w:eastAsia="宋体"/>
                <w:sz w:val="16"/>
              </w:rPr>
              <w:t>志愿者服务及时响应率（%）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E22C">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EBE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094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59C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D86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B2C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425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F9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A0723">
            <w:pPr>
              <w:jc w:val="center"/>
            </w:pPr>
          </w:p>
        </w:tc>
      </w:tr>
      <w:tr w14:paraId="508DC2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E8C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B030C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35A4D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44C94">
            <w:pPr>
              <w:jc w:val="center"/>
            </w:pPr>
            <w:r>
              <w:rPr>
                <w:rFonts w:ascii="宋体" w:hAnsi="宋体" w:eastAsia="宋体"/>
                <w:sz w:val="16"/>
              </w:rPr>
              <w:t>开展志愿者服务经费（万元）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98955">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F59F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7BD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684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C4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054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86AF7">
            <w:pPr>
              <w:jc w:val="center"/>
            </w:pPr>
            <w:r>
              <w:rPr>
                <w:rFonts w:ascii="宋体" w:hAnsi="宋体" w:eastAsia="宋体"/>
                <w:sz w:val="16"/>
              </w:rPr>
              <w:t>=0.9685万元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7A6EA">
            <w:pPr>
              <w:jc w:val="center"/>
            </w:pPr>
            <w:r>
              <w:rPr>
                <w:rFonts w:ascii="宋体" w:hAnsi="宋体" w:eastAsia="宋体"/>
                <w:sz w:val="16"/>
              </w:rPr>
              <w:t>9.21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E6923">
            <w:pPr>
              <w:jc w:val="center"/>
            </w:pPr>
            <w:r>
              <w:rPr>
                <w:rFonts w:ascii="宋体" w:hAnsi="宋体" w:eastAsia="宋体"/>
                <w:sz w:val="16"/>
              </w:rPr>
              <w:t>偏差原因：因内部支付环节过多，从活动费用申请提交到最终审批完成。需依次经过活动负责人多部门审核，各环节衔接不顺畅，导致支付周期延长，部门费用未能在年底及时支付。</w:t>
            </w:r>
            <w:r>
              <w:rPr>
                <w:rFonts w:hint="eastAsia" w:ascii="宋体" w:hAnsi="宋体"/>
                <w:sz w:val="16"/>
                <w:lang w:eastAsia="zh-CN"/>
              </w:rPr>
              <w:t>改进</w:t>
            </w:r>
            <w:r>
              <w:rPr>
                <w:rFonts w:ascii="宋体" w:hAnsi="宋体" w:eastAsia="宋体"/>
                <w:sz w:val="16"/>
              </w:rPr>
              <w:t>措施：重新梳理和简化支付审批流程，明确各环节的审批时限和责任人，建立线上审批系统，实现信息实时共享，加快审批速度，确保费用及时支付。</w:t>
            </w:r>
          </w:p>
        </w:tc>
      </w:tr>
      <w:tr w14:paraId="598723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B67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0D8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ADD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9B835">
            <w:pPr>
              <w:jc w:val="center"/>
            </w:pPr>
            <w:r>
              <w:rPr>
                <w:rFonts w:ascii="宋体" w:hAnsi="宋体" w:eastAsia="宋体"/>
                <w:sz w:val="16"/>
              </w:rPr>
              <w:t>成本预算控制率（%）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72B55">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F140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25B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696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F42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F24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F9AAA">
            <w:pPr>
              <w:jc w:val="center"/>
            </w:pPr>
            <w:r>
              <w:rPr>
                <w:rFonts w:ascii="宋体" w:hAnsi="宋体" w:eastAsia="宋体"/>
                <w:sz w:val="16"/>
              </w:rPr>
              <w:t>=96.85%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2F491">
            <w:pPr>
              <w:jc w:val="center"/>
            </w:pPr>
            <w:r>
              <w:rPr>
                <w:rFonts w:ascii="宋体" w:hAnsi="宋体" w:eastAsia="宋体"/>
                <w:sz w:val="16"/>
              </w:rPr>
              <w:t>9.21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7D3C6">
            <w:pPr>
              <w:jc w:val="center"/>
            </w:pPr>
            <w:r>
              <w:rPr>
                <w:rFonts w:ascii="宋体" w:hAnsi="宋体" w:eastAsia="宋体"/>
                <w:sz w:val="16"/>
              </w:rPr>
              <w:t>偏差原因：因内部支付环节过多，从活动费用申请提交到最终审批完成。需依次经过活动负责人多部门审核，各环节衔接不顺畅，导致支付周期延长，部门费用未能在年底及时支付。</w:t>
            </w:r>
            <w:r>
              <w:rPr>
                <w:rFonts w:hint="eastAsia" w:ascii="宋体" w:hAnsi="宋体"/>
                <w:sz w:val="16"/>
                <w:lang w:eastAsia="zh-CN"/>
              </w:rPr>
              <w:t>改进</w:t>
            </w:r>
            <w:r>
              <w:rPr>
                <w:rFonts w:ascii="宋体" w:hAnsi="宋体" w:eastAsia="宋体"/>
                <w:sz w:val="16"/>
              </w:rPr>
              <w:t>措施：重新梳理和简化支付审批流程，明确各环节的审批时限和责任人，建立线上审批系统，实现信息实时共享，加快审批速度，确保费用及时支付。</w:t>
            </w:r>
          </w:p>
        </w:tc>
      </w:tr>
      <w:tr w14:paraId="492F1B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DA2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1684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5D6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B0DF4">
            <w:pPr>
              <w:jc w:val="center"/>
            </w:pPr>
            <w:r>
              <w:rPr>
                <w:rFonts w:ascii="宋体" w:hAnsi="宋体" w:eastAsia="宋体"/>
                <w:sz w:val="16"/>
              </w:rPr>
              <w:t>促进文化事</w:t>
            </w:r>
            <w:r>
              <w:rPr>
                <w:rFonts w:hint="eastAsia" w:ascii="宋体" w:hAnsi="宋体"/>
                <w:sz w:val="16"/>
                <w:lang w:eastAsia="zh-CN"/>
              </w:rPr>
              <w:t>业和</w:t>
            </w:r>
            <w:r>
              <w:rPr>
                <w:rFonts w:ascii="宋体" w:hAnsi="宋体" w:eastAsia="宋体"/>
                <w:sz w:val="16"/>
              </w:rPr>
              <w:t>旅游业健康发展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BDB8F">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747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ABB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63E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ABE7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159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E01E5">
            <w:pPr>
              <w:jc w:val="center"/>
            </w:pPr>
            <w:r>
              <w:rPr>
                <w:rFonts w:ascii="宋体" w:hAnsi="宋体" w:eastAsia="宋体"/>
                <w:sz w:val="16"/>
              </w:rPr>
              <w:t>显著促进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51D2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480FA">
            <w:pPr>
              <w:jc w:val="center"/>
            </w:pPr>
          </w:p>
        </w:tc>
      </w:tr>
      <w:tr w14:paraId="13037C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2FA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378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B21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EE8C">
            <w:pPr>
              <w:jc w:val="center"/>
            </w:pPr>
            <w:r>
              <w:rPr>
                <w:rFonts w:ascii="宋体" w:hAnsi="宋体" w:eastAsia="宋体"/>
                <w:sz w:val="16"/>
              </w:rPr>
              <w:t>旅游人才服务满意度（%）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0CCF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E2F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B2E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C40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E898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952E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0C80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262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7884A">
            <w:pPr>
              <w:jc w:val="center"/>
            </w:pPr>
          </w:p>
        </w:tc>
      </w:tr>
      <w:tr w14:paraId="749E9D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4C21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6707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C7B9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6726EB">
            <w:pPr>
              <w:jc w:val="center"/>
            </w:pPr>
            <w:r>
              <w:rPr>
                <w:rFonts w:ascii="宋体" w:hAnsi="宋体" w:eastAsia="宋体"/>
                <w:sz w:val="16"/>
              </w:rPr>
              <w:t>97.67分</w:t>
            </w:r>
          </w:p>
        </w:tc>
      </w:tr>
    </w:tbl>
    <w:p w14:paraId="216F861C">
      <w:r>
        <w:br w:type="page"/>
      </w:r>
    </w:p>
    <w:p w14:paraId="536BA4D6">
      <w:pPr>
        <w:spacing w:line="640" w:lineRule="exact"/>
        <w:ind w:firstLine="640"/>
        <w:jc w:val="both"/>
        <w:outlineLvl w:val="2"/>
      </w:pPr>
      <w:r>
        <w:rPr>
          <w:rFonts w:ascii="黑体" w:hAnsi="黑体" w:eastAsia="黑体"/>
          <w:sz w:val="32"/>
        </w:rPr>
        <w:t>十二、其他需说明的事项</w:t>
      </w:r>
    </w:p>
    <w:p w14:paraId="2C25AFED">
      <w:pPr>
        <w:spacing w:line="580" w:lineRule="exact"/>
        <w:ind w:firstLine="640"/>
        <w:jc w:val="both"/>
      </w:pPr>
      <w:r>
        <w:rPr>
          <w:rFonts w:ascii="仿宋_GB2312" w:hAnsi="仿宋_GB2312" w:eastAsia="仿宋_GB2312"/>
          <w:b w:val="0"/>
          <w:sz w:val="32"/>
        </w:rPr>
        <w:t>本单位无其他需说明的事项。</w:t>
      </w:r>
    </w:p>
    <w:p w14:paraId="622C5A8A">
      <w:r>
        <w:br w:type="page"/>
      </w:r>
    </w:p>
    <w:p w14:paraId="29E5AF5F">
      <w:pPr>
        <w:spacing w:line="240" w:lineRule="auto"/>
        <w:jc w:val="center"/>
        <w:outlineLvl w:val="1"/>
      </w:pPr>
      <w:r>
        <w:rPr>
          <w:rFonts w:ascii="黑体" w:hAnsi="黑体" w:eastAsia="黑体"/>
          <w:sz w:val="32"/>
        </w:rPr>
        <w:t>第三部分 专业名词解释</w:t>
      </w:r>
    </w:p>
    <w:p w14:paraId="40DED4A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28086A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E3A746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DA4F35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031E00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87B8D1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3364E1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440B1F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496C23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AEA972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ECB27B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3E2067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DFFBAD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783EC0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619B5BC">
      <w:r>
        <w:br w:type="page"/>
      </w:r>
    </w:p>
    <w:p w14:paraId="42C21204">
      <w:pPr>
        <w:spacing w:line="240" w:lineRule="auto"/>
        <w:jc w:val="center"/>
        <w:outlineLvl w:val="1"/>
      </w:pPr>
      <w:r>
        <w:rPr>
          <w:rFonts w:ascii="黑体" w:hAnsi="黑体" w:eastAsia="黑体"/>
          <w:sz w:val="32"/>
        </w:rPr>
        <w:t>第四部分 部门决算报表（见附表）</w:t>
      </w:r>
    </w:p>
    <w:p w14:paraId="65390902">
      <w:pPr>
        <w:spacing w:line="240" w:lineRule="auto"/>
        <w:ind w:firstLine="640"/>
        <w:jc w:val="both"/>
      </w:pPr>
      <w:r>
        <w:rPr>
          <w:rFonts w:ascii="仿宋_GB2312" w:hAnsi="仿宋_GB2312" w:eastAsia="仿宋_GB2312"/>
          <w:b w:val="0"/>
          <w:sz w:val="32"/>
        </w:rPr>
        <w:t>一、《收入支出决算总表》</w:t>
      </w:r>
    </w:p>
    <w:p w14:paraId="74EC8BA0">
      <w:pPr>
        <w:spacing w:line="240" w:lineRule="auto"/>
        <w:ind w:firstLine="640"/>
        <w:jc w:val="both"/>
      </w:pPr>
      <w:r>
        <w:rPr>
          <w:rFonts w:ascii="仿宋_GB2312" w:hAnsi="仿宋_GB2312" w:eastAsia="仿宋_GB2312"/>
          <w:b w:val="0"/>
          <w:sz w:val="32"/>
        </w:rPr>
        <w:t>二、《收入决算表》</w:t>
      </w:r>
    </w:p>
    <w:p w14:paraId="2E630781">
      <w:pPr>
        <w:spacing w:line="240" w:lineRule="auto"/>
        <w:ind w:firstLine="640"/>
        <w:jc w:val="both"/>
      </w:pPr>
      <w:r>
        <w:rPr>
          <w:rFonts w:ascii="仿宋_GB2312" w:hAnsi="仿宋_GB2312" w:eastAsia="仿宋_GB2312"/>
          <w:b w:val="0"/>
          <w:sz w:val="32"/>
        </w:rPr>
        <w:t>三、《支出决算表》</w:t>
      </w:r>
    </w:p>
    <w:p w14:paraId="55161278">
      <w:pPr>
        <w:spacing w:line="240" w:lineRule="auto"/>
        <w:ind w:firstLine="640"/>
        <w:jc w:val="both"/>
      </w:pPr>
      <w:r>
        <w:rPr>
          <w:rFonts w:ascii="仿宋_GB2312" w:hAnsi="仿宋_GB2312" w:eastAsia="仿宋_GB2312"/>
          <w:b w:val="0"/>
          <w:sz w:val="32"/>
        </w:rPr>
        <w:t>四、《财政拨款收入支出决算总表》</w:t>
      </w:r>
    </w:p>
    <w:p w14:paraId="59F2E865">
      <w:pPr>
        <w:spacing w:line="240" w:lineRule="auto"/>
        <w:ind w:firstLine="640"/>
        <w:jc w:val="both"/>
      </w:pPr>
      <w:r>
        <w:rPr>
          <w:rFonts w:ascii="仿宋_GB2312" w:hAnsi="仿宋_GB2312" w:eastAsia="仿宋_GB2312"/>
          <w:b w:val="0"/>
          <w:sz w:val="32"/>
        </w:rPr>
        <w:t>五、《一般公共预算财政拨款支出决算表》</w:t>
      </w:r>
    </w:p>
    <w:p w14:paraId="0F791F7E">
      <w:pPr>
        <w:spacing w:line="240" w:lineRule="auto"/>
        <w:ind w:firstLine="640"/>
        <w:jc w:val="both"/>
      </w:pPr>
      <w:r>
        <w:rPr>
          <w:rFonts w:ascii="仿宋_GB2312" w:hAnsi="仿宋_GB2312" w:eastAsia="仿宋_GB2312"/>
          <w:b w:val="0"/>
          <w:sz w:val="32"/>
        </w:rPr>
        <w:t>六、《一般公共预算财政拨款基本支出决算表》</w:t>
      </w:r>
    </w:p>
    <w:p w14:paraId="0886B537">
      <w:pPr>
        <w:spacing w:line="240" w:lineRule="auto"/>
        <w:ind w:firstLine="640"/>
        <w:jc w:val="both"/>
      </w:pPr>
      <w:r>
        <w:rPr>
          <w:rFonts w:ascii="仿宋_GB2312" w:hAnsi="仿宋_GB2312" w:eastAsia="仿宋_GB2312"/>
          <w:b w:val="0"/>
          <w:sz w:val="32"/>
        </w:rPr>
        <w:t>七、《政府性基金预算财政拨款收入支出决算表》</w:t>
      </w:r>
    </w:p>
    <w:p w14:paraId="0CA085F2">
      <w:pPr>
        <w:spacing w:line="240" w:lineRule="auto"/>
        <w:ind w:firstLine="640"/>
        <w:jc w:val="both"/>
      </w:pPr>
      <w:r>
        <w:rPr>
          <w:rFonts w:ascii="仿宋_GB2312" w:hAnsi="仿宋_GB2312" w:eastAsia="仿宋_GB2312"/>
          <w:b w:val="0"/>
          <w:sz w:val="32"/>
        </w:rPr>
        <w:t>八、《国有资本经营预算财政拨款收入支出决算表》</w:t>
      </w:r>
    </w:p>
    <w:p w14:paraId="1770EF4C">
      <w:pPr>
        <w:spacing w:line="240" w:lineRule="auto"/>
        <w:ind w:firstLine="640"/>
        <w:jc w:val="both"/>
      </w:pPr>
      <w:r>
        <w:rPr>
          <w:rFonts w:ascii="仿宋_GB2312" w:hAnsi="仿宋_GB2312" w:eastAsia="仿宋_GB2312"/>
          <w:b w:val="0"/>
          <w:sz w:val="32"/>
        </w:rPr>
        <w:t>九、《财政拨款“三公”经费支出决算表》</w:t>
      </w:r>
    </w:p>
    <w:p w14:paraId="66E99130">
      <w:pPr>
        <w:spacing w:line="240" w:lineRule="auto"/>
        <w:ind w:firstLine="640"/>
        <w:jc w:val="both"/>
      </w:pPr>
    </w:p>
    <w:p w14:paraId="2ED80CAA">
      <w:pPr>
        <w:spacing w:line="240" w:lineRule="auto"/>
        <w:ind w:firstLine="640"/>
        <w:jc w:val="both"/>
      </w:pPr>
    </w:p>
    <w:p w14:paraId="192C68E5">
      <w:pPr>
        <w:spacing w:line="240" w:lineRule="auto"/>
        <w:ind w:firstLine="640"/>
        <w:jc w:val="both"/>
      </w:pPr>
    </w:p>
    <w:p w14:paraId="40706C98">
      <w:pPr>
        <w:spacing w:line="240" w:lineRule="auto"/>
        <w:ind w:firstLine="640"/>
        <w:jc w:val="both"/>
      </w:pPr>
    </w:p>
    <w:p w14:paraId="3ABA066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02FE220-085A-438D-B806-64D6A208F59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66DE0D4-C5AF-47D0-B3A4-8E8B7542049B}"/>
  </w:font>
  <w:font w:name="仿宋_GB2312">
    <w:panose1 w:val="02010609030101010101"/>
    <w:charset w:val="86"/>
    <w:family w:val="modern"/>
    <w:pitch w:val="default"/>
    <w:sig w:usb0="00000001" w:usb1="080E0000" w:usb2="00000000" w:usb3="00000000" w:csb0="00040000" w:csb1="00000000"/>
    <w:embedRegular r:id="rId3" w:fontKey="{32165474-5BFF-4188-A587-78B08F6E947D}"/>
  </w:font>
  <w:font w:name="楷体_GB2312">
    <w:panose1 w:val="02010609030101010101"/>
    <w:charset w:val="86"/>
    <w:family w:val="auto"/>
    <w:pitch w:val="default"/>
    <w:sig w:usb0="00000001" w:usb1="080E0000" w:usb2="00000000" w:usb3="00000000" w:csb0="00040000" w:csb1="00000000"/>
    <w:embedRegular r:id="rId4" w:fontKey="{E093AF76-4D3A-44D3-AEED-70C446FD908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0373C1"/>
    <w:rsid w:val="313F1D52"/>
    <w:rsid w:val="318029AB"/>
    <w:rsid w:val="31C63837"/>
    <w:rsid w:val="326F0A17"/>
    <w:rsid w:val="3277581B"/>
    <w:rsid w:val="38006E2C"/>
    <w:rsid w:val="3914510A"/>
    <w:rsid w:val="3B1220C9"/>
    <w:rsid w:val="3D5275AC"/>
    <w:rsid w:val="3DA2500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981DA3"/>
    <w:rsid w:val="4F3F074E"/>
    <w:rsid w:val="50DB5F45"/>
    <w:rsid w:val="52F92565"/>
    <w:rsid w:val="543D17CB"/>
    <w:rsid w:val="55DA564E"/>
    <w:rsid w:val="56E07045"/>
    <w:rsid w:val="572323E7"/>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4690</Words>
  <Characters>5366</Characters>
  <Lines>0</Lines>
  <Paragraphs>0</Paragraphs>
  <TotalTime>3</TotalTime>
  <ScaleCrop>false</ScaleCrop>
  <LinksUpToDate>false</LinksUpToDate>
  <CharactersWithSpaces>5374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2025-09-02T04:29:49Z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