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0DBA2A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克孜勒苏柯尔克孜自治州水利管理处</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9C065F8">
      <w:r>
        <w:br w:type="page"/>
      </w:r>
    </w:p>
    <w:p w14:paraId="7999A29C">
      <w:pPr>
        <w:spacing w:line="640" w:lineRule="exact"/>
        <w:jc w:val="center"/>
        <w:outlineLvl w:val="1"/>
      </w:pPr>
      <w:r>
        <w:rPr>
          <w:rFonts w:ascii="黑体" w:hAnsi="黑体" w:eastAsia="黑体"/>
          <w:sz w:val="32"/>
        </w:rPr>
        <w:t>第一部分 单位概况</w:t>
      </w:r>
    </w:p>
    <w:p w14:paraId="34905B10">
      <w:pPr>
        <w:spacing w:line="640" w:lineRule="exact"/>
        <w:ind w:firstLine="640"/>
        <w:jc w:val="both"/>
        <w:outlineLvl w:val="2"/>
      </w:pPr>
      <w:r>
        <w:rPr>
          <w:rFonts w:ascii="黑体" w:hAnsi="黑体" w:eastAsia="黑体"/>
          <w:sz w:val="32"/>
        </w:rPr>
        <w:t>一、主要职能</w:t>
      </w:r>
    </w:p>
    <w:p w14:paraId="699D6866">
      <w:pPr>
        <w:spacing w:line="580" w:lineRule="exact"/>
        <w:ind w:firstLine="640"/>
        <w:jc w:val="both"/>
      </w:pPr>
      <w:r>
        <w:rPr>
          <w:rFonts w:ascii="仿宋_GB2312" w:hAnsi="仿宋_GB2312" w:eastAsia="仿宋_GB2312"/>
          <w:sz w:val="32"/>
        </w:rPr>
        <w:t>克孜勒苏柯尔克孜自治州水利管理处负责全州水利工程、农牧灌溉区运行管理、综合经营的业务指导和监督；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w:t>
      </w:r>
    </w:p>
    <w:p w14:paraId="4DA9F11C">
      <w:pPr>
        <w:spacing w:line="640" w:lineRule="exact"/>
        <w:ind w:firstLine="640"/>
        <w:jc w:val="both"/>
        <w:outlineLvl w:val="2"/>
      </w:pPr>
      <w:r>
        <w:rPr>
          <w:rFonts w:ascii="黑体" w:hAnsi="黑体" w:eastAsia="黑体"/>
          <w:sz w:val="32"/>
        </w:rPr>
        <w:t>二、机构设置及人员情况</w:t>
      </w:r>
    </w:p>
    <w:p w14:paraId="10AA428C">
      <w:pPr>
        <w:spacing w:line="580" w:lineRule="exact"/>
        <w:ind w:firstLine="640"/>
        <w:jc w:val="both"/>
      </w:pPr>
      <w:r>
        <w:rPr>
          <w:rFonts w:ascii="仿宋_GB2312" w:hAnsi="仿宋_GB2312" w:eastAsia="仿宋_GB2312"/>
          <w:sz w:val="32"/>
        </w:rPr>
        <w:t>克孜勒苏柯尔克孜自治州水利管理处2024年度，实有人数34人，其中：在职人员16人，减少2人；离休人员0人，增加0人；退休人员18人,增加3人。</w:t>
      </w:r>
    </w:p>
    <w:p w14:paraId="20DB1149">
      <w:pPr>
        <w:spacing w:line="580" w:lineRule="exact"/>
        <w:ind w:firstLine="640"/>
        <w:jc w:val="both"/>
      </w:pPr>
      <w:r>
        <w:rPr>
          <w:rFonts w:ascii="仿宋_GB2312" w:hAnsi="仿宋_GB2312" w:eastAsia="仿宋_GB2312"/>
          <w:sz w:val="32"/>
        </w:rPr>
        <w:t>克孜勒苏柯尔克孜自治州水利管理处无下属预算单位，下设3个科室，分别是：办公室、工程灌溉管理科、综合经营科。</w:t>
      </w:r>
    </w:p>
    <w:p w14:paraId="63DAF0BA">
      <w:r>
        <w:br w:type="page"/>
      </w:r>
    </w:p>
    <w:p w14:paraId="7450381E">
      <w:pPr>
        <w:spacing w:line="240" w:lineRule="auto"/>
        <w:jc w:val="center"/>
        <w:outlineLvl w:val="1"/>
      </w:pPr>
      <w:r>
        <w:rPr>
          <w:rFonts w:ascii="黑体" w:hAnsi="黑体" w:eastAsia="黑体"/>
          <w:sz w:val="32"/>
        </w:rPr>
        <w:t>第二部分 部门决算情况说明</w:t>
      </w:r>
    </w:p>
    <w:p w14:paraId="0B84A80F">
      <w:pPr>
        <w:spacing w:line="640" w:lineRule="exact"/>
        <w:ind w:firstLine="640"/>
        <w:jc w:val="both"/>
        <w:outlineLvl w:val="2"/>
      </w:pPr>
      <w:r>
        <w:rPr>
          <w:rFonts w:ascii="黑体" w:hAnsi="黑体" w:eastAsia="黑体"/>
          <w:sz w:val="32"/>
        </w:rPr>
        <w:t>一、收入支出决算总体情况说明</w:t>
      </w:r>
    </w:p>
    <w:p w14:paraId="594F87D3">
      <w:pPr>
        <w:spacing w:line="580" w:lineRule="exact"/>
        <w:ind w:firstLine="640"/>
        <w:jc w:val="both"/>
      </w:pPr>
      <w:r>
        <w:rPr>
          <w:rFonts w:ascii="仿宋_GB2312" w:hAnsi="仿宋_GB2312" w:eastAsia="仿宋_GB2312"/>
          <w:b/>
          <w:sz w:val="32"/>
        </w:rPr>
        <w:t>2024年度收入总计429.54万元，</w:t>
      </w:r>
      <w:r>
        <w:rPr>
          <w:rFonts w:ascii="仿宋_GB2312" w:hAnsi="仿宋_GB2312" w:eastAsia="仿宋_GB2312"/>
          <w:b w:val="0"/>
          <w:sz w:val="32"/>
        </w:rPr>
        <w:t>其中：本年收入合计420.71万元，使用非财政拨款结余（含专用结余）0.00万元，年初结转和结余8.82万元。</w:t>
      </w:r>
    </w:p>
    <w:p w14:paraId="457E4726">
      <w:pPr>
        <w:spacing w:line="580" w:lineRule="exact"/>
        <w:ind w:firstLine="640"/>
        <w:jc w:val="both"/>
      </w:pPr>
      <w:r>
        <w:rPr>
          <w:rFonts w:ascii="仿宋_GB2312" w:hAnsi="仿宋_GB2312" w:eastAsia="仿宋_GB2312"/>
          <w:b/>
          <w:sz w:val="32"/>
        </w:rPr>
        <w:t>2024年度支出总计429.54万元，</w:t>
      </w:r>
      <w:r>
        <w:rPr>
          <w:rFonts w:ascii="仿宋_GB2312" w:hAnsi="仿宋_GB2312" w:eastAsia="仿宋_GB2312"/>
          <w:b w:val="0"/>
          <w:sz w:val="32"/>
        </w:rPr>
        <w:t>其中：本年支出合计429.27万元，结余分配0.00万元，年末结转和结余0.26万元。</w:t>
      </w:r>
    </w:p>
    <w:p w14:paraId="019E21BB">
      <w:pPr>
        <w:spacing w:line="580" w:lineRule="exact"/>
        <w:ind w:firstLine="640"/>
        <w:jc w:val="both"/>
      </w:pPr>
      <w:r>
        <w:rPr>
          <w:rFonts w:ascii="仿宋_GB2312" w:hAnsi="仿宋_GB2312" w:eastAsia="仿宋_GB2312"/>
          <w:b w:val="0"/>
          <w:sz w:val="32"/>
        </w:rPr>
        <w:t>收入支出总体与上年相比，减少66.92万元，下降13.48%，主要原因是：本单位减少公益性人员经费项目。</w:t>
      </w:r>
    </w:p>
    <w:p w14:paraId="3AF064E8">
      <w:pPr>
        <w:spacing w:line="640" w:lineRule="exact"/>
        <w:ind w:firstLine="640"/>
        <w:jc w:val="both"/>
        <w:outlineLvl w:val="2"/>
      </w:pPr>
      <w:r>
        <w:rPr>
          <w:rFonts w:ascii="黑体" w:hAnsi="黑体" w:eastAsia="黑体"/>
          <w:sz w:val="32"/>
        </w:rPr>
        <w:t>二、收入决算情况说明</w:t>
      </w:r>
    </w:p>
    <w:p w14:paraId="54C85038">
      <w:pPr>
        <w:spacing w:line="580" w:lineRule="exact"/>
        <w:ind w:firstLine="640"/>
        <w:jc w:val="both"/>
      </w:pPr>
      <w:r>
        <w:rPr>
          <w:rFonts w:ascii="仿宋_GB2312" w:hAnsi="仿宋_GB2312" w:eastAsia="仿宋_GB2312"/>
          <w:b/>
          <w:sz w:val="32"/>
        </w:rPr>
        <w:t>本年收入420.71万元，</w:t>
      </w:r>
      <w:r>
        <w:rPr>
          <w:rFonts w:ascii="仿宋_GB2312" w:hAnsi="仿宋_GB2312" w:eastAsia="仿宋_GB2312"/>
          <w:b w:val="0"/>
          <w:sz w:val="32"/>
        </w:rPr>
        <w:t>其中：财政拨款收入418.71万元，占99.52%；上级补助收入0.00万元，占0.00%；事业收入0.00万元，占0.00%；经营收入0.00万元，占0.00%；附属单位上缴收入0.00万元，占0.00%；其他收入2.00万元，占0.48%。</w:t>
      </w:r>
    </w:p>
    <w:p w14:paraId="3B05B7D3">
      <w:pPr>
        <w:spacing w:line="640" w:lineRule="exact"/>
        <w:ind w:firstLine="640"/>
        <w:jc w:val="both"/>
        <w:outlineLvl w:val="2"/>
      </w:pPr>
      <w:r>
        <w:rPr>
          <w:rFonts w:ascii="黑体" w:hAnsi="黑体" w:eastAsia="黑体"/>
          <w:sz w:val="32"/>
        </w:rPr>
        <w:t>三、支出决算情况说明</w:t>
      </w:r>
    </w:p>
    <w:p w14:paraId="6871065C">
      <w:pPr>
        <w:spacing w:line="580" w:lineRule="exact"/>
        <w:ind w:firstLine="640"/>
        <w:jc w:val="both"/>
      </w:pPr>
      <w:r>
        <w:rPr>
          <w:rFonts w:ascii="仿宋_GB2312" w:hAnsi="仿宋_GB2312" w:eastAsia="仿宋_GB2312"/>
          <w:b/>
          <w:sz w:val="32"/>
        </w:rPr>
        <w:t>本年支出429.27万元，</w:t>
      </w:r>
      <w:r>
        <w:rPr>
          <w:rFonts w:ascii="仿宋_GB2312" w:hAnsi="仿宋_GB2312" w:eastAsia="仿宋_GB2312"/>
          <w:b w:val="0"/>
          <w:sz w:val="32"/>
        </w:rPr>
        <w:t>其中：基本支出398.48万元，占92.83%；项目支出30.79万元，占7.17%；上缴上级支出0.00万元，占0.00%；经营支出0.00万元，占0.00%；对附属单位补助支出0.00万元，占0.00%。</w:t>
      </w:r>
    </w:p>
    <w:p w14:paraId="1027565A">
      <w:pPr>
        <w:spacing w:line="640" w:lineRule="exact"/>
        <w:ind w:firstLine="640"/>
        <w:jc w:val="both"/>
        <w:outlineLvl w:val="2"/>
      </w:pPr>
      <w:r>
        <w:rPr>
          <w:rFonts w:ascii="黑体" w:hAnsi="黑体" w:eastAsia="黑体"/>
          <w:sz w:val="32"/>
        </w:rPr>
        <w:t>四、财政拨款收入支出决算总体情况说明</w:t>
      </w:r>
    </w:p>
    <w:p w14:paraId="30D75B12">
      <w:pPr>
        <w:spacing w:line="580" w:lineRule="exact"/>
        <w:ind w:firstLine="640"/>
        <w:jc w:val="both"/>
      </w:pPr>
      <w:r>
        <w:rPr>
          <w:rFonts w:ascii="仿宋_GB2312" w:hAnsi="仿宋_GB2312" w:eastAsia="仿宋_GB2312"/>
          <w:b/>
          <w:sz w:val="32"/>
        </w:rPr>
        <w:t>2024年度财政拨款收入总计418.71万元，</w:t>
      </w:r>
      <w:r>
        <w:rPr>
          <w:rFonts w:ascii="仿宋_GB2312" w:hAnsi="仿宋_GB2312" w:eastAsia="仿宋_GB2312"/>
          <w:b w:val="0"/>
          <w:sz w:val="32"/>
        </w:rPr>
        <w:t>其中：年初财政拨款结转和结余0.00万元，本年财政拨款收入418.71万元。</w:t>
      </w:r>
      <w:r>
        <w:rPr>
          <w:rFonts w:ascii="仿宋_GB2312" w:hAnsi="仿宋_GB2312" w:eastAsia="仿宋_GB2312"/>
          <w:b/>
          <w:sz w:val="32"/>
        </w:rPr>
        <w:t>财政拨款支出总计418.71万元，</w:t>
      </w:r>
      <w:r>
        <w:rPr>
          <w:rFonts w:ascii="仿宋_GB2312" w:hAnsi="仿宋_GB2312" w:eastAsia="仿宋_GB2312"/>
          <w:b w:val="0"/>
          <w:sz w:val="32"/>
        </w:rPr>
        <w:t>其中：年末财政拨款结转和结余0.00万元，本年财政拨款支出418.71万元。</w:t>
      </w:r>
    </w:p>
    <w:p w14:paraId="40B009A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减少61.56万元，下降12.82%，主要原因是：本单位减少公益性人员经费项目。</w:t>
      </w:r>
      <w:r>
        <w:rPr>
          <w:rFonts w:ascii="仿宋_GB2312" w:hAnsi="仿宋_GB2312" w:eastAsia="仿宋_GB2312"/>
          <w:b/>
          <w:sz w:val="32"/>
        </w:rPr>
        <w:t>与年初预算相比，</w:t>
      </w:r>
      <w:r>
        <w:rPr>
          <w:rFonts w:ascii="仿宋_GB2312" w:hAnsi="仿宋_GB2312" w:eastAsia="仿宋_GB2312"/>
          <w:b w:val="0"/>
          <w:sz w:val="32"/>
        </w:rPr>
        <w:t>年初预算数383.87万元，决算数418.71万元，预决算差异率9.08%，主要原因是：年中追加人员工资、社保、公积金基数调增部分资金，导致预决算存在差异。</w:t>
      </w:r>
    </w:p>
    <w:p w14:paraId="05E9A1E0">
      <w:pPr>
        <w:spacing w:line="640" w:lineRule="exact"/>
        <w:ind w:firstLine="640"/>
        <w:jc w:val="both"/>
        <w:outlineLvl w:val="2"/>
      </w:pPr>
      <w:r>
        <w:rPr>
          <w:rFonts w:ascii="黑体" w:hAnsi="黑体" w:eastAsia="黑体"/>
          <w:sz w:val="32"/>
        </w:rPr>
        <w:t>五、一般公共预算财政拨款支出决算情况说明</w:t>
      </w:r>
    </w:p>
    <w:p w14:paraId="6DD8098D">
      <w:pPr>
        <w:spacing w:line="640" w:lineRule="exact"/>
        <w:ind w:firstLine="640"/>
        <w:jc w:val="both"/>
        <w:outlineLvl w:val="3"/>
      </w:pPr>
      <w:r>
        <w:rPr>
          <w:rFonts w:ascii="楷体_GB2312" w:hAnsi="楷体_GB2312" w:eastAsia="楷体_GB2312"/>
          <w:b/>
          <w:sz w:val="32"/>
        </w:rPr>
        <w:t>（一）一般公共预算财政拨款支出决算总体情况</w:t>
      </w:r>
    </w:p>
    <w:p w14:paraId="360D7248">
      <w:pPr>
        <w:spacing w:line="580" w:lineRule="exact"/>
        <w:ind w:firstLine="640"/>
        <w:jc w:val="both"/>
      </w:pPr>
      <w:r>
        <w:rPr>
          <w:rFonts w:ascii="仿宋_GB2312" w:hAnsi="仿宋_GB2312" w:eastAsia="仿宋_GB2312"/>
          <w:b/>
          <w:sz w:val="32"/>
        </w:rPr>
        <w:t>2024年度一般公共预算财政拨款支出418.71万元，</w:t>
      </w:r>
      <w:r>
        <w:rPr>
          <w:rFonts w:ascii="仿宋_GB2312" w:hAnsi="仿宋_GB2312" w:eastAsia="仿宋_GB2312"/>
          <w:b w:val="0"/>
          <w:sz w:val="32"/>
        </w:rPr>
        <w:t>占本年支出合计的97.54%。</w:t>
      </w:r>
      <w:r>
        <w:rPr>
          <w:rFonts w:ascii="仿宋_GB2312" w:hAnsi="仿宋_GB2312" w:eastAsia="仿宋_GB2312"/>
          <w:b/>
          <w:sz w:val="32"/>
        </w:rPr>
        <w:t>与上年相比，</w:t>
      </w:r>
      <w:r>
        <w:rPr>
          <w:rFonts w:ascii="仿宋_GB2312" w:hAnsi="仿宋_GB2312" w:eastAsia="仿宋_GB2312"/>
          <w:b w:val="0"/>
          <w:sz w:val="32"/>
        </w:rPr>
        <w:t>减少61.56万元，下降12.82%，主要原因是：本单位减少公益性人员经费项目。</w:t>
      </w:r>
      <w:r>
        <w:rPr>
          <w:rFonts w:ascii="仿宋_GB2312" w:hAnsi="仿宋_GB2312" w:eastAsia="仿宋_GB2312"/>
          <w:b/>
          <w:sz w:val="32"/>
        </w:rPr>
        <w:t>与年初预算相比,</w:t>
      </w:r>
      <w:r>
        <w:rPr>
          <w:rFonts w:ascii="仿宋_GB2312" w:hAnsi="仿宋_GB2312" w:eastAsia="仿宋_GB2312"/>
          <w:b w:val="0"/>
          <w:sz w:val="32"/>
        </w:rPr>
        <w:t>年初预算数383.87万元，决算数418.71万元，预决算差异率9.08%，主要原因是：年中追加人员工资、社保、公积金基数调增部分资金，导致预决算存在差异。</w:t>
      </w:r>
    </w:p>
    <w:p w14:paraId="6EEB34B7">
      <w:pPr>
        <w:spacing w:line="640" w:lineRule="exact"/>
        <w:ind w:firstLine="640"/>
        <w:jc w:val="both"/>
        <w:outlineLvl w:val="3"/>
      </w:pPr>
      <w:r>
        <w:rPr>
          <w:rFonts w:ascii="楷体_GB2312" w:hAnsi="楷体_GB2312" w:eastAsia="楷体_GB2312"/>
          <w:b/>
          <w:sz w:val="32"/>
        </w:rPr>
        <w:t>（二）一般公共预算财政拨款支出决算结构情况</w:t>
      </w:r>
    </w:p>
    <w:p w14:paraId="793D64A3">
      <w:pPr>
        <w:spacing w:line="580" w:lineRule="exact"/>
        <w:ind w:firstLine="640"/>
        <w:jc w:val="both"/>
      </w:pPr>
      <w:r>
        <w:rPr>
          <w:rFonts w:ascii="仿宋_GB2312" w:hAnsi="仿宋_GB2312" w:eastAsia="仿宋_GB2312"/>
          <w:b w:val="0"/>
          <w:sz w:val="32"/>
        </w:rPr>
        <w:t>1.社会保障和就业支出(类)89.59万元,占21.40%。</w:t>
      </w:r>
    </w:p>
    <w:p w14:paraId="40E4FB4E">
      <w:pPr>
        <w:spacing w:line="580" w:lineRule="exact"/>
        <w:ind w:firstLine="640"/>
        <w:jc w:val="both"/>
      </w:pPr>
      <w:r>
        <w:rPr>
          <w:rFonts w:ascii="仿宋_GB2312" w:hAnsi="仿宋_GB2312" w:eastAsia="仿宋_GB2312"/>
          <w:b w:val="0"/>
          <w:sz w:val="32"/>
        </w:rPr>
        <w:t>2.农林水支出(类)329.12万元,占78.60%。</w:t>
      </w:r>
    </w:p>
    <w:p w14:paraId="09DE8CB9">
      <w:pPr>
        <w:spacing w:line="640" w:lineRule="exact"/>
        <w:ind w:firstLine="640"/>
        <w:jc w:val="both"/>
        <w:outlineLvl w:val="3"/>
      </w:pPr>
      <w:r>
        <w:rPr>
          <w:rFonts w:ascii="楷体_GB2312" w:hAnsi="楷体_GB2312" w:eastAsia="楷体_GB2312"/>
          <w:b/>
          <w:sz w:val="32"/>
        </w:rPr>
        <w:t>（三）一般公共预算财政拨款支出决算具体情况</w:t>
      </w:r>
    </w:p>
    <w:p w14:paraId="6DF42F01">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1.社会保障和就业支出(类)行政事业单位养老支出(款)事业单位离退休(项):支出决算数为25.19万元，比上年决算增加5.65万元，增长28.92%,主要原因是：本年退休人员增加，退休费支出增加。</w:t>
      </w:r>
    </w:p>
    <w:p w14:paraId="4213242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32.34万元，比上年决算增加2.89万元，增长9.81%,主要原因是：本年在职人员工资基数调增，养老缴费基数上涨，相应支出增加。</w:t>
      </w:r>
    </w:p>
    <w:p w14:paraId="07D46E6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32.06万元，比上年决算增加24.42万元，增长319.63%,主要原因是：本年新增退休人员3人，职业年金缴费支出增加。</w:t>
      </w:r>
    </w:p>
    <w:p w14:paraId="24A7F835">
      <w:pPr>
        <w:spacing w:line="580" w:lineRule="exact"/>
        <w:ind w:firstLine="640"/>
        <w:jc w:val="both"/>
      </w:pPr>
      <w:r>
        <w:rPr>
          <w:rFonts w:ascii="仿宋_GB2312" w:hAnsi="仿宋_GB2312" w:eastAsia="仿宋_GB2312"/>
          <w:b w:val="0"/>
          <w:sz w:val="32"/>
        </w:rPr>
        <w:t>4.农林水支出(类)水利(款)水利行业业务管理(项):支出决算数为308.89万元，比上年决算增加8.62万元，增长2.87%,主要原因是：本年在职人员工资调增，相应支出增加。</w:t>
      </w:r>
    </w:p>
    <w:p w14:paraId="33422D6F">
      <w:pPr>
        <w:spacing w:line="580" w:lineRule="exact"/>
        <w:ind w:firstLine="640"/>
        <w:jc w:val="both"/>
      </w:pPr>
      <w:r>
        <w:rPr>
          <w:rFonts w:ascii="仿宋_GB2312" w:hAnsi="仿宋_GB2312" w:eastAsia="仿宋_GB2312"/>
          <w:b w:val="0"/>
          <w:sz w:val="32"/>
        </w:rPr>
        <w:t>5.农林水支出(类)水利(款)水利工程运行与维护(项):支出决算数为0.00万元，比上年决算减少100.44万元，下降100.00%,主要原因是：该项目资金从2024年开始由阿图什市水利局负责支出，本年无此支出。</w:t>
      </w:r>
    </w:p>
    <w:p w14:paraId="5DCEA0C9">
      <w:pPr>
        <w:spacing w:line="580" w:lineRule="exact"/>
        <w:ind w:firstLine="640"/>
        <w:jc w:val="both"/>
      </w:pPr>
      <w:r>
        <w:rPr>
          <w:rFonts w:ascii="仿宋_GB2312" w:hAnsi="仿宋_GB2312" w:eastAsia="仿宋_GB2312"/>
          <w:b w:val="0"/>
          <w:sz w:val="32"/>
        </w:rPr>
        <w:t>6.农林水支出(类)水利(款)其他水利支出(项):支出决算数为20.23万元，比上年决算减少2.70万元，下降11.77%,主要原因是：本年度单位驻村点调整，为民办实事经费项目经费减少。</w:t>
      </w:r>
    </w:p>
    <w:p w14:paraId="7EA863B3">
      <w:pPr>
        <w:spacing w:line="640" w:lineRule="exact"/>
        <w:ind w:firstLine="640"/>
        <w:jc w:val="both"/>
        <w:outlineLvl w:val="2"/>
      </w:pPr>
      <w:r>
        <w:rPr>
          <w:rFonts w:ascii="黑体" w:hAnsi="黑体" w:eastAsia="黑体"/>
          <w:sz w:val="32"/>
        </w:rPr>
        <w:t>六、一般公共预算财政拨款基本支出决算情况说明</w:t>
      </w:r>
    </w:p>
    <w:p w14:paraId="5EAF48FD">
      <w:pPr>
        <w:spacing w:line="580" w:lineRule="exact"/>
        <w:ind w:firstLine="640"/>
        <w:jc w:val="both"/>
      </w:pPr>
      <w:r>
        <w:rPr>
          <w:rFonts w:ascii="仿宋_GB2312" w:hAnsi="仿宋_GB2312" w:eastAsia="仿宋_GB2312"/>
          <w:b w:val="0"/>
          <w:sz w:val="32"/>
        </w:rPr>
        <w:t>2024年度一般公共预算财政拨款基本支出398.48万元，其中：</w:t>
      </w:r>
      <w:r>
        <w:rPr>
          <w:rFonts w:ascii="仿宋_GB2312" w:hAnsi="仿宋_GB2312" w:eastAsia="仿宋_GB2312"/>
          <w:b/>
          <w:sz w:val="32"/>
        </w:rPr>
        <w:t>人员经费389.20万元，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32C914A7">
      <w:pPr>
        <w:spacing w:line="580" w:lineRule="exact"/>
        <w:ind w:firstLine="640"/>
        <w:jc w:val="both"/>
      </w:pPr>
      <w:r>
        <w:rPr>
          <w:rFonts w:ascii="仿宋_GB2312" w:hAnsi="仿宋_GB2312" w:eastAsia="仿宋_GB2312"/>
          <w:b/>
          <w:sz w:val="32"/>
        </w:rPr>
        <w:t>公用经费9.29万元，</w:t>
      </w:r>
      <w:r>
        <w:rPr>
          <w:rFonts w:ascii="仿宋_GB2312" w:hAnsi="仿宋_GB2312" w:eastAsia="仿宋_GB2312"/>
          <w:b w:val="0"/>
          <w:sz w:val="32"/>
        </w:rPr>
        <w:t>包括：办公费、水费、电费、邮电费、维修（护）费、工会经费、福利费、其他商品和服务支出。</w:t>
      </w:r>
    </w:p>
    <w:p w14:paraId="42D9B194">
      <w:pPr>
        <w:spacing w:line="640" w:lineRule="exact"/>
        <w:ind w:firstLine="640"/>
        <w:jc w:val="both"/>
        <w:outlineLvl w:val="2"/>
      </w:pPr>
      <w:r>
        <w:rPr>
          <w:rFonts w:ascii="黑体" w:hAnsi="黑体" w:eastAsia="黑体"/>
          <w:sz w:val="32"/>
        </w:rPr>
        <w:t>七、政府性基金预算财政拨款收入支出决算情况说明</w:t>
      </w:r>
    </w:p>
    <w:p w14:paraId="299FE90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9C839D8">
      <w:pPr>
        <w:spacing w:line="640" w:lineRule="exact"/>
        <w:ind w:firstLine="640"/>
        <w:jc w:val="both"/>
        <w:outlineLvl w:val="2"/>
      </w:pPr>
      <w:r>
        <w:rPr>
          <w:rFonts w:ascii="黑体" w:hAnsi="黑体" w:eastAsia="黑体"/>
          <w:sz w:val="32"/>
        </w:rPr>
        <w:t>八、国有资本经营预算财政拨款收入支出决算情况说明</w:t>
      </w:r>
    </w:p>
    <w:p w14:paraId="3D37AF2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9A3F29">
      <w:pPr>
        <w:spacing w:line="640" w:lineRule="exact"/>
        <w:ind w:firstLine="640"/>
        <w:jc w:val="both"/>
        <w:outlineLvl w:val="2"/>
      </w:pPr>
      <w:r>
        <w:rPr>
          <w:rFonts w:ascii="黑体" w:hAnsi="黑体" w:eastAsia="黑体"/>
          <w:sz w:val="32"/>
        </w:rPr>
        <w:t>九、财政拨款“三公”经费支出决算情况说明</w:t>
      </w:r>
    </w:p>
    <w:p w14:paraId="1BE9904C">
      <w:pPr>
        <w:spacing w:line="580" w:lineRule="exact"/>
        <w:ind w:firstLine="640"/>
        <w:jc w:val="both"/>
      </w:pPr>
      <w:r>
        <w:rPr>
          <w:rFonts w:ascii="仿宋_GB2312" w:hAnsi="仿宋_GB2312" w:eastAsia="仿宋_GB2312"/>
          <w:b/>
          <w:sz w:val="32"/>
        </w:rPr>
        <w:t>2024年度财政拨款“三公”经费支出1.50万元，</w:t>
      </w:r>
      <w:r>
        <w:rPr>
          <w:rFonts w:ascii="仿宋_GB2312" w:hAnsi="仿宋_GB2312" w:eastAsia="仿宋_GB2312"/>
          <w:b w:val="0"/>
          <w:sz w:val="32"/>
        </w:rPr>
        <w:t>比上年增加0.20万元，增长15.38%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1.50万元，占100.00%，比上年增加0.20万元，增长15.38%，主要原因是：本年因业务需求，用车次数增加，燃油费增加，导致公务用车运行维护费较上年增加。公务接待费支出0.00万元，占0.00%，比上年增加0.00万元，增长0.00%，主要原因是：2023年与2024年均未安排公务接待费支出。</w:t>
      </w:r>
    </w:p>
    <w:p w14:paraId="05AAF09F">
      <w:pPr>
        <w:spacing w:line="580" w:lineRule="exact"/>
        <w:ind w:firstLine="640"/>
        <w:jc w:val="both"/>
      </w:pPr>
      <w:r>
        <w:rPr>
          <w:rFonts w:ascii="仿宋_GB2312" w:hAnsi="仿宋_GB2312" w:eastAsia="仿宋_GB2312"/>
          <w:b/>
          <w:sz w:val="32"/>
        </w:rPr>
        <w:t>具体情况如下：</w:t>
      </w:r>
    </w:p>
    <w:p w14:paraId="5BD806C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35EE61">
      <w:pPr>
        <w:spacing w:line="580" w:lineRule="exact"/>
        <w:ind w:firstLine="640"/>
        <w:jc w:val="both"/>
      </w:pPr>
      <w:r>
        <w:rPr>
          <w:rFonts w:ascii="仿宋_GB2312" w:hAnsi="仿宋_GB2312" w:eastAsia="仿宋_GB2312"/>
          <w:b w:val="0"/>
          <w:sz w:val="32"/>
        </w:rPr>
        <w:t>公务用车购置及运行维护费1.50万元，其中：公务用车购置费0.00万元，公务用车运行维护费1.50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A52CE7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7448F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万元，决算数1.50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万元，决算数1.50万元，预决算差异率0.00%，主要原因是：严格按照预算执行，预决算无差异。公务接待费全年预算数0.00万元，决算数0.00万元，预决算差异率0.00%，主要原因是：本单位无公务接待费。</w:t>
      </w:r>
    </w:p>
    <w:p w14:paraId="5F6481ED">
      <w:pPr>
        <w:spacing w:line="640" w:lineRule="exact"/>
        <w:ind w:firstLine="640"/>
        <w:jc w:val="both"/>
        <w:outlineLvl w:val="2"/>
      </w:pPr>
      <w:r>
        <w:rPr>
          <w:rFonts w:ascii="黑体" w:hAnsi="黑体" w:eastAsia="黑体"/>
          <w:sz w:val="32"/>
        </w:rPr>
        <w:t>十、其他重要事项的情况说明</w:t>
      </w:r>
    </w:p>
    <w:p w14:paraId="73152F15">
      <w:pPr>
        <w:spacing w:line="640" w:lineRule="exact"/>
        <w:ind w:firstLine="640"/>
        <w:jc w:val="both"/>
        <w:outlineLvl w:val="3"/>
      </w:pPr>
      <w:r>
        <w:rPr>
          <w:rFonts w:ascii="楷体_GB2312" w:hAnsi="楷体_GB2312" w:eastAsia="楷体_GB2312"/>
          <w:b/>
          <w:sz w:val="32"/>
        </w:rPr>
        <w:t>（一）机关运行经费及公用经费支出情况</w:t>
      </w:r>
    </w:p>
    <w:p w14:paraId="0F696602">
      <w:pPr>
        <w:spacing w:line="580" w:lineRule="exact"/>
        <w:ind w:firstLine="640"/>
        <w:jc w:val="both"/>
      </w:pPr>
      <w:r>
        <w:rPr>
          <w:rFonts w:ascii="仿宋_GB2312" w:hAnsi="仿宋_GB2312" w:eastAsia="仿宋_GB2312"/>
          <w:b w:val="0"/>
          <w:sz w:val="32"/>
        </w:rPr>
        <w:t>2024年度克孜勒苏柯尔克孜自治州水利管理处（事业单位）公用经费支出9.29万元，比上年增加0.83万元，增长9.81%，主要原因是：本年业务量增加，公用经费增加。</w:t>
      </w:r>
    </w:p>
    <w:p w14:paraId="1F9AE280">
      <w:pPr>
        <w:spacing w:line="640" w:lineRule="exact"/>
        <w:ind w:firstLine="640"/>
        <w:jc w:val="both"/>
        <w:outlineLvl w:val="3"/>
      </w:pPr>
      <w:r>
        <w:rPr>
          <w:rFonts w:ascii="楷体_GB2312" w:hAnsi="楷体_GB2312" w:eastAsia="楷体_GB2312"/>
          <w:b/>
          <w:sz w:val="32"/>
        </w:rPr>
        <w:t>（二）政府采购情况</w:t>
      </w:r>
    </w:p>
    <w:p w14:paraId="0EE6E6F4">
      <w:pPr>
        <w:spacing w:line="580" w:lineRule="exact"/>
        <w:ind w:firstLine="640"/>
        <w:jc w:val="both"/>
      </w:pPr>
      <w:r>
        <w:rPr>
          <w:rFonts w:ascii="仿宋_GB2312" w:hAnsi="仿宋_GB2312" w:eastAsia="仿宋_GB2312"/>
          <w:b w:val="0"/>
          <w:sz w:val="32"/>
        </w:rPr>
        <w:t>2024年度政府采购支出总额7.69万元，其中：政府采购货物支出2.41万元、政府采购工程支出4.19万元、政府采购服务支出1.09万元。</w:t>
      </w:r>
    </w:p>
    <w:p w14:paraId="73AB1931">
      <w:pPr>
        <w:spacing w:line="580" w:lineRule="exact"/>
        <w:ind w:firstLine="640"/>
        <w:jc w:val="both"/>
      </w:pPr>
      <w:r>
        <w:rPr>
          <w:rFonts w:ascii="仿宋_GB2312" w:hAnsi="仿宋_GB2312" w:eastAsia="仿宋_GB2312"/>
          <w:b w:val="0"/>
          <w:sz w:val="32"/>
        </w:rPr>
        <w:t>授予中小企业合同金额6.48万元，占政府采购支出总额的84.27%，其中：授予小微企业合同金额6.48万元，占政府采购支出总额的84.27%。</w:t>
      </w:r>
    </w:p>
    <w:p w14:paraId="6E6C74FC">
      <w:pPr>
        <w:spacing w:line="640" w:lineRule="exact"/>
        <w:ind w:firstLine="640"/>
        <w:jc w:val="both"/>
        <w:outlineLvl w:val="3"/>
      </w:pPr>
      <w:r>
        <w:rPr>
          <w:rFonts w:ascii="楷体_GB2312" w:hAnsi="楷体_GB2312" w:eastAsia="楷体_GB2312"/>
          <w:b/>
          <w:sz w:val="32"/>
        </w:rPr>
        <w:t>（三）国有资产占用情况说明</w:t>
      </w:r>
    </w:p>
    <w:p w14:paraId="37B85698">
      <w:pPr>
        <w:spacing w:line="580" w:lineRule="exact"/>
        <w:ind w:firstLine="640"/>
        <w:jc w:val="both"/>
      </w:pPr>
      <w:r>
        <w:rPr>
          <w:rFonts w:ascii="仿宋_GB2312" w:hAnsi="仿宋_GB2312" w:eastAsia="仿宋_GB2312"/>
          <w:b w:val="0"/>
          <w:sz w:val="32"/>
        </w:rPr>
        <w:t>截至2024年12月31日，房屋1,896.48平方米，价值107.27万元。车辆1辆，价值14.84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C540477">
      <w:pPr>
        <w:spacing w:line="640" w:lineRule="exact"/>
        <w:ind w:firstLine="640"/>
        <w:jc w:val="both"/>
        <w:outlineLvl w:val="2"/>
      </w:pPr>
      <w:r>
        <w:rPr>
          <w:rFonts w:ascii="黑体" w:hAnsi="黑体" w:eastAsia="黑体"/>
          <w:sz w:val="32"/>
        </w:rPr>
        <w:t>十一、预算绩效的情况说明</w:t>
      </w:r>
    </w:p>
    <w:p w14:paraId="7615617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431.09万元，实际执行总额429.27万元；预算绩效评价项目4个，全年预算数32.60万元，全年执行数30.78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部分业务人员绩效管理意识有待增强，未能全面深入认识理解绩效管理工作的意义。绩效管理经验不足，预算绩效管理工作有待进一步落实；二是年初设定目标时，未充分考虑客观因素和条件，仅参考上年完成情况及行业部门总体工作要求，未充分结合本单位实际。下一步改进措施：一是继续加大绩效工作宣传力度，强化绩效理念；二是加强绩效评价管理制度和流程的建设，进一步深化、完善绩效管理体系，建立全过程的预算绩效管理机制，促进绩效管理工作向广度和深度延伸。具体附整体支出绩效自评表，项目支出绩效自评表和评价报告。</w:t>
      </w:r>
    </w:p>
    <w:p w14:paraId="25629CD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9EBF1B5">
        <w:tblPrEx>
          <w:tblCellMar>
            <w:top w:w="0" w:type="dxa"/>
            <w:left w:w="108" w:type="dxa"/>
            <w:bottom w:w="0" w:type="dxa"/>
            <w:right w:w="108" w:type="dxa"/>
          </w:tblCellMar>
        </w:tblPrEx>
        <w:tc>
          <w:tcPr>
            <w:tcW w:w="8840" w:type="dxa"/>
            <w:gridSpan w:val="8"/>
            <w:vAlign w:val="center"/>
          </w:tcPr>
          <w:p w14:paraId="7D29C8AC">
            <w:pPr>
              <w:jc w:val="center"/>
            </w:pPr>
            <w:r>
              <w:rPr>
                <w:rFonts w:ascii="宋体" w:hAnsi="宋体" w:eastAsia="宋体"/>
                <w:sz w:val="24"/>
              </w:rPr>
              <w:t>单位整体支出绩效自评表</w:t>
            </w:r>
          </w:p>
        </w:tc>
      </w:tr>
      <w:tr w14:paraId="1A0B57BA">
        <w:tblPrEx>
          <w:tblCellMar>
            <w:top w:w="0" w:type="dxa"/>
            <w:left w:w="108" w:type="dxa"/>
            <w:bottom w:w="0" w:type="dxa"/>
            <w:right w:w="108" w:type="dxa"/>
          </w:tblCellMar>
        </w:tblPrEx>
        <w:tc>
          <w:tcPr>
            <w:tcW w:w="8840" w:type="dxa"/>
            <w:gridSpan w:val="8"/>
            <w:vAlign w:val="center"/>
          </w:tcPr>
          <w:p w14:paraId="4ABDEB35">
            <w:pPr>
              <w:jc w:val="center"/>
            </w:pPr>
            <w:r>
              <w:rPr>
                <w:rFonts w:ascii="宋体" w:hAnsi="宋体" w:eastAsia="宋体"/>
                <w:sz w:val="24"/>
              </w:rPr>
              <w:t>（2024年度）</w:t>
            </w:r>
          </w:p>
        </w:tc>
      </w:tr>
      <w:tr w14:paraId="1980CDB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35F5D">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DB1F8">
            <w:pPr>
              <w:jc w:val="center"/>
            </w:pPr>
            <w:r>
              <w:rPr>
                <w:rFonts w:ascii="宋体" w:hAnsi="宋体" w:eastAsia="宋体"/>
                <w:sz w:val="16"/>
              </w:rPr>
              <w:t>克孜勒苏柯尔克孜自治州水利管理处</w:t>
            </w:r>
          </w:p>
        </w:tc>
      </w:tr>
      <w:tr w14:paraId="55BE0A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968F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F4D1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273E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D104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47C0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36BFE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C63D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93CB4">
            <w:pPr>
              <w:jc w:val="center"/>
            </w:pPr>
            <w:r>
              <w:rPr>
                <w:rFonts w:ascii="宋体" w:hAnsi="宋体" w:eastAsia="宋体"/>
                <w:sz w:val="16"/>
              </w:rPr>
              <w:t>得分</w:t>
            </w:r>
          </w:p>
        </w:tc>
      </w:tr>
      <w:tr w14:paraId="6B2B10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E3DF9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A84B6">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55A007">
            <w:pPr>
              <w:jc w:val="center"/>
            </w:pPr>
            <w:r>
              <w:rPr>
                <w:rFonts w:ascii="宋体" w:hAnsi="宋体" w:eastAsia="宋体"/>
                <w:sz w:val="16"/>
              </w:rPr>
              <w:t>392.47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21742">
            <w:pPr>
              <w:jc w:val="center"/>
            </w:pPr>
            <w:r>
              <w:rPr>
                <w:rFonts w:ascii="宋体" w:hAnsi="宋体" w:eastAsia="宋体"/>
                <w:sz w:val="16"/>
              </w:rPr>
              <w:t>431.09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33B17">
            <w:pPr>
              <w:jc w:val="center"/>
            </w:pPr>
            <w:r>
              <w:rPr>
                <w:rFonts w:ascii="宋体" w:hAnsi="宋体" w:eastAsia="宋体"/>
                <w:sz w:val="16"/>
              </w:rPr>
              <w:t>429.27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38C5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5185A">
            <w:pPr>
              <w:jc w:val="center"/>
            </w:pPr>
            <w:r>
              <w:rPr>
                <w:rFonts w:ascii="宋体" w:hAnsi="宋体" w:eastAsia="宋体"/>
                <w:sz w:val="16"/>
              </w:rPr>
              <w:t>99.58%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416CD">
            <w:pPr>
              <w:jc w:val="center"/>
              <w:rPr>
                <w:rFonts w:hint="default" w:eastAsia="宋体"/>
                <w:lang w:val="en-US" w:eastAsia="zh-CN"/>
              </w:rPr>
            </w:pPr>
            <w:r>
              <w:rPr>
                <w:rFonts w:hint="eastAsia" w:ascii="宋体" w:hAnsi="宋体"/>
                <w:sz w:val="16"/>
                <w:lang w:val="en-US" w:eastAsia="zh-CN"/>
              </w:rPr>
              <w:t>9.96</w:t>
            </w:r>
          </w:p>
        </w:tc>
      </w:tr>
      <w:tr w14:paraId="7D2786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D8D2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4AA8D">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F368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4F2D6">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2CF40">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5707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BFC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07645">
            <w:pPr>
              <w:jc w:val="center"/>
            </w:pPr>
            <w:r>
              <w:rPr>
                <w:rFonts w:ascii="宋体" w:hAnsi="宋体" w:eastAsia="宋体"/>
                <w:sz w:val="16"/>
              </w:rPr>
              <w:t>—</w:t>
            </w:r>
          </w:p>
        </w:tc>
      </w:tr>
      <w:tr w14:paraId="5EB2B8D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BEB0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E195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EEC2C">
            <w:pPr>
              <w:jc w:val="center"/>
            </w:pPr>
            <w:r>
              <w:rPr>
                <w:rFonts w:ascii="宋体" w:hAnsi="宋体" w:eastAsia="宋体"/>
                <w:sz w:val="16"/>
              </w:rPr>
              <w:t>383.87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F11789">
            <w:pPr>
              <w:jc w:val="center"/>
            </w:pPr>
            <w:r>
              <w:rPr>
                <w:rFonts w:ascii="宋体" w:hAnsi="宋体" w:eastAsia="宋体"/>
                <w:sz w:val="16"/>
              </w:rPr>
              <w:t>408.49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3CEAB">
            <w:pPr>
              <w:jc w:val="center"/>
            </w:pPr>
            <w:r>
              <w:rPr>
                <w:rFonts w:ascii="宋体" w:hAnsi="宋体" w:eastAsia="宋体"/>
                <w:sz w:val="16"/>
              </w:rPr>
              <w:t>406.71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BCE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91B3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52227">
            <w:pPr>
              <w:jc w:val="center"/>
            </w:pPr>
            <w:r>
              <w:rPr>
                <w:rFonts w:ascii="宋体" w:hAnsi="宋体" w:eastAsia="宋体"/>
                <w:sz w:val="16"/>
              </w:rPr>
              <w:t>—</w:t>
            </w:r>
          </w:p>
        </w:tc>
      </w:tr>
      <w:tr w14:paraId="694EA4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BE05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5D907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0423CC">
            <w:pPr>
              <w:jc w:val="center"/>
            </w:pPr>
            <w:r>
              <w:rPr>
                <w:rFonts w:ascii="宋体" w:hAnsi="宋体" w:eastAsia="宋体"/>
                <w:sz w:val="16"/>
              </w:rPr>
              <w:t>8.60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260F7">
            <w:pPr>
              <w:jc w:val="center"/>
            </w:pPr>
            <w:r>
              <w:rPr>
                <w:rFonts w:ascii="宋体" w:hAnsi="宋体" w:eastAsia="宋体"/>
                <w:sz w:val="16"/>
              </w:rPr>
              <w:t>10.60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E8FED">
            <w:pPr>
              <w:jc w:val="center"/>
            </w:pPr>
            <w:r>
              <w:rPr>
                <w:rFonts w:ascii="宋体" w:hAnsi="宋体" w:eastAsia="宋体"/>
                <w:sz w:val="16"/>
              </w:rPr>
              <w:t>10.56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BB4E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229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D01F1">
            <w:pPr>
              <w:jc w:val="center"/>
            </w:pPr>
            <w:r>
              <w:rPr>
                <w:rFonts w:ascii="宋体" w:hAnsi="宋体" w:eastAsia="宋体"/>
                <w:sz w:val="16"/>
              </w:rPr>
              <w:t>—</w:t>
            </w:r>
          </w:p>
        </w:tc>
      </w:tr>
      <w:tr w14:paraId="1273A64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E09FB">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1749B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FBA8C">
            <w:pPr>
              <w:jc w:val="center"/>
            </w:pPr>
            <w:r>
              <w:rPr>
                <w:rFonts w:ascii="宋体" w:hAnsi="宋体" w:eastAsia="宋体"/>
                <w:sz w:val="16"/>
              </w:rPr>
              <w:t>实际完成情况</w:t>
            </w:r>
          </w:p>
        </w:tc>
      </w:tr>
      <w:tr w14:paraId="706239A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EBCC2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20AF01">
            <w:pPr>
              <w:jc w:val="both"/>
            </w:pPr>
            <w:r>
              <w:rPr>
                <w:rFonts w:ascii="宋体" w:hAnsi="宋体" w:eastAsia="宋体"/>
                <w:sz w:val="16"/>
              </w:rPr>
              <w:t>落实水利工程安全运行，明确三个责任人，提升责任人履职能力，进一步加强自治州水库、水闸和堤防的安全隐患排查，确保水利行业安全生产。全力推动自治州水权水价综合改革工作的实施。扎实做好灌溉统计以及水库蓄水动态统计工作，为自治州农业灌溉管理提供支撑。</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7CB251">
            <w:pPr>
              <w:jc w:val="both"/>
            </w:pPr>
            <w:r>
              <w:rPr>
                <w:rFonts w:ascii="宋体" w:hAnsi="宋体" w:eastAsia="宋体"/>
                <w:sz w:val="16"/>
              </w:rPr>
              <w:t>截至2024年12月31日，已完成:一是灌溉供水调度管理更加精准。加强与农业农村、林草等部门会商对接，指导各县（市）细化调度方案，采取动态调整、弹性配置和抗旱应急保供等措施，科学精准调配水资源，灌溉供水得到有效保障。根据2024年每月旬报统计，全州总灌溉面积达到159.67万亩，比去年增加19.82万亩。</w:t>
            </w:r>
            <w:r>
              <w:rPr>
                <w:rFonts w:hint="eastAsia" w:ascii="宋体" w:hAnsi="宋体"/>
                <w:sz w:val="16"/>
                <w:lang w:eastAsia="zh-CN"/>
              </w:rPr>
              <w:t>截至</w:t>
            </w:r>
            <w:r>
              <w:rPr>
                <w:rFonts w:ascii="宋体" w:hAnsi="宋体" w:eastAsia="宋体"/>
                <w:sz w:val="16"/>
              </w:rPr>
              <w:t>12月31日，全州农业灌溉累计用水9.11亿立方米，比去年少用水0.14亿立方米。全州累计灌溉面积837.13万亩次，比去年同期多灌溉53.28万亩次，农业灌溉用水得到充分保障。二是自治区确定克州农业水价综合改革实施面积为138.34万亩，本年度为43.12万亩，</w:t>
            </w:r>
            <w:r>
              <w:rPr>
                <w:rFonts w:hint="eastAsia" w:ascii="宋体" w:hAnsi="宋体"/>
                <w:sz w:val="16"/>
                <w:lang w:eastAsia="zh-CN"/>
              </w:rPr>
              <w:t>截至</w:t>
            </w:r>
            <w:r>
              <w:rPr>
                <w:rFonts w:ascii="宋体" w:hAnsi="宋体" w:eastAsia="宋体"/>
                <w:sz w:val="16"/>
              </w:rPr>
              <w:t>2024年年底已全部完成，全州累计完成156.11万亩，完成总任务的112.8%。三是常态化开展水利工程安全隐患大排查工作，2024年，每季度对各县市水库、水闸、堤防工程开展了安全隐患排查工作，对存在的隐患问题制定了方案开展维修除险，维修资金纳入财政预算，严格落实资金管理，水利工程运行管理工作有序开展。四是调蓄工程作用发挥更加充分。根据月报统计2024年全州14座水库、4座拦河水闸共计蓄水5.7亿立方米，比去年同期多蓄1亿立方米。</w:t>
            </w:r>
          </w:p>
        </w:tc>
      </w:tr>
      <w:tr w14:paraId="1E832B8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3ABF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6487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E708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173D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1AEE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856A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85A6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74F196">
            <w:pPr>
              <w:jc w:val="center"/>
            </w:pPr>
            <w:r>
              <w:rPr>
                <w:rFonts w:ascii="宋体" w:hAnsi="宋体" w:eastAsia="宋体"/>
                <w:sz w:val="16"/>
              </w:rPr>
              <w:t>得分</w:t>
            </w:r>
          </w:p>
        </w:tc>
      </w:tr>
      <w:tr w14:paraId="25DE44C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9EC2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22AE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AB8C7">
            <w:pPr>
              <w:jc w:val="center"/>
            </w:pPr>
            <w:r>
              <w:rPr>
                <w:rFonts w:ascii="宋体" w:hAnsi="宋体" w:eastAsia="宋体"/>
                <w:sz w:val="16"/>
              </w:rPr>
              <w:t>每月对全州水库蓄水动态情况进行统计（座）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B1DA5">
            <w:pPr>
              <w:jc w:val="center"/>
            </w:pPr>
            <w:r>
              <w:rPr>
                <w:rFonts w:ascii="宋体" w:hAnsi="宋体" w:eastAsia="宋体"/>
                <w:sz w:val="16"/>
              </w:rPr>
              <w:t>&gt;=18座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F3F4D">
            <w:pPr>
              <w:jc w:val="center"/>
            </w:pPr>
            <w:r>
              <w:rPr>
                <w:rFonts w:ascii="宋体" w:hAnsi="宋体" w:eastAsia="宋体"/>
                <w:sz w:val="16"/>
              </w:rPr>
              <w:t>新水办</w:t>
            </w:r>
            <w:r>
              <w:rPr>
                <w:rFonts w:hint="eastAsia" w:ascii="宋体" w:hAnsi="宋体"/>
                <w:sz w:val="16"/>
                <w:lang w:eastAsia="zh-CN"/>
              </w:rPr>
              <w:t>〔2023〕58号</w:t>
            </w: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D1B0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A2A5B">
            <w:pPr>
              <w:jc w:val="center"/>
            </w:pPr>
            <w:r>
              <w:rPr>
                <w:rFonts w:ascii="宋体" w:hAnsi="宋体" w:eastAsia="宋体"/>
                <w:sz w:val="16"/>
              </w:rPr>
              <w:t>18座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99FDA">
            <w:pPr>
              <w:jc w:val="center"/>
            </w:pPr>
            <w:r>
              <w:rPr>
                <w:rFonts w:ascii="宋体" w:hAnsi="宋体" w:eastAsia="宋体"/>
                <w:sz w:val="16"/>
              </w:rPr>
              <w:t>20</w:t>
            </w:r>
          </w:p>
        </w:tc>
      </w:tr>
      <w:tr w14:paraId="7D1C9F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A16A6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45E10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7AA79">
            <w:pPr>
              <w:jc w:val="center"/>
            </w:pPr>
            <w:r>
              <w:rPr>
                <w:rFonts w:ascii="宋体" w:hAnsi="宋体" w:eastAsia="宋体"/>
                <w:sz w:val="16"/>
              </w:rPr>
              <w:t>对水库水闸和堤防工程开展安全隐患排查次数（次）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35856">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E7B2E">
            <w:pPr>
              <w:jc w:val="center"/>
            </w:pPr>
            <w:r>
              <w:rPr>
                <w:rFonts w:ascii="宋体" w:hAnsi="宋体" w:eastAsia="宋体"/>
                <w:sz w:val="16"/>
              </w:rPr>
              <w:t>新水办</w:t>
            </w:r>
            <w:r>
              <w:rPr>
                <w:rFonts w:hint="eastAsia" w:ascii="宋体" w:hAnsi="宋体"/>
                <w:sz w:val="16"/>
                <w:lang w:eastAsia="zh-CN"/>
              </w:rPr>
              <w:t>〔2023〕58号</w:t>
            </w: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DD30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DD53E">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17B90">
            <w:pPr>
              <w:jc w:val="center"/>
            </w:pPr>
            <w:r>
              <w:rPr>
                <w:rFonts w:ascii="宋体" w:hAnsi="宋体" w:eastAsia="宋体"/>
                <w:sz w:val="16"/>
              </w:rPr>
              <w:t>20</w:t>
            </w:r>
          </w:p>
        </w:tc>
      </w:tr>
      <w:tr w14:paraId="02E21B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56E5E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051C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2E034">
            <w:pPr>
              <w:jc w:val="center"/>
            </w:pPr>
            <w:r>
              <w:rPr>
                <w:rFonts w:ascii="宋体" w:hAnsi="宋体" w:eastAsia="宋体"/>
                <w:sz w:val="16"/>
              </w:rPr>
              <w:t>统计全州灌溉供水进度统计表次数（次）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BD9CA9">
            <w:pPr>
              <w:jc w:val="center"/>
            </w:pPr>
            <w:r>
              <w:rPr>
                <w:rFonts w:ascii="宋体" w:hAnsi="宋体" w:eastAsia="宋体"/>
                <w:sz w:val="16"/>
              </w:rPr>
              <w:t>&gt;=30次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EC41D">
            <w:pPr>
              <w:jc w:val="center"/>
            </w:pPr>
            <w:r>
              <w:rPr>
                <w:rFonts w:ascii="宋体" w:hAnsi="宋体" w:eastAsia="宋体"/>
                <w:sz w:val="16"/>
              </w:rPr>
              <w:t>新水办</w:t>
            </w:r>
            <w:r>
              <w:rPr>
                <w:rFonts w:hint="eastAsia" w:ascii="宋体" w:hAnsi="宋体"/>
                <w:sz w:val="16"/>
                <w:lang w:eastAsia="zh-CN"/>
              </w:rPr>
              <w:t>〔2023〕58号</w:t>
            </w: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507B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3FECC">
            <w:pPr>
              <w:jc w:val="center"/>
            </w:pPr>
            <w:r>
              <w:rPr>
                <w:rFonts w:ascii="宋体" w:hAnsi="宋体" w:eastAsia="宋体"/>
                <w:sz w:val="16"/>
              </w:rPr>
              <w:t>36次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7F95B">
            <w:pPr>
              <w:jc w:val="center"/>
            </w:pPr>
            <w:r>
              <w:rPr>
                <w:rFonts w:ascii="宋体" w:hAnsi="宋体" w:eastAsia="宋体"/>
                <w:sz w:val="16"/>
              </w:rPr>
              <w:t>20</w:t>
            </w:r>
          </w:p>
        </w:tc>
      </w:tr>
      <w:tr w14:paraId="7EC631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8BED3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BFB10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FC9F7">
            <w:pPr>
              <w:jc w:val="center"/>
            </w:pPr>
            <w:r>
              <w:rPr>
                <w:rFonts w:ascii="宋体" w:hAnsi="宋体" w:eastAsia="宋体"/>
                <w:sz w:val="16"/>
              </w:rPr>
              <w:t>协助完成全州水权水价综合改革灌溉面积（万亩）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F41C60">
            <w:pPr>
              <w:jc w:val="center"/>
            </w:pPr>
            <w:r>
              <w:rPr>
                <w:rFonts w:ascii="宋体" w:hAnsi="宋体" w:eastAsia="宋体"/>
                <w:sz w:val="16"/>
              </w:rPr>
              <w:t>&gt;=43.12万亩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F6FAE">
            <w:pPr>
              <w:jc w:val="center"/>
            </w:pPr>
            <w:r>
              <w:rPr>
                <w:rFonts w:ascii="宋体" w:hAnsi="宋体" w:eastAsia="宋体"/>
                <w:sz w:val="16"/>
              </w:rPr>
              <w:t>新发改农价</w:t>
            </w:r>
            <w:r>
              <w:rPr>
                <w:rFonts w:hint="eastAsia" w:ascii="宋体" w:hAnsi="宋体"/>
                <w:sz w:val="16"/>
                <w:lang w:eastAsia="zh-CN"/>
              </w:rPr>
              <w:t>〔2024〕100号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2577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FE5A9">
            <w:pPr>
              <w:jc w:val="center"/>
            </w:pPr>
            <w:r>
              <w:rPr>
                <w:rFonts w:ascii="宋体" w:hAnsi="宋体" w:eastAsia="宋体"/>
                <w:sz w:val="16"/>
              </w:rPr>
              <w:t>43.12万亩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311195">
            <w:pPr>
              <w:jc w:val="center"/>
            </w:pPr>
            <w:r>
              <w:rPr>
                <w:rFonts w:ascii="宋体" w:hAnsi="宋体" w:eastAsia="宋体"/>
                <w:sz w:val="16"/>
              </w:rPr>
              <w:t>30</w:t>
            </w:r>
          </w:p>
        </w:tc>
      </w:tr>
    </w:tbl>
    <w:p w14:paraId="596740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E367DC7">
        <w:tblPrEx>
          <w:tblCellMar>
            <w:top w:w="0" w:type="dxa"/>
            <w:left w:w="108" w:type="dxa"/>
            <w:bottom w:w="0" w:type="dxa"/>
            <w:right w:w="108" w:type="dxa"/>
          </w:tblCellMar>
        </w:tblPrEx>
        <w:tc>
          <w:tcPr>
            <w:tcW w:w="8848" w:type="dxa"/>
            <w:gridSpan w:val="14"/>
            <w:vAlign w:val="center"/>
          </w:tcPr>
          <w:p w14:paraId="5FF33F8A">
            <w:pPr>
              <w:jc w:val="center"/>
            </w:pPr>
            <w:r>
              <w:rPr>
                <w:rFonts w:ascii="宋体" w:hAnsi="宋体" w:eastAsia="宋体"/>
                <w:sz w:val="24"/>
              </w:rPr>
              <w:t>项目支出绩效自评表</w:t>
            </w:r>
          </w:p>
        </w:tc>
      </w:tr>
      <w:tr w14:paraId="736CD66E">
        <w:tblPrEx>
          <w:tblCellMar>
            <w:top w:w="0" w:type="dxa"/>
            <w:left w:w="108" w:type="dxa"/>
            <w:bottom w:w="0" w:type="dxa"/>
            <w:right w:w="108" w:type="dxa"/>
          </w:tblCellMar>
        </w:tblPrEx>
        <w:tc>
          <w:tcPr>
            <w:tcW w:w="8848" w:type="dxa"/>
            <w:gridSpan w:val="14"/>
            <w:vAlign w:val="center"/>
          </w:tcPr>
          <w:p w14:paraId="6C4450E4">
            <w:pPr>
              <w:jc w:val="center"/>
            </w:pPr>
            <w:r>
              <w:rPr>
                <w:rFonts w:ascii="宋体" w:hAnsi="宋体" w:eastAsia="宋体"/>
                <w:sz w:val="24"/>
              </w:rPr>
              <w:t>(2024年度)</w:t>
            </w:r>
          </w:p>
        </w:tc>
      </w:tr>
      <w:tr w14:paraId="0876D4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9D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E8B069">
            <w:pPr>
              <w:jc w:val="center"/>
            </w:pPr>
            <w:r>
              <w:rPr>
                <w:rFonts w:ascii="宋体" w:hAnsi="宋体" w:eastAsia="宋体"/>
                <w:sz w:val="16"/>
              </w:rPr>
              <w:t>为民办实事工作经费项目</w:t>
            </w:r>
          </w:p>
        </w:tc>
      </w:tr>
      <w:tr w14:paraId="1C4B68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F6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EB2FC">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CC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7A400">
            <w:pPr>
              <w:jc w:val="center"/>
            </w:pPr>
            <w:r>
              <w:rPr>
                <w:rFonts w:ascii="宋体" w:hAnsi="宋体" w:eastAsia="宋体"/>
                <w:sz w:val="16"/>
              </w:rPr>
              <w:t>克孜勒苏柯尔克孜自治州水利管理处</w:t>
            </w:r>
          </w:p>
        </w:tc>
      </w:tr>
      <w:tr w14:paraId="1D64E1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34F1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91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FC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BD9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33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85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B0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3497">
            <w:pPr>
              <w:jc w:val="center"/>
            </w:pPr>
            <w:r>
              <w:rPr>
                <w:rFonts w:ascii="宋体" w:hAnsi="宋体" w:eastAsia="宋体"/>
                <w:sz w:val="16"/>
              </w:rPr>
              <w:t>得分</w:t>
            </w:r>
          </w:p>
        </w:tc>
      </w:tr>
      <w:tr w14:paraId="44C71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CA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DA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FAE3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295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080F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A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422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6FE7">
            <w:pPr>
              <w:jc w:val="center"/>
            </w:pPr>
            <w:r>
              <w:rPr>
                <w:rFonts w:ascii="宋体" w:hAnsi="宋体" w:eastAsia="宋体"/>
                <w:sz w:val="16"/>
              </w:rPr>
              <w:t>10.00分</w:t>
            </w:r>
          </w:p>
        </w:tc>
      </w:tr>
      <w:tr w14:paraId="78417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F3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DA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E9A8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F0CD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3577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3FD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0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0391">
            <w:pPr>
              <w:jc w:val="center"/>
            </w:pPr>
            <w:r>
              <w:rPr>
                <w:rFonts w:ascii="宋体" w:hAnsi="宋体" w:eastAsia="宋体"/>
                <w:sz w:val="16"/>
              </w:rPr>
              <w:t>—</w:t>
            </w:r>
          </w:p>
        </w:tc>
      </w:tr>
      <w:tr w14:paraId="5161B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C1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1FB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5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E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50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F8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0E5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EDE7">
            <w:pPr>
              <w:jc w:val="center"/>
            </w:pPr>
            <w:r>
              <w:rPr>
                <w:rFonts w:ascii="宋体" w:hAnsi="宋体" w:eastAsia="宋体"/>
                <w:sz w:val="16"/>
              </w:rPr>
              <w:t>—</w:t>
            </w:r>
          </w:p>
        </w:tc>
      </w:tr>
      <w:tr w14:paraId="6AF1EC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B4D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1E7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3EC2D">
            <w:pPr>
              <w:jc w:val="center"/>
            </w:pPr>
            <w:r>
              <w:rPr>
                <w:rFonts w:ascii="宋体" w:hAnsi="宋体" w:eastAsia="宋体"/>
                <w:sz w:val="16"/>
              </w:rPr>
              <w:t>实际完成情况</w:t>
            </w:r>
          </w:p>
        </w:tc>
      </w:tr>
      <w:tr w14:paraId="09AED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7E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71FF9">
            <w:pPr>
              <w:jc w:val="both"/>
            </w:pPr>
            <w:r>
              <w:rPr>
                <w:rFonts w:ascii="宋体" w:hAnsi="宋体" w:eastAsia="宋体"/>
                <w:sz w:val="16"/>
              </w:rPr>
              <w:t>该项目资金12万元，其中：财政资金12万元，其他资金0万元。该项目资金主要用于单位驻村工作队在阿克陶县克孜勒陶镇别勒迪尔村开展各项群众工作，深入基层，帮助群众解决实际困难，宣传国家法律法规，开展家亲工作，切实为群众</w:t>
            </w:r>
            <w:r>
              <w:rPr>
                <w:rFonts w:hint="eastAsia" w:ascii="宋体" w:hAnsi="宋体"/>
                <w:sz w:val="16"/>
                <w:lang w:eastAsia="zh-CN"/>
              </w:rPr>
              <w:t>解决</w:t>
            </w:r>
            <w:r>
              <w:rPr>
                <w:rFonts w:ascii="宋体" w:hAnsi="宋体" w:eastAsia="宋体"/>
                <w:sz w:val="16"/>
              </w:rPr>
              <w:t>困难，让村民得到实惠。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3882C">
            <w:pPr>
              <w:jc w:val="both"/>
            </w:pPr>
            <w:r>
              <w:rPr>
                <w:rFonts w:hint="eastAsia" w:ascii="宋体" w:hAnsi="宋体"/>
                <w:sz w:val="16"/>
                <w:lang w:eastAsia="zh-CN"/>
              </w:rPr>
              <w:t>截至</w:t>
            </w:r>
            <w:r>
              <w:rPr>
                <w:rFonts w:ascii="宋体" w:hAnsi="宋体" w:eastAsia="宋体"/>
                <w:sz w:val="16"/>
              </w:rPr>
              <w:t>2024年12月份，该项目资金执行数为12万元。通过项目实施，开展活动5次，慰问群众5次，为村民提供医疗帮助4次，整治环境以及维修</w:t>
            </w:r>
            <w:r>
              <w:rPr>
                <w:rFonts w:hint="eastAsia" w:ascii="宋体" w:hAnsi="宋体"/>
                <w:sz w:val="16"/>
                <w:lang w:eastAsia="zh-CN"/>
              </w:rPr>
              <w:t>道路</w:t>
            </w:r>
            <w:r>
              <w:rPr>
                <w:rFonts w:ascii="宋体" w:hAnsi="宋体" w:eastAsia="宋体"/>
                <w:sz w:val="16"/>
              </w:rPr>
              <w:t>2次，有效完成了各项</w:t>
            </w:r>
            <w:r>
              <w:rPr>
                <w:rFonts w:hint="eastAsia" w:ascii="宋体" w:hAnsi="宋体"/>
                <w:sz w:val="16"/>
                <w:lang w:eastAsia="zh-CN"/>
              </w:rPr>
              <w:t>工作</w:t>
            </w:r>
            <w:r>
              <w:rPr>
                <w:rFonts w:ascii="宋体" w:hAnsi="宋体" w:eastAsia="宋体"/>
                <w:sz w:val="16"/>
              </w:rPr>
              <w:t>目标，加强基层组织建设，</w:t>
            </w:r>
            <w:r>
              <w:rPr>
                <w:rFonts w:hint="eastAsia" w:ascii="宋体" w:hAnsi="宋体"/>
                <w:sz w:val="16"/>
                <w:lang w:eastAsia="zh-CN"/>
              </w:rPr>
              <w:t>持续</w:t>
            </w:r>
            <w:r>
              <w:rPr>
                <w:rFonts w:ascii="宋体" w:hAnsi="宋体" w:eastAsia="宋体"/>
                <w:sz w:val="16"/>
              </w:rPr>
              <w:t>做好社会稳定工作。</w:t>
            </w:r>
          </w:p>
        </w:tc>
      </w:tr>
      <w:tr w14:paraId="14B872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51E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9D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9A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EF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3E7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277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46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2D3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52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87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D3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E5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F81D">
            <w:pPr>
              <w:jc w:val="center"/>
            </w:pPr>
            <w:r>
              <w:rPr>
                <w:rFonts w:ascii="宋体" w:hAnsi="宋体" w:eastAsia="宋体"/>
                <w:sz w:val="16"/>
              </w:rPr>
              <w:t>偏差原因分析及改进措施</w:t>
            </w:r>
          </w:p>
        </w:tc>
      </w:tr>
      <w:tr w14:paraId="08832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ECB4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6C0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5FB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25C6">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AD3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2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413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E6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F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2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669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A5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962DA">
            <w:pPr>
              <w:jc w:val="center"/>
            </w:pPr>
          </w:p>
        </w:tc>
      </w:tr>
      <w:tr w14:paraId="157DE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C4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70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09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222B">
            <w:pPr>
              <w:jc w:val="center"/>
            </w:pPr>
            <w:r>
              <w:rPr>
                <w:rFonts w:ascii="宋体" w:hAnsi="宋体" w:eastAsia="宋体"/>
                <w:sz w:val="16"/>
              </w:rPr>
              <w:t>慰问群众次数（次）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177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4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7BB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4D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7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C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8E3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90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5E59">
            <w:pPr>
              <w:jc w:val="center"/>
            </w:pPr>
          </w:p>
        </w:tc>
      </w:tr>
      <w:tr w14:paraId="59824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2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A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6B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6528">
            <w:pPr>
              <w:jc w:val="center"/>
            </w:pPr>
            <w:r>
              <w:rPr>
                <w:rFonts w:ascii="宋体" w:hAnsi="宋体" w:eastAsia="宋体"/>
                <w:sz w:val="16"/>
              </w:rPr>
              <w:t>为村民提供医疗帮助次数（次）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E9D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D7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407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EE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2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7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D18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D0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B8604">
            <w:pPr>
              <w:jc w:val="center"/>
            </w:pPr>
          </w:p>
        </w:tc>
      </w:tr>
      <w:tr w14:paraId="03154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5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A6B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B4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F8AF">
            <w:pPr>
              <w:jc w:val="center"/>
            </w:pPr>
            <w:r>
              <w:rPr>
                <w:rFonts w:ascii="宋体" w:hAnsi="宋体" w:eastAsia="宋体"/>
                <w:sz w:val="16"/>
              </w:rPr>
              <w:t>整治环境以及道路维修次数（次）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0C5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B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CEF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9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E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E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6A1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60D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CFB20">
            <w:pPr>
              <w:jc w:val="center"/>
            </w:pPr>
          </w:p>
        </w:tc>
      </w:tr>
      <w:tr w14:paraId="4CE61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87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D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800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A200">
            <w:pPr>
              <w:jc w:val="center"/>
            </w:pPr>
            <w:r>
              <w:rPr>
                <w:rFonts w:ascii="宋体" w:hAnsi="宋体" w:eastAsia="宋体"/>
                <w:sz w:val="16"/>
              </w:rPr>
              <w:t>慰问困难群众覆盖率（%）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F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2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5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00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22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7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2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E1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B2D9A">
            <w:pPr>
              <w:jc w:val="center"/>
            </w:pPr>
          </w:p>
        </w:tc>
      </w:tr>
      <w:tr w14:paraId="56DA3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35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3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3C3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5E53">
            <w:pPr>
              <w:jc w:val="center"/>
            </w:pPr>
            <w:r>
              <w:rPr>
                <w:rFonts w:ascii="宋体" w:hAnsi="宋体" w:eastAsia="宋体"/>
                <w:sz w:val="16"/>
              </w:rPr>
              <w:t>购买活动奖品质量合格率（%）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1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8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4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E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1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B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A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5D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6C460">
            <w:pPr>
              <w:jc w:val="center"/>
            </w:pPr>
          </w:p>
        </w:tc>
      </w:tr>
      <w:tr w14:paraId="1595A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D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83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D1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D640">
            <w:pPr>
              <w:jc w:val="center"/>
            </w:pPr>
            <w:r>
              <w:rPr>
                <w:rFonts w:ascii="宋体" w:hAnsi="宋体" w:eastAsia="宋体"/>
                <w:sz w:val="16"/>
              </w:rPr>
              <w:t>各项活动以及慰问准时完成率（%）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9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C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2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E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7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C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5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3E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8C42">
            <w:pPr>
              <w:jc w:val="center"/>
            </w:pPr>
          </w:p>
        </w:tc>
      </w:tr>
      <w:tr w14:paraId="05874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C8E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451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030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0B9C">
            <w:pPr>
              <w:jc w:val="center"/>
            </w:pPr>
            <w:r>
              <w:rPr>
                <w:rFonts w:ascii="宋体" w:hAnsi="宋体" w:eastAsia="宋体"/>
                <w:sz w:val="16"/>
              </w:rPr>
              <w:t>慰问成本（万元）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371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DC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0B4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6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2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41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8E0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B1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6B95">
            <w:pPr>
              <w:jc w:val="center"/>
            </w:pPr>
          </w:p>
        </w:tc>
      </w:tr>
      <w:tr w14:paraId="76030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71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C2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D0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2744">
            <w:pPr>
              <w:jc w:val="center"/>
            </w:pPr>
            <w:r>
              <w:rPr>
                <w:rFonts w:ascii="宋体" w:hAnsi="宋体" w:eastAsia="宋体"/>
                <w:sz w:val="16"/>
              </w:rPr>
              <w:t>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9D0D">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B5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02D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5D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2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7B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4F7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A1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BFB1D">
            <w:pPr>
              <w:jc w:val="center"/>
            </w:pPr>
          </w:p>
        </w:tc>
      </w:tr>
      <w:tr w14:paraId="749AE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FB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D3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AC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800D">
            <w:pPr>
              <w:jc w:val="center"/>
            </w:pPr>
            <w:r>
              <w:rPr>
                <w:rFonts w:ascii="宋体" w:hAnsi="宋体" w:eastAsia="宋体"/>
                <w:sz w:val="16"/>
              </w:rPr>
              <w:t>医疗帮助以及环境整治成本（万元）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E79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2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36D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5B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0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A6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6B6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B5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D3C5">
            <w:pPr>
              <w:jc w:val="center"/>
            </w:pPr>
          </w:p>
        </w:tc>
      </w:tr>
      <w:tr w14:paraId="7257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90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E9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6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6EAE">
            <w:pPr>
              <w:jc w:val="center"/>
            </w:pPr>
            <w:r>
              <w:rPr>
                <w:rFonts w:ascii="宋体" w:hAnsi="宋体" w:eastAsia="宋体"/>
                <w:sz w:val="16"/>
              </w:rPr>
              <w:t>提高公共服务水平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D3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3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A08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FE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91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56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D73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75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42AE">
            <w:pPr>
              <w:jc w:val="center"/>
            </w:pPr>
          </w:p>
        </w:tc>
      </w:tr>
      <w:tr w14:paraId="5243D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10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0A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69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034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39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6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E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5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0A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E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0E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8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C162F">
            <w:pPr>
              <w:jc w:val="center"/>
            </w:pPr>
          </w:p>
        </w:tc>
      </w:tr>
      <w:tr w14:paraId="3EAF6D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7C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CA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B56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DBD9B">
            <w:pPr>
              <w:jc w:val="center"/>
            </w:pPr>
            <w:r>
              <w:rPr>
                <w:rFonts w:ascii="宋体" w:hAnsi="宋体" w:eastAsia="宋体"/>
                <w:sz w:val="16"/>
              </w:rPr>
              <w:t>100分</w:t>
            </w:r>
          </w:p>
        </w:tc>
      </w:tr>
    </w:tbl>
    <w:p w14:paraId="57EEEF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32"/>
        <w:gridCol w:w="632"/>
        <w:gridCol w:w="632"/>
        <w:gridCol w:w="632"/>
      </w:tblGrid>
      <w:tr w14:paraId="32067114">
        <w:tblPrEx>
          <w:tblCellMar>
            <w:top w:w="0" w:type="dxa"/>
            <w:left w:w="108" w:type="dxa"/>
            <w:bottom w:w="0" w:type="dxa"/>
            <w:right w:w="108" w:type="dxa"/>
          </w:tblCellMar>
        </w:tblPrEx>
        <w:tc>
          <w:tcPr>
            <w:tcW w:w="8848" w:type="dxa"/>
            <w:gridSpan w:val="14"/>
            <w:vAlign w:val="center"/>
          </w:tcPr>
          <w:p w14:paraId="0518D74C">
            <w:pPr>
              <w:jc w:val="center"/>
            </w:pPr>
            <w:r>
              <w:rPr>
                <w:rFonts w:ascii="宋体" w:hAnsi="宋体" w:eastAsia="宋体"/>
                <w:sz w:val="24"/>
              </w:rPr>
              <w:t>项目支出绩效自评表</w:t>
            </w:r>
          </w:p>
        </w:tc>
      </w:tr>
      <w:tr w14:paraId="464ADDCE">
        <w:tblPrEx>
          <w:tblCellMar>
            <w:top w:w="0" w:type="dxa"/>
            <w:left w:w="108" w:type="dxa"/>
            <w:bottom w:w="0" w:type="dxa"/>
            <w:right w:w="108" w:type="dxa"/>
          </w:tblCellMar>
        </w:tblPrEx>
        <w:tc>
          <w:tcPr>
            <w:tcW w:w="8848" w:type="dxa"/>
            <w:gridSpan w:val="14"/>
            <w:vAlign w:val="center"/>
          </w:tcPr>
          <w:p w14:paraId="4B9220A3">
            <w:pPr>
              <w:jc w:val="center"/>
            </w:pPr>
            <w:r>
              <w:rPr>
                <w:rFonts w:ascii="宋体" w:hAnsi="宋体" w:eastAsia="宋体"/>
                <w:sz w:val="24"/>
              </w:rPr>
              <w:t>(2024年度)</w:t>
            </w:r>
          </w:p>
        </w:tc>
      </w:tr>
      <w:tr w14:paraId="226647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8C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D6E7A">
            <w:pPr>
              <w:jc w:val="center"/>
            </w:pPr>
            <w:r>
              <w:rPr>
                <w:rFonts w:ascii="宋体" w:hAnsi="宋体" w:eastAsia="宋体"/>
                <w:sz w:val="16"/>
              </w:rPr>
              <w:t>农业水价综合改革项目</w:t>
            </w:r>
          </w:p>
        </w:tc>
      </w:tr>
      <w:tr w14:paraId="1C82E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72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313D3">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FD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63BE5">
            <w:pPr>
              <w:jc w:val="center"/>
            </w:pPr>
            <w:r>
              <w:rPr>
                <w:rFonts w:ascii="宋体" w:hAnsi="宋体" w:eastAsia="宋体"/>
                <w:sz w:val="16"/>
              </w:rPr>
              <w:t>克孜勒苏柯尔克孜自治州水利管理处</w:t>
            </w:r>
          </w:p>
        </w:tc>
      </w:tr>
      <w:tr w14:paraId="18D2A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4DF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14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B9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3DB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792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8B7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DD1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F4DC">
            <w:pPr>
              <w:jc w:val="center"/>
            </w:pPr>
            <w:r>
              <w:rPr>
                <w:rFonts w:ascii="宋体" w:hAnsi="宋体" w:eastAsia="宋体"/>
                <w:sz w:val="16"/>
              </w:rPr>
              <w:t>得分</w:t>
            </w:r>
          </w:p>
        </w:tc>
      </w:tr>
      <w:tr w14:paraId="0CA2D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D7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7C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5C3D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B13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273C6">
            <w:pPr>
              <w:jc w:val="center"/>
            </w:pPr>
            <w:r>
              <w:rPr>
                <w:rFonts w:ascii="宋体" w:hAnsi="宋体" w:eastAsia="宋体"/>
                <w:sz w:val="16"/>
              </w:rPr>
              <w:t>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0B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CC885">
            <w:pPr>
              <w:jc w:val="center"/>
            </w:pPr>
            <w:r>
              <w:rPr>
                <w:rFonts w:ascii="宋体" w:hAnsi="宋体" w:eastAsia="宋体"/>
                <w:sz w:val="16"/>
              </w:rPr>
              <w:t>65.8%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2D33">
            <w:pPr>
              <w:jc w:val="center"/>
            </w:pPr>
            <w:r>
              <w:rPr>
                <w:rFonts w:ascii="宋体" w:hAnsi="宋体" w:eastAsia="宋体"/>
                <w:sz w:val="16"/>
              </w:rPr>
              <w:t>1.45分</w:t>
            </w:r>
          </w:p>
        </w:tc>
      </w:tr>
      <w:tr w14:paraId="51918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D1D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92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E1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A00F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2C872">
            <w:pPr>
              <w:jc w:val="center"/>
            </w:pPr>
            <w:r>
              <w:rPr>
                <w:rFonts w:ascii="宋体" w:hAnsi="宋体" w:eastAsia="宋体"/>
                <w:sz w:val="16"/>
              </w:rPr>
              <w:t>3.29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F0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EE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D6F0">
            <w:pPr>
              <w:jc w:val="center"/>
            </w:pPr>
            <w:r>
              <w:rPr>
                <w:rFonts w:ascii="宋体" w:hAnsi="宋体" w:eastAsia="宋体"/>
                <w:sz w:val="16"/>
              </w:rPr>
              <w:t>—</w:t>
            </w:r>
          </w:p>
        </w:tc>
      </w:tr>
      <w:tr w14:paraId="7806C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7C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3B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6B0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A8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21C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129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E6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1F71">
            <w:pPr>
              <w:jc w:val="center"/>
            </w:pPr>
            <w:r>
              <w:rPr>
                <w:rFonts w:ascii="宋体" w:hAnsi="宋体" w:eastAsia="宋体"/>
                <w:sz w:val="16"/>
              </w:rPr>
              <w:t>—</w:t>
            </w:r>
          </w:p>
        </w:tc>
      </w:tr>
      <w:tr w14:paraId="74BAB9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40C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8DC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190AF">
            <w:pPr>
              <w:jc w:val="center"/>
            </w:pPr>
            <w:r>
              <w:rPr>
                <w:rFonts w:ascii="宋体" w:hAnsi="宋体" w:eastAsia="宋体"/>
                <w:sz w:val="16"/>
              </w:rPr>
              <w:t>实际完成情况</w:t>
            </w:r>
          </w:p>
        </w:tc>
      </w:tr>
      <w:tr w14:paraId="5C9C6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BA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00D14">
            <w:pPr>
              <w:jc w:val="both"/>
            </w:pPr>
            <w:r>
              <w:rPr>
                <w:rFonts w:ascii="宋体" w:hAnsi="宋体" w:eastAsia="宋体"/>
                <w:sz w:val="16"/>
              </w:rPr>
              <w:t>该项目资金共计5万元，其中财政拨款5万元，其他资金0万元。根据新发改农价</w:t>
            </w:r>
            <w:r>
              <w:rPr>
                <w:rFonts w:hint="eastAsia" w:ascii="宋体" w:hAnsi="宋体"/>
                <w:sz w:val="16"/>
                <w:lang w:eastAsia="zh-CN"/>
              </w:rPr>
              <w:t>〔2023〕118号</w:t>
            </w:r>
            <w:r>
              <w:rPr>
                <w:rFonts w:ascii="宋体" w:hAnsi="宋体" w:eastAsia="宋体"/>
                <w:sz w:val="16"/>
              </w:rPr>
              <w:t>文件要求，资金主要用于在三县一市开展调研水权水价综合改革工作，进行宣传以及水管人员培训工作。通过该项目室外实施，有效保障水权水价改革工作需要,确保克州农业水价综合改革工作完成。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8968D">
            <w:pPr>
              <w:jc w:val="both"/>
            </w:pPr>
            <w:r>
              <w:rPr>
                <w:rFonts w:hint="eastAsia" w:ascii="宋体" w:hAnsi="宋体"/>
                <w:sz w:val="16"/>
                <w:lang w:eastAsia="zh-CN"/>
              </w:rPr>
              <w:t>截至</w:t>
            </w:r>
            <w:r>
              <w:rPr>
                <w:rFonts w:ascii="宋体" w:hAnsi="宋体" w:eastAsia="宋体"/>
                <w:sz w:val="16"/>
              </w:rPr>
              <w:t>2024年12月31日，保障车辆1辆，保障办公人员数5人，开展监督检查/调研等人次数5人次，通过该项目室外实施，有效保障水权水价改革工作需要,确保克州农业水价综合改革工作完成。</w:t>
            </w:r>
          </w:p>
        </w:tc>
      </w:tr>
      <w:tr w14:paraId="4CFDD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D35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61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06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12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62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53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48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57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2A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5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F2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9A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8BF13">
            <w:pPr>
              <w:jc w:val="center"/>
            </w:pPr>
            <w:r>
              <w:rPr>
                <w:rFonts w:ascii="宋体" w:hAnsi="宋体" w:eastAsia="宋体"/>
                <w:sz w:val="16"/>
              </w:rPr>
              <w:t>偏差原因分析及改进措施</w:t>
            </w:r>
          </w:p>
        </w:tc>
      </w:tr>
      <w:tr w14:paraId="0B295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869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FB6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B8D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719E">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7D7B">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6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5D50">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F1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B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F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55C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59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5CF7A">
            <w:pPr>
              <w:jc w:val="center"/>
            </w:pPr>
          </w:p>
        </w:tc>
      </w:tr>
      <w:tr w14:paraId="04119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9A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7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3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ED7F">
            <w:pPr>
              <w:jc w:val="center"/>
            </w:pPr>
            <w:r>
              <w:rPr>
                <w:rFonts w:ascii="宋体" w:hAnsi="宋体" w:eastAsia="宋体"/>
                <w:sz w:val="16"/>
              </w:rPr>
              <w:t>举办培训次数（次）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A9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7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B35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4C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57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46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7DD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9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D87F">
            <w:pPr>
              <w:jc w:val="center"/>
            </w:pPr>
            <w:r>
              <w:rPr>
                <w:rFonts w:ascii="宋体" w:hAnsi="宋体" w:eastAsia="宋体"/>
                <w:sz w:val="16"/>
              </w:rPr>
              <w:t>偏差原因：工作人员对项目预算以及执行不够，</w:t>
            </w:r>
            <w:r>
              <w:rPr>
                <w:rFonts w:hint="eastAsia" w:ascii="宋体" w:hAnsi="宋体"/>
                <w:sz w:val="16"/>
                <w:lang w:eastAsia="zh-CN"/>
              </w:rPr>
              <w:t>协调性</w:t>
            </w:r>
            <w:r>
              <w:rPr>
                <w:rFonts w:ascii="宋体" w:hAnsi="宋体" w:eastAsia="宋体"/>
                <w:sz w:val="16"/>
              </w:rPr>
              <w:t>不足改进措施：加强沟通协调，完善项目绩效设置，提高相关人员业务水平。</w:t>
            </w:r>
          </w:p>
        </w:tc>
      </w:tr>
      <w:tr w14:paraId="287E9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3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10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A7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70A1">
            <w:pPr>
              <w:jc w:val="center"/>
            </w:pPr>
            <w:r>
              <w:rPr>
                <w:rFonts w:ascii="宋体" w:hAnsi="宋体" w:eastAsia="宋体"/>
                <w:sz w:val="16"/>
              </w:rPr>
              <w:t>保障办公人员数（人）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AB5B">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4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7492">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4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7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B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31C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6F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5ACBA">
            <w:pPr>
              <w:jc w:val="center"/>
            </w:pPr>
          </w:p>
        </w:tc>
      </w:tr>
      <w:tr w14:paraId="52C7E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AF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3E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B5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FC15">
            <w:pPr>
              <w:jc w:val="center"/>
            </w:pPr>
            <w:r>
              <w:rPr>
                <w:rFonts w:ascii="宋体" w:hAnsi="宋体" w:eastAsia="宋体"/>
                <w:sz w:val="16"/>
              </w:rPr>
              <w:t>开展监督检查/调研等人次数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A6AE">
            <w:pPr>
              <w:jc w:val="center"/>
            </w:pPr>
            <w:r>
              <w:rPr>
                <w:rFonts w:ascii="宋体" w:hAnsi="宋体" w:eastAsia="宋体"/>
                <w:sz w:val="16"/>
              </w:rPr>
              <w:t>&gt;=5人次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3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98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6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4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2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52CA">
            <w:pPr>
              <w:jc w:val="center"/>
            </w:pPr>
            <w:r>
              <w:rPr>
                <w:rFonts w:ascii="宋体" w:hAnsi="宋体" w:eastAsia="宋体"/>
                <w:sz w:val="16"/>
              </w:rPr>
              <w:t>=5人次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1B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ADBA0">
            <w:pPr>
              <w:jc w:val="center"/>
            </w:pPr>
          </w:p>
        </w:tc>
      </w:tr>
      <w:tr w14:paraId="4A74D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34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F1E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7D0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7263">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D5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1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4E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C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6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A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BA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CD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33BC">
            <w:pPr>
              <w:jc w:val="center"/>
            </w:pPr>
            <w:r>
              <w:rPr>
                <w:rFonts w:ascii="宋体" w:hAnsi="宋体" w:eastAsia="宋体"/>
                <w:sz w:val="16"/>
              </w:rPr>
              <w:t>偏差原因：工作人员对项目预算以及执行不够，</w:t>
            </w:r>
            <w:r>
              <w:rPr>
                <w:rFonts w:hint="eastAsia" w:ascii="宋体" w:hAnsi="宋体"/>
                <w:sz w:val="16"/>
                <w:lang w:eastAsia="zh-CN"/>
              </w:rPr>
              <w:t>协调性</w:t>
            </w:r>
            <w:r>
              <w:rPr>
                <w:rFonts w:ascii="宋体" w:hAnsi="宋体" w:eastAsia="宋体"/>
                <w:sz w:val="16"/>
              </w:rPr>
              <w:t>不足改进措施：加强沟通协调，完善项目绩效设置，提高相关人员业务水平。</w:t>
            </w:r>
          </w:p>
        </w:tc>
      </w:tr>
      <w:tr w14:paraId="75055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43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F66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BE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E0C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8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1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6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E5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7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34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9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33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335A5">
            <w:pPr>
              <w:jc w:val="center"/>
            </w:pPr>
          </w:p>
        </w:tc>
      </w:tr>
      <w:tr w14:paraId="00DE7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E4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923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63A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C1E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D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A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3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28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F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0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4B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7DF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B031">
            <w:pPr>
              <w:jc w:val="center"/>
            </w:pPr>
            <w:r>
              <w:rPr>
                <w:rFonts w:ascii="宋体" w:hAnsi="宋体" w:eastAsia="宋体"/>
                <w:sz w:val="16"/>
              </w:rPr>
              <w:t>偏差原因：工作人员对项目预算以及执行不够，</w:t>
            </w:r>
            <w:r>
              <w:rPr>
                <w:rFonts w:hint="eastAsia" w:ascii="宋体" w:hAnsi="宋体"/>
                <w:sz w:val="16"/>
                <w:lang w:eastAsia="zh-CN"/>
              </w:rPr>
              <w:t>协调性</w:t>
            </w:r>
            <w:r>
              <w:rPr>
                <w:rFonts w:ascii="宋体" w:hAnsi="宋体" w:eastAsia="宋体"/>
                <w:sz w:val="16"/>
              </w:rPr>
              <w:t>不足改进措施：加强沟通协调，完善项目绩效设置，提高相关人员业务水平。</w:t>
            </w:r>
          </w:p>
        </w:tc>
      </w:tr>
      <w:tr w14:paraId="37452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F3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C2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5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F44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F8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9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A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D1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59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B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D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E0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66FA">
            <w:pPr>
              <w:jc w:val="center"/>
            </w:pPr>
          </w:p>
        </w:tc>
      </w:tr>
      <w:tr w14:paraId="01DDB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7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F24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B4F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80DD">
            <w:pPr>
              <w:jc w:val="center"/>
            </w:pPr>
            <w:r>
              <w:rPr>
                <w:rFonts w:ascii="宋体" w:hAnsi="宋体" w:eastAsia="宋体"/>
                <w:sz w:val="16"/>
              </w:rPr>
              <w:t>车辆运行成本（万元）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2B1B">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FB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3CAD">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7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F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D0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BF93">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3F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C688">
            <w:pPr>
              <w:jc w:val="center"/>
            </w:pPr>
          </w:p>
        </w:tc>
      </w:tr>
      <w:tr w14:paraId="6CAF3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98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6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19E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FBD3">
            <w:pPr>
              <w:jc w:val="center"/>
            </w:pPr>
            <w:r>
              <w:rPr>
                <w:rFonts w:ascii="宋体" w:hAnsi="宋体" w:eastAsia="宋体"/>
                <w:sz w:val="16"/>
              </w:rPr>
              <w:t>培训宣传成本（万元）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F5A7">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7C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D601">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6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D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D1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4DF8">
            <w:pPr>
              <w:jc w:val="center"/>
            </w:pPr>
            <w:r>
              <w:rPr>
                <w:rFonts w:ascii="宋体" w:hAnsi="宋体" w:eastAsia="宋体"/>
                <w:sz w:val="16"/>
              </w:rPr>
              <w:t>=2.49万元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B41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0943C">
            <w:pPr>
              <w:jc w:val="center"/>
            </w:pPr>
            <w:r>
              <w:rPr>
                <w:rFonts w:ascii="宋体" w:hAnsi="宋体" w:eastAsia="宋体"/>
                <w:sz w:val="16"/>
              </w:rPr>
              <w:t>偏差原因：工作人员对项目预算以及执行不够，</w:t>
            </w:r>
            <w:r>
              <w:rPr>
                <w:rFonts w:hint="eastAsia" w:ascii="宋体" w:hAnsi="宋体"/>
                <w:sz w:val="16"/>
                <w:lang w:eastAsia="zh-CN"/>
              </w:rPr>
              <w:t>协调性</w:t>
            </w:r>
            <w:r>
              <w:rPr>
                <w:rFonts w:ascii="宋体" w:hAnsi="宋体" w:eastAsia="宋体"/>
                <w:sz w:val="16"/>
              </w:rPr>
              <w:t>不足改进措施：加强沟通协调，完善项目绩效设置，提高相关人员业务水平。</w:t>
            </w:r>
          </w:p>
        </w:tc>
      </w:tr>
      <w:tr w14:paraId="39326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AA1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8F14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1C2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F8CA">
            <w:pPr>
              <w:jc w:val="center"/>
            </w:pPr>
            <w:r>
              <w:rPr>
                <w:rFonts w:ascii="宋体" w:hAnsi="宋体" w:eastAsia="宋体"/>
                <w:sz w:val="16"/>
              </w:rPr>
              <w:t>保障水权水价改革工作需要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B1C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5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D9C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7C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C8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C9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A97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9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0F22">
            <w:pPr>
              <w:jc w:val="center"/>
            </w:pPr>
          </w:p>
        </w:tc>
      </w:tr>
      <w:tr w14:paraId="7F5D8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C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5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F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E61B">
            <w:pPr>
              <w:jc w:val="center"/>
            </w:pPr>
            <w:r>
              <w:rPr>
                <w:rFonts w:ascii="宋体" w:hAnsi="宋体" w:eastAsia="宋体"/>
                <w:sz w:val="16"/>
              </w:rPr>
              <w:t>水权水价综合改革工作完成率（%）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95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C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F2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A0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0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50D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CF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54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9E49">
            <w:pPr>
              <w:jc w:val="center"/>
            </w:pPr>
          </w:p>
        </w:tc>
      </w:tr>
      <w:tr w14:paraId="042AB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CE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96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DB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7B8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DB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A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7B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1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78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28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86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DB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AC02">
            <w:pPr>
              <w:jc w:val="center"/>
            </w:pPr>
          </w:p>
        </w:tc>
      </w:tr>
      <w:tr w14:paraId="315424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F1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0F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83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03609">
            <w:pPr>
              <w:jc w:val="center"/>
            </w:pPr>
            <w:r>
              <w:rPr>
                <w:rFonts w:ascii="宋体" w:hAnsi="宋体" w:eastAsia="宋体"/>
                <w:sz w:val="16"/>
              </w:rPr>
              <w:t>66.45分</w:t>
            </w:r>
          </w:p>
        </w:tc>
      </w:tr>
    </w:tbl>
    <w:p w14:paraId="380533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1B0F2ED">
        <w:tblPrEx>
          <w:tblCellMar>
            <w:top w:w="0" w:type="dxa"/>
            <w:left w:w="108" w:type="dxa"/>
            <w:bottom w:w="0" w:type="dxa"/>
            <w:right w:w="108" w:type="dxa"/>
          </w:tblCellMar>
        </w:tblPrEx>
        <w:tc>
          <w:tcPr>
            <w:tcW w:w="8848" w:type="dxa"/>
            <w:gridSpan w:val="14"/>
            <w:vAlign w:val="center"/>
          </w:tcPr>
          <w:p w14:paraId="7EB2674C">
            <w:pPr>
              <w:jc w:val="center"/>
            </w:pPr>
            <w:r>
              <w:rPr>
                <w:rFonts w:ascii="宋体" w:hAnsi="宋体" w:eastAsia="宋体"/>
                <w:sz w:val="24"/>
              </w:rPr>
              <w:t>项目支出绩效自评表</w:t>
            </w:r>
          </w:p>
        </w:tc>
      </w:tr>
      <w:tr w14:paraId="74A1A972">
        <w:tblPrEx>
          <w:tblCellMar>
            <w:top w:w="0" w:type="dxa"/>
            <w:left w:w="108" w:type="dxa"/>
            <w:bottom w:w="0" w:type="dxa"/>
            <w:right w:w="108" w:type="dxa"/>
          </w:tblCellMar>
        </w:tblPrEx>
        <w:tc>
          <w:tcPr>
            <w:tcW w:w="8848" w:type="dxa"/>
            <w:gridSpan w:val="14"/>
            <w:vAlign w:val="center"/>
          </w:tcPr>
          <w:p w14:paraId="521349FB">
            <w:pPr>
              <w:jc w:val="center"/>
            </w:pPr>
            <w:r>
              <w:rPr>
                <w:rFonts w:ascii="宋体" w:hAnsi="宋体" w:eastAsia="宋体"/>
                <w:sz w:val="24"/>
              </w:rPr>
              <w:t>(2024年度)</w:t>
            </w:r>
          </w:p>
        </w:tc>
      </w:tr>
      <w:tr w14:paraId="1A3985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0D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5488A">
            <w:pPr>
              <w:jc w:val="center"/>
            </w:pPr>
            <w:r>
              <w:rPr>
                <w:rFonts w:ascii="宋体" w:hAnsi="宋体" w:eastAsia="宋体"/>
                <w:sz w:val="16"/>
              </w:rPr>
              <w:t>工作经费</w:t>
            </w:r>
          </w:p>
        </w:tc>
      </w:tr>
      <w:tr w14:paraId="58D3F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4D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245F8">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84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D3AA5F">
            <w:pPr>
              <w:jc w:val="center"/>
            </w:pPr>
            <w:r>
              <w:rPr>
                <w:rFonts w:ascii="宋体" w:hAnsi="宋体" w:eastAsia="宋体"/>
                <w:sz w:val="16"/>
              </w:rPr>
              <w:t>克孜勒苏柯尔克孜自治州水利管理处</w:t>
            </w:r>
          </w:p>
        </w:tc>
      </w:tr>
      <w:tr w14:paraId="56E868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B8C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08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FC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CF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85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B6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7AD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3E32">
            <w:pPr>
              <w:jc w:val="center"/>
            </w:pPr>
            <w:r>
              <w:rPr>
                <w:rFonts w:ascii="宋体" w:hAnsi="宋体" w:eastAsia="宋体"/>
                <w:sz w:val="16"/>
              </w:rPr>
              <w:t>得分</w:t>
            </w:r>
          </w:p>
        </w:tc>
      </w:tr>
      <w:tr w14:paraId="4D630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98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6D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77E5F">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54D0">
            <w:pPr>
              <w:jc w:val="center"/>
            </w:pPr>
            <w:r>
              <w:rPr>
                <w:rFonts w:ascii="宋体" w:hAnsi="宋体" w:eastAsia="宋体"/>
                <w:sz w:val="16"/>
              </w:rPr>
              <w:t>10.60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087FC">
            <w:pPr>
              <w:jc w:val="center"/>
            </w:pPr>
            <w:r>
              <w:rPr>
                <w:rFonts w:ascii="宋体" w:hAnsi="宋体" w:eastAsia="宋体"/>
                <w:sz w:val="16"/>
              </w:rPr>
              <w:t>10.56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0E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6814">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0CDF">
            <w:pPr>
              <w:jc w:val="center"/>
            </w:pPr>
            <w:r>
              <w:rPr>
                <w:rFonts w:ascii="宋体" w:hAnsi="宋体" w:eastAsia="宋体"/>
                <w:sz w:val="16"/>
              </w:rPr>
              <w:t>9.91分</w:t>
            </w:r>
          </w:p>
        </w:tc>
      </w:tr>
      <w:tr w14:paraId="07407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92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6E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3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830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D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508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5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62CE">
            <w:pPr>
              <w:jc w:val="center"/>
            </w:pPr>
            <w:r>
              <w:rPr>
                <w:rFonts w:ascii="宋体" w:hAnsi="宋体" w:eastAsia="宋体"/>
                <w:sz w:val="16"/>
              </w:rPr>
              <w:t>—</w:t>
            </w:r>
          </w:p>
        </w:tc>
      </w:tr>
      <w:tr w14:paraId="08AC2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EC7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13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A636">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17AB">
            <w:pPr>
              <w:jc w:val="center"/>
            </w:pPr>
            <w:r>
              <w:rPr>
                <w:rFonts w:ascii="宋体" w:hAnsi="宋体" w:eastAsia="宋体"/>
                <w:sz w:val="16"/>
              </w:rPr>
              <w:t>10.60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8B8E0">
            <w:pPr>
              <w:jc w:val="center"/>
            </w:pPr>
            <w:r>
              <w:rPr>
                <w:rFonts w:ascii="宋体" w:hAnsi="宋体" w:eastAsia="宋体"/>
                <w:sz w:val="16"/>
              </w:rPr>
              <w:t>10.56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F0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E3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7494">
            <w:pPr>
              <w:jc w:val="center"/>
            </w:pPr>
            <w:r>
              <w:rPr>
                <w:rFonts w:ascii="宋体" w:hAnsi="宋体" w:eastAsia="宋体"/>
                <w:sz w:val="16"/>
              </w:rPr>
              <w:t>—</w:t>
            </w:r>
          </w:p>
        </w:tc>
      </w:tr>
      <w:tr w14:paraId="5C9F2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A51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177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DC3FAD">
            <w:pPr>
              <w:jc w:val="center"/>
            </w:pPr>
            <w:r>
              <w:rPr>
                <w:rFonts w:ascii="宋体" w:hAnsi="宋体" w:eastAsia="宋体"/>
                <w:sz w:val="16"/>
              </w:rPr>
              <w:t>实际完成情况</w:t>
            </w:r>
          </w:p>
        </w:tc>
      </w:tr>
      <w:tr w14:paraId="368BB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3EF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AEA99">
            <w:pPr>
              <w:jc w:val="both"/>
            </w:pPr>
            <w:r>
              <w:rPr>
                <w:rFonts w:ascii="宋体" w:hAnsi="宋体" w:eastAsia="宋体"/>
                <w:sz w:val="16"/>
              </w:rPr>
              <w:t>该项目资金10.60万元，其中：财政资金0万元，其他资金10.60万元。需完成办公用品采购8批次、保障公务用车1辆、保障单位正常的物业、水电、维修、差旅、邮电等经费，确保单位正常运行。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463E4">
            <w:pPr>
              <w:jc w:val="both"/>
            </w:pPr>
            <w:r>
              <w:rPr>
                <w:rFonts w:hint="eastAsia" w:ascii="宋体" w:hAnsi="宋体"/>
                <w:sz w:val="16"/>
                <w:lang w:eastAsia="zh-CN"/>
              </w:rPr>
              <w:t>截至</w:t>
            </w:r>
            <w:r>
              <w:rPr>
                <w:rFonts w:ascii="宋体" w:hAnsi="宋体" w:eastAsia="宋体"/>
                <w:sz w:val="16"/>
              </w:rPr>
              <w:t>2024年12月，该项目资金执行数为10.56万元。通过项目实施，保障了办公车辆1辆，保障办公人数10人，确保新办公楼搬迁装修1次，有效确保了单位的各项工作正常开展以及单位的正常运行。</w:t>
            </w:r>
          </w:p>
        </w:tc>
      </w:tr>
      <w:tr w14:paraId="569BE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DC5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6E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37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AF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AC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5F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B1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DC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47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4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F1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4F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87ED5">
            <w:pPr>
              <w:jc w:val="center"/>
            </w:pPr>
            <w:r>
              <w:rPr>
                <w:rFonts w:ascii="宋体" w:hAnsi="宋体" w:eastAsia="宋体"/>
                <w:sz w:val="16"/>
              </w:rPr>
              <w:t>偏差原因分析及改进措施</w:t>
            </w:r>
          </w:p>
        </w:tc>
      </w:tr>
      <w:tr w14:paraId="5B46AC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0D7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C7A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A8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D68C">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F27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A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ED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9E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A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6FF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A9A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E23B">
            <w:pPr>
              <w:jc w:val="center"/>
            </w:pPr>
          </w:p>
        </w:tc>
      </w:tr>
      <w:tr w14:paraId="71955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FD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64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1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3260">
            <w:pPr>
              <w:jc w:val="center"/>
            </w:pPr>
            <w:r>
              <w:rPr>
                <w:rFonts w:ascii="宋体" w:hAnsi="宋体" w:eastAsia="宋体"/>
                <w:sz w:val="16"/>
              </w:rPr>
              <w:t>保障办公人员数（人）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FFA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3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3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13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8B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B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299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0A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CB657">
            <w:pPr>
              <w:jc w:val="center"/>
            </w:pPr>
          </w:p>
        </w:tc>
      </w:tr>
      <w:tr w14:paraId="53C1D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BE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BB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A1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5644">
            <w:pPr>
              <w:jc w:val="center"/>
            </w:pPr>
            <w:r>
              <w:rPr>
                <w:rFonts w:ascii="宋体" w:hAnsi="宋体" w:eastAsia="宋体"/>
                <w:sz w:val="16"/>
              </w:rPr>
              <w:t>保障新办公室装修（次）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419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9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84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70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F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E1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2BB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4B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BA219">
            <w:pPr>
              <w:jc w:val="center"/>
            </w:pPr>
          </w:p>
        </w:tc>
      </w:tr>
      <w:tr w14:paraId="4D5F5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1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2F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88A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8A31">
            <w:pPr>
              <w:jc w:val="center"/>
            </w:pPr>
            <w:r>
              <w:rPr>
                <w:rFonts w:ascii="宋体" w:hAnsi="宋体" w:eastAsia="宋体"/>
                <w:sz w:val="16"/>
              </w:rPr>
              <w:t>办公室装修质量合格率（%）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2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E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68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FF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AF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9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6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C3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E0D0B">
            <w:pPr>
              <w:jc w:val="center"/>
            </w:pPr>
          </w:p>
        </w:tc>
      </w:tr>
      <w:tr w14:paraId="34ECD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6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DB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A9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198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C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9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2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B4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9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E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D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EC3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0033">
            <w:pPr>
              <w:jc w:val="center"/>
            </w:pPr>
          </w:p>
        </w:tc>
      </w:tr>
      <w:tr w14:paraId="248C3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3CD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134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F08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62F9">
            <w:pPr>
              <w:jc w:val="center"/>
            </w:pPr>
            <w:r>
              <w:rPr>
                <w:rFonts w:ascii="宋体" w:hAnsi="宋体" w:eastAsia="宋体"/>
                <w:sz w:val="16"/>
              </w:rPr>
              <w:t>人员成本（万元）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0E27">
            <w:pPr>
              <w:jc w:val="center"/>
            </w:pPr>
            <w:r>
              <w:rPr>
                <w:rFonts w:ascii="宋体" w:hAnsi="宋体" w:eastAsia="宋体"/>
                <w:sz w:val="16"/>
              </w:rPr>
              <w:t>&lt;=5.37万元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5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D4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22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7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18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4DEC">
            <w:pPr>
              <w:jc w:val="center"/>
            </w:pPr>
            <w:r>
              <w:rPr>
                <w:rFonts w:ascii="宋体" w:hAnsi="宋体" w:eastAsia="宋体"/>
                <w:sz w:val="16"/>
              </w:rPr>
              <w:t>=5.33万元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00FD">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FAAD9">
            <w:pPr>
              <w:jc w:val="center"/>
            </w:pPr>
            <w:r>
              <w:rPr>
                <w:rFonts w:ascii="宋体" w:hAnsi="宋体" w:eastAsia="宋体"/>
                <w:sz w:val="16"/>
              </w:rPr>
              <w:t>偏差原因：项目绩效设置与实际执行有误差，财务人员能力不足。改进措施：加强财务人员的相关工作能力，完善项目绩效与执行之间的沟通协调。</w:t>
            </w:r>
          </w:p>
        </w:tc>
      </w:tr>
      <w:tr w14:paraId="28570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5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87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FE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45C9">
            <w:pPr>
              <w:jc w:val="center"/>
            </w:pPr>
            <w:r>
              <w:rPr>
                <w:rFonts w:ascii="宋体" w:hAnsi="宋体" w:eastAsia="宋体"/>
                <w:sz w:val="16"/>
              </w:rPr>
              <w:t>车辆运行成本（万元）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6572">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5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7B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41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7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EC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B3AB">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44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28D24">
            <w:pPr>
              <w:jc w:val="center"/>
            </w:pPr>
          </w:p>
        </w:tc>
      </w:tr>
      <w:tr w14:paraId="4D93C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60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19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35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BE85">
            <w:pPr>
              <w:jc w:val="center"/>
            </w:pPr>
            <w:r>
              <w:rPr>
                <w:rFonts w:ascii="宋体" w:hAnsi="宋体" w:eastAsia="宋体"/>
                <w:sz w:val="16"/>
              </w:rPr>
              <w:t>办公楼装修成本（万元）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ED3D">
            <w:pPr>
              <w:jc w:val="center"/>
            </w:pPr>
            <w:r>
              <w:rPr>
                <w:rFonts w:ascii="宋体" w:hAnsi="宋体" w:eastAsia="宋体"/>
                <w:sz w:val="16"/>
              </w:rPr>
              <w:t>&lt;=5.01万元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1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4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73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0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EC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BCE5">
            <w:pPr>
              <w:jc w:val="center"/>
            </w:pPr>
            <w:r>
              <w:rPr>
                <w:rFonts w:ascii="宋体" w:hAnsi="宋体" w:eastAsia="宋体"/>
                <w:sz w:val="16"/>
              </w:rPr>
              <w:t>=5.01万元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36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DF6AD">
            <w:pPr>
              <w:jc w:val="center"/>
            </w:pPr>
          </w:p>
        </w:tc>
      </w:tr>
      <w:tr w14:paraId="4084D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B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39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A3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5D3D">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9AA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3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2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AA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2B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A0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D15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6D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153E">
            <w:pPr>
              <w:jc w:val="center"/>
            </w:pPr>
          </w:p>
        </w:tc>
      </w:tr>
      <w:tr w14:paraId="4A364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CA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6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00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74B5">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98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F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4F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A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7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4E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D4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BB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BDD0">
            <w:pPr>
              <w:jc w:val="center"/>
            </w:pPr>
          </w:p>
        </w:tc>
      </w:tr>
      <w:tr w14:paraId="7F7E3F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19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04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0B3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E04DA">
            <w:pPr>
              <w:jc w:val="center"/>
            </w:pPr>
            <w:r>
              <w:rPr>
                <w:rFonts w:ascii="宋体" w:hAnsi="宋体" w:eastAsia="宋体"/>
                <w:sz w:val="16"/>
              </w:rPr>
              <w:t>99.78分</w:t>
            </w:r>
          </w:p>
        </w:tc>
      </w:tr>
    </w:tbl>
    <w:p w14:paraId="08F7E34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856"/>
        <w:gridCol w:w="696"/>
        <w:gridCol w:w="625"/>
        <w:gridCol w:w="625"/>
        <w:gridCol w:w="625"/>
        <w:gridCol w:w="625"/>
        <w:gridCol w:w="625"/>
        <w:gridCol w:w="632"/>
        <w:gridCol w:w="631"/>
        <w:gridCol w:w="614"/>
        <w:gridCol w:w="629"/>
      </w:tblGrid>
      <w:tr w14:paraId="1CAEC9AC">
        <w:tblPrEx>
          <w:tblCellMar>
            <w:top w:w="0" w:type="dxa"/>
            <w:left w:w="108" w:type="dxa"/>
            <w:bottom w:w="0" w:type="dxa"/>
            <w:right w:w="108" w:type="dxa"/>
          </w:tblCellMar>
        </w:tblPrEx>
        <w:tc>
          <w:tcPr>
            <w:tcW w:w="8848" w:type="dxa"/>
            <w:gridSpan w:val="14"/>
            <w:vAlign w:val="center"/>
          </w:tcPr>
          <w:p w14:paraId="45AA76B2">
            <w:pPr>
              <w:jc w:val="center"/>
            </w:pPr>
            <w:r>
              <w:rPr>
                <w:rFonts w:ascii="宋体" w:hAnsi="宋体" w:eastAsia="宋体"/>
                <w:sz w:val="24"/>
              </w:rPr>
              <w:t>项目支出绩效自评表</w:t>
            </w:r>
          </w:p>
        </w:tc>
      </w:tr>
      <w:tr w14:paraId="17F50F3A">
        <w:tblPrEx>
          <w:tblCellMar>
            <w:top w:w="0" w:type="dxa"/>
            <w:left w:w="108" w:type="dxa"/>
            <w:bottom w:w="0" w:type="dxa"/>
            <w:right w:w="108" w:type="dxa"/>
          </w:tblCellMar>
        </w:tblPrEx>
        <w:tc>
          <w:tcPr>
            <w:tcW w:w="8848" w:type="dxa"/>
            <w:gridSpan w:val="14"/>
            <w:vAlign w:val="center"/>
          </w:tcPr>
          <w:p w14:paraId="04434E17">
            <w:pPr>
              <w:jc w:val="center"/>
            </w:pPr>
            <w:r>
              <w:rPr>
                <w:rFonts w:ascii="宋体" w:hAnsi="宋体" w:eastAsia="宋体"/>
                <w:sz w:val="24"/>
              </w:rPr>
              <w:t>(2024年度)</w:t>
            </w:r>
          </w:p>
        </w:tc>
      </w:tr>
      <w:tr w14:paraId="07FBC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2F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D91FC5">
            <w:pPr>
              <w:jc w:val="center"/>
            </w:pPr>
            <w:r>
              <w:rPr>
                <w:rFonts w:ascii="宋体" w:hAnsi="宋体" w:eastAsia="宋体"/>
                <w:sz w:val="16"/>
              </w:rPr>
              <w:t>水利工程安全隐患排查工作经费</w:t>
            </w:r>
          </w:p>
        </w:tc>
      </w:tr>
      <w:tr w14:paraId="258248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20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20866">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FC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0C56E6">
            <w:pPr>
              <w:jc w:val="center"/>
            </w:pPr>
            <w:r>
              <w:rPr>
                <w:rFonts w:ascii="宋体" w:hAnsi="宋体" w:eastAsia="宋体"/>
                <w:sz w:val="16"/>
              </w:rPr>
              <w:t>克孜勒苏柯尔克孜自治州水利管理处</w:t>
            </w:r>
          </w:p>
        </w:tc>
      </w:tr>
      <w:tr w14:paraId="540386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ECC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1C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A41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27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3D1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859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C3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1EAC">
            <w:pPr>
              <w:jc w:val="center"/>
            </w:pPr>
            <w:r>
              <w:rPr>
                <w:rFonts w:ascii="宋体" w:hAnsi="宋体" w:eastAsia="宋体"/>
                <w:sz w:val="16"/>
              </w:rPr>
              <w:t>得分</w:t>
            </w:r>
          </w:p>
        </w:tc>
      </w:tr>
      <w:tr w14:paraId="51815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D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CD8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CF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BE6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ED25">
            <w:pPr>
              <w:jc w:val="center"/>
            </w:pPr>
            <w:r>
              <w:rPr>
                <w:rFonts w:ascii="宋体" w:hAnsi="宋体" w:eastAsia="宋体"/>
                <w:sz w:val="16"/>
              </w:rPr>
              <w:t>4.93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5B9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96FD">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CAC2">
            <w:pPr>
              <w:jc w:val="center"/>
            </w:pPr>
            <w:r>
              <w:rPr>
                <w:rFonts w:ascii="宋体" w:hAnsi="宋体" w:eastAsia="宋体"/>
                <w:sz w:val="16"/>
              </w:rPr>
              <w:t>9.65分</w:t>
            </w:r>
          </w:p>
        </w:tc>
      </w:tr>
      <w:tr w14:paraId="5B61E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B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A7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9C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E985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0131">
            <w:pPr>
              <w:jc w:val="center"/>
            </w:pPr>
            <w:r>
              <w:rPr>
                <w:rFonts w:ascii="宋体" w:hAnsi="宋体" w:eastAsia="宋体"/>
                <w:sz w:val="16"/>
              </w:rPr>
              <w:t>4.93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25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FE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AB9A">
            <w:pPr>
              <w:jc w:val="center"/>
            </w:pPr>
            <w:r>
              <w:rPr>
                <w:rFonts w:ascii="宋体" w:hAnsi="宋体" w:eastAsia="宋体"/>
                <w:sz w:val="16"/>
              </w:rPr>
              <w:t>—</w:t>
            </w:r>
          </w:p>
        </w:tc>
      </w:tr>
      <w:tr w14:paraId="1D6E2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750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C1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05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A14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2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F7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3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1FA8">
            <w:pPr>
              <w:jc w:val="center"/>
            </w:pPr>
            <w:r>
              <w:rPr>
                <w:rFonts w:ascii="宋体" w:hAnsi="宋体" w:eastAsia="宋体"/>
                <w:sz w:val="16"/>
              </w:rPr>
              <w:t>—</w:t>
            </w:r>
          </w:p>
        </w:tc>
      </w:tr>
      <w:tr w14:paraId="227D3B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284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5BB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B55E5">
            <w:pPr>
              <w:jc w:val="center"/>
            </w:pPr>
            <w:r>
              <w:rPr>
                <w:rFonts w:ascii="宋体" w:hAnsi="宋体" w:eastAsia="宋体"/>
                <w:sz w:val="16"/>
              </w:rPr>
              <w:t>实际完成情况</w:t>
            </w:r>
          </w:p>
        </w:tc>
      </w:tr>
      <w:tr w14:paraId="5E670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3FE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DB315">
            <w:pPr>
              <w:jc w:val="both"/>
            </w:pPr>
            <w:r>
              <w:rPr>
                <w:rFonts w:ascii="宋体" w:hAnsi="宋体" w:eastAsia="宋体"/>
                <w:sz w:val="16"/>
              </w:rPr>
              <w:t>该项目总投资5万元，其中：财政资金5万元，其他资金0万元，主要2024年在克州三县一市开展常态化水利工程安全隐患排查工作，达到消除水利工程运行管理存在的隐患和薄弱环节，防范</w:t>
            </w:r>
            <w:bookmarkStart w:id="0" w:name="_GoBack"/>
            <w:r>
              <w:rPr>
                <w:rFonts w:ascii="宋体" w:hAnsi="宋体" w:eastAsia="宋体"/>
                <w:sz w:val="16"/>
              </w:rPr>
              <w:t>化解</w:t>
            </w:r>
            <w:bookmarkEnd w:id="0"/>
            <w:r>
              <w:rPr>
                <w:rFonts w:ascii="宋体" w:hAnsi="宋体" w:eastAsia="宋体"/>
                <w:sz w:val="16"/>
              </w:rPr>
              <w:t>重大风险隐患，确保人民群众生命财产效果。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29804">
            <w:pPr>
              <w:jc w:val="both"/>
            </w:pPr>
            <w:r>
              <w:rPr>
                <w:rFonts w:hint="eastAsia" w:ascii="宋体" w:hAnsi="宋体"/>
                <w:sz w:val="16"/>
                <w:lang w:eastAsia="zh-CN"/>
              </w:rPr>
              <w:t>截至</w:t>
            </w:r>
            <w:r>
              <w:rPr>
                <w:rFonts w:ascii="宋体" w:hAnsi="宋体" w:eastAsia="宋体"/>
                <w:sz w:val="16"/>
              </w:rPr>
              <w:t>2024年12月，该项目资金执行数为4.93万元，通过项目实施，保障了车辆1辆，保障办公人数4人，购买办公用品3批次，开展常态化安全隐患排查4次，有效完成了2024年常态化水利工程安全隐患排查工作。</w:t>
            </w:r>
          </w:p>
        </w:tc>
      </w:tr>
      <w:tr w14:paraId="66E720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FF9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AC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9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70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D6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7C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3B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5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22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B8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8B6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EC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45EA">
            <w:pPr>
              <w:jc w:val="center"/>
            </w:pPr>
            <w:r>
              <w:rPr>
                <w:rFonts w:ascii="宋体" w:hAnsi="宋体" w:eastAsia="宋体"/>
                <w:sz w:val="16"/>
              </w:rPr>
              <w:t>偏差原因分析及改进措施</w:t>
            </w:r>
          </w:p>
        </w:tc>
      </w:tr>
      <w:tr w14:paraId="4EBD1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56A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891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61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3979">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74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2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A0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00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0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F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A4E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77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4B6A">
            <w:pPr>
              <w:jc w:val="center"/>
            </w:pPr>
          </w:p>
        </w:tc>
      </w:tr>
      <w:tr w14:paraId="700C5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CE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61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8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B9F8">
            <w:pPr>
              <w:jc w:val="center"/>
            </w:pPr>
            <w:r>
              <w:rPr>
                <w:rFonts w:ascii="宋体" w:hAnsi="宋体" w:eastAsia="宋体"/>
                <w:sz w:val="16"/>
              </w:rPr>
              <w:t>开展水利工程安全检查次数(次)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3E1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0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96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C9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0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4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F82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C8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5F790">
            <w:pPr>
              <w:jc w:val="center"/>
            </w:pPr>
          </w:p>
        </w:tc>
      </w:tr>
      <w:tr w14:paraId="2B516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E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A5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B47E">
            <w:pPr>
              <w:jc w:val="center"/>
            </w:pPr>
            <w:r>
              <w:rPr>
                <w:rFonts w:ascii="宋体" w:hAnsi="宋体" w:eastAsia="宋体"/>
                <w:sz w:val="16"/>
              </w:rPr>
              <w:t>保障办公人员数（人）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2DFD">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0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8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A4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42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A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CF6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E4B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0C3C">
            <w:pPr>
              <w:jc w:val="center"/>
            </w:pPr>
          </w:p>
        </w:tc>
      </w:tr>
      <w:tr w14:paraId="5D803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F8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F9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A01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0441">
            <w:pPr>
              <w:jc w:val="center"/>
            </w:pPr>
            <w:r>
              <w:rPr>
                <w:rFonts w:ascii="宋体" w:hAnsi="宋体" w:eastAsia="宋体"/>
                <w:sz w:val="16"/>
              </w:rPr>
              <w:t>购买办公用品次数（次）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2CD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5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1B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2F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0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61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09F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2AC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10B4">
            <w:pPr>
              <w:jc w:val="center"/>
            </w:pPr>
          </w:p>
        </w:tc>
      </w:tr>
      <w:tr w14:paraId="438BA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BC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27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6D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7735">
            <w:pPr>
              <w:jc w:val="center"/>
            </w:pPr>
            <w:r>
              <w:rPr>
                <w:rFonts w:ascii="宋体" w:hAnsi="宋体" w:eastAsia="宋体"/>
                <w:sz w:val="16"/>
              </w:rPr>
              <w:t>水利安全生产监管工作考核单位数量（个））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4EB5">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D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67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0A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0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2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69A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38C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3E3A3">
            <w:pPr>
              <w:jc w:val="center"/>
            </w:pPr>
          </w:p>
        </w:tc>
      </w:tr>
      <w:tr w14:paraId="69715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BA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C1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A64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BB89">
            <w:pPr>
              <w:jc w:val="center"/>
            </w:pPr>
            <w:r>
              <w:rPr>
                <w:rFonts w:ascii="宋体" w:hAnsi="宋体" w:eastAsia="宋体"/>
                <w:sz w:val="16"/>
              </w:rPr>
              <w:t>安全检查覆盖率（%）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E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4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22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E4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9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C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3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BC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7E43D">
            <w:pPr>
              <w:jc w:val="center"/>
            </w:pPr>
          </w:p>
        </w:tc>
      </w:tr>
      <w:tr w14:paraId="4E644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C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A1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2E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1DA6">
            <w:pPr>
              <w:jc w:val="center"/>
            </w:pPr>
            <w:r>
              <w:rPr>
                <w:rFonts w:ascii="宋体" w:hAnsi="宋体" w:eastAsia="宋体"/>
                <w:sz w:val="16"/>
              </w:rPr>
              <w:t>购置办公用品质量验收合格率（%）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B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7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D1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9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7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9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FA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84B39">
            <w:pPr>
              <w:jc w:val="center"/>
            </w:pPr>
          </w:p>
        </w:tc>
      </w:tr>
      <w:tr w14:paraId="785FA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4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2A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E85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B58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9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D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8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92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F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6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6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1C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F9E6">
            <w:pPr>
              <w:jc w:val="center"/>
            </w:pPr>
          </w:p>
        </w:tc>
      </w:tr>
      <w:tr w14:paraId="70074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43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A60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0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7E4A">
            <w:pPr>
              <w:jc w:val="center"/>
            </w:pPr>
            <w:r>
              <w:rPr>
                <w:rFonts w:ascii="宋体" w:hAnsi="宋体" w:eastAsia="宋体"/>
                <w:sz w:val="16"/>
              </w:rPr>
              <w:t>安全检查及时率（%）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6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3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F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A7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F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C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2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C9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7137">
            <w:pPr>
              <w:jc w:val="center"/>
            </w:pPr>
          </w:p>
        </w:tc>
      </w:tr>
      <w:tr w14:paraId="45341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5C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931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FA7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BBF6">
            <w:pPr>
              <w:jc w:val="center"/>
            </w:pPr>
            <w:r>
              <w:rPr>
                <w:rFonts w:ascii="宋体" w:hAnsi="宋体" w:eastAsia="宋体"/>
                <w:sz w:val="16"/>
              </w:rPr>
              <w:t>车辆运行成本（万元）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6F31">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75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24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F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E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34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57B1">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14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9A8B">
            <w:pPr>
              <w:jc w:val="center"/>
            </w:pPr>
          </w:p>
        </w:tc>
      </w:tr>
      <w:tr w14:paraId="1E444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4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F4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48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C64F">
            <w:pPr>
              <w:jc w:val="center"/>
            </w:pPr>
            <w:r>
              <w:rPr>
                <w:rFonts w:ascii="宋体" w:hAnsi="宋体" w:eastAsia="宋体"/>
                <w:sz w:val="16"/>
              </w:rPr>
              <w:t>水利工程安全隐患排查成本(万元)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2C89">
            <w:pPr>
              <w:jc w:val="center"/>
            </w:pPr>
            <w:r>
              <w:rPr>
                <w:rFonts w:ascii="宋体" w:hAnsi="宋体" w:eastAsia="宋体"/>
                <w:sz w:val="16"/>
              </w:rPr>
              <w:t>&lt;=4.30万元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ED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9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A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A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65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4484">
            <w:pPr>
              <w:jc w:val="center"/>
            </w:pPr>
            <w:r>
              <w:rPr>
                <w:rFonts w:ascii="宋体" w:hAnsi="宋体" w:eastAsia="宋体"/>
                <w:sz w:val="16"/>
              </w:rPr>
              <w: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8537">
            <w:pPr>
              <w:jc w:val="center"/>
            </w:pPr>
            <w:r>
              <w:rPr>
                <w:rFonts w:ascii="宋体" w:hAnsi="宋体" w:eastAsia="宋体"/>
                <w:sz w:val="16"/>
              </w:rPr>
              <w:t>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20A2">
            <w:pPr>
              <w:jc w:val="center"/>
            </w:pPr>
            <w:r>
              <w:rPr>
                <w:rFonts w:ascii="宋体" w:hAnsi="宋体" w:eastAsia="宋体"/>
                <w:sz w:val="16"/>
              </w:rPr>
              <w:t>偏差原因：项目执行人员以及财务人员对项目绩效设置沟通较少，实际执行力不够。改进措施：加强相关工作人员的沟通以及协调，提高业务水平。</w:t>
            </w:r>
          </w:p>
        </w:tc>
      </w:tr>
      <w:tr w14:paraId="1527D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35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B0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9B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2C9C">
            <w:pPr>
              <w:jc w:val="center"/>
            </w:pPr>
            <w:r>
              <w:rPr>
                <w:rFonts w:ascii="宋体" w:hAnsi="宋体" w:eastAsia="宋体"/>
                <w:sz w:val="16"/>
              </w:rPr>
              <w:t>保障工作情况需要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FDE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6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93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F8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09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BA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20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78C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CEF3">
            <w:pPr>
              <w:jc w:val="center"/>
            </w:pPr>
            <w:r>
              <w:rPr>
                <w:rFonts w:ascii="宋体" w:hAnsi="宋体" w:eastAsia="宋体"/>
                <w:sz w:val="16"/>
              </w:rPr>
              <w:t>偏差原因：项目执行人员以及财务人员对项目绩效设置沟通较少，实际执行力不够。改进措施：加强相关工作人员的沟通以及协调，提高业务水平。</w:t>
            </w:r>
          </w:p>
        </w:tc>
      </w:tr>
      <w:tr w14:paraId="2079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7C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52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5E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67C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E1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3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6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1E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21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5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14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4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90A7">
            <w:pPr>
              <w:jc w:val="center"/>
            </w:pPr>
          </w:p>
        </w:tc>
      </w:tr>
      <w:tr w14:paraId="4E5D8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F1E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9D0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410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8C4BE">
            <w:pPr>
              <w:jc w:val="center"/>
            </w:pPr>
            <w:r>
              <w:rPr>
                <w:rFonts w:ascii="宋体" w:hAnsi="宋体" w:eastAsia="宋体"/>
                <w:sz w:val="16"/>
              </w:rPr>
              <w:t>99.24分</w:t>
            </w:r>
          </w:p>
        </w:tc>
      </w:tr>
    </w:tbl>
    <w:p w14:paraId="5B01923A">
      <w:r>
        <w:br w:type="page"/>
      </w:r>
    </w:p>
    <w:p w14:paraId="7828E073">
      <w:pPr>
        <w:spacing w:line="640" w:lineRule="exact"/>
        <w:ind w:firstLine="640"/>
        <w:jc w:val="both"/>
        <w:outlineLvl w:val="2"/>
      </w:pPr>
      <w:r>
        <w:rPr>
          <w:rFonts w:ascii="黑体" w:hAnsi="黑体" w:eastAsia="黑体"/>
          <w:sz w:val="32"/>
        </w:rPr>
        <w:t>十二、其他需说明的事项</w:t>
      </w:r>
    </w:p>
    <w:p w14:paraId="713EF613">
      <w:pPr>
        <w:spacing w:line="580" w:lineRule="exact"/>
        <w:ind w:firstLine="640"/>
        <w:jc w:val="both"/>
      </w:pPr>
      <w:r>
        <w:rPr>
          <w:rFonts w:ascii="仿宋_GB2312" w:hAnsi="仿宋_GB2312" w:eastAsia="仿宋_GB2312"/>
          <w:b w:val="0"/>
          <w:sz w:val="32"/>
        </w:rPr>
        <w:t>本单位无其他需说明的事项。</w:t>
      </w:r>
    </w:p>
    <w:p w14:paraId="27C2F5B0">
      <w:r>
        <w:br w:type="page"/>
      </w:r>
    </w:p>
    <w:p w14:paraId="304DF09A">
      <w:pPr>
        <w:spacing w:line="240" w:lineRule="auto"/>
        <w:jc w:val="center"/>
        <w:outlineLvl w:val="1"/>
      </w:pPr>
      <w:r>
        <w:rPr>
          <w:rFonts w:ascii="黑体" w:hAnsi="黑体" w:eastAsia="黑体"/>
          <w:sz w:val="32"/>
        </w:rPr>
        <w:t>第三部分 专业名词解释</w:t>
      </w:r>
    </w:p>
    <w:p w14:paraId="5F60803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9207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240D8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6F18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417F0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2FB29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F133B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7DE3A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6AC4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7041B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4E373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F26A5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FD2E4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954F5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FA3CFA">
      <w:r>
        <w:br w:type="page"/>
      </w:r>
    </w:p>
    <w:p w14:paraId="2D1B45E2">
      <w:pPr>
        <w:spacing w:line="240" w:lineRule="auto"/>
        <w:jc w:val="center"/>
        <w:outlineLvl w:val="1"/>
      </w:pPr>
      <w:r>
        <w:rPr>
          <w:rFonts w:ascii="黑体" w:hAnsi="黑体" w:eastAsia="黑体"/>
          <w:sz w:val="32"/>
        </w:rPr>
        <w:t>第四部分 部门决算报表（见附表）</w:t>
      </w:r>
    </w:p>
    <w:p w14:paraId="3DC4FDA3">
      <w:pPr>
        <w:spacing w:line="240" w:lineRule="auto"/>
        <w:ind w:firstLine="640"/>
        <w:jc w:val="both"/>
      </w:pPr>
      <w:r>
        <w:rPr>
          <w:rFonts w:ascii="仿宋_GB2312" w:hAnsi="仿宋_GB2312" w:eastAsia="仿宋_GB2312"/>
          <w:b w:val="0"/>
          <w:sz w:val="32"/>
        </w:rPr>
        <w:t>一、《收入支出决算总表》</w:t>
      </w:r>
    </w:p>
    <w:p w14:paraId="0CC32491">
      <w:pPr>
        <w:spacing w:line="240" w:lineRule="auto"/>
        <w:ind w:firstLine="640"/>
        <w:jc w:val="both"/>
      </w:pPr>
      <w:r>
        <w:rPr>
          <w:rFonts w:ascii="仿宋_GB2312" w:hAnsi="仿宋_GB2312" w:eastAsia="仿宋_GB2312"/>
          <w:b w:val="0"/>
          <w:sz w:val="32"/>
        </w:rPr>
        <w:t>二、《收入决算表》</w:t>
      </w:r>
    </w:p>
    <w:p w14:paraId="566C6BC5">
      <w:pPr>
        <w:spacing w:line="240" w:lineRule="auto"/>
        <w:ind w:firstLine="640"/>
        <w:jc w:val="both"/>
      </w:pPr>
      <w:r>
        <w:rPr>
          <w:rFonts w:ascii="仿宋_GB2312" w:hAnsi="仿宋_GB2312" w:eastAsia="仿宋_GB2312"/>
          <w:b w:val="0"/>
          <w:sz w:val="32"/>
        </w:rPr>
        <w:t>三、《支出决算表》</w:t>
      </w:r>
    </w:p>
    <w:p w14:paraId="6DF6271D">
      <w:pPr>
        <w:spacing w:line="240" w:lineRule="auto"/>
        <w:ind w:firstLine="640"/>
        <w:jc w:val="both"/>
      </w:pPr>
      <w:r>
        <w:rPr>
          <w:rFonts w:ascii="仿宋_GB2312" w:hAnsi="仿宋_GB2312" w:eastAsia="仿宋_GB2312"/>
          <w:b w:val="0"/>
          <w:sz w:val="32"/>
        </w:rPr>
        <w:t>四、《财政拨款收入支出决算总表》</w:t>
      </w:r>
    </w:p>
    <w:p w14:paraId="305AB15A">
      <w:pPr>
        <w:spacing w:line="240" w:lineRule="auto"/>
        <w:ind w:firstLine="640"/>
        <w:jc w:val="both"/>
      </w:pPr>
      <w:r>
        <w:rPr>
          <w:rFonts w:ascii="仿宋_GB2312" w:hAnsi="仿宋_GB2312" w:eastAsia="仿宋_GB2312"/>
          <w:b w:val="0"/>
          <w:sz w:val="32"/>
        </w:rPr>
        <w:t>五、《一般公共预算财政拨款支出决算表》</w:t>
      </w:r>
    </w:p>
    <w:p w14:paraId="4CF574B1">
      <w:pPr>
        <w:spacing w:line="240" w:lineRule="auto"/>
        <w:ind w:firstLine="640"/>
        <w:jc w:val="both"/>
      </w:pPr>
      <w:r>
        <w:rPr>
          <w:rFonts w:ascii="仿宋_GB2312" w:hAnsi="仿宋_GB2312" w:eastAsia="仿宋_GB2312"/>
          <w:b w:val="0"/>
          <w:sz w:val="32"/>
        </w:rPr>
        <w:t>六、《一般公共预算财政拨款基本支出决算表》</w:t>
      </w:r>
    </w:p>
    <w:p w14:paraId="2E3F9009">
      <w:pPr>
        <w:spacing w:line="240" w:lineRule="auto"/>
        <w:ind w:firstLine="640"/>
        <w:jc w:val="both"/>
      </w:pPr>
      <w:r>
        <w:rPr>
          <w:rFonts w:ascii="仿宋_GB2312" w:hAnsi="仿宋_GB2312" w:eastAsia="仿宋_GB2312"/>
          <w:b w:val="0"/>
          <w:sz w:val="32"/>
        </w:rPr>
        <w:t>七、《政府性基金预算财政拨款收入支出决算表》</w:t>
      </w:r>
    </w:p>
    <w:p w14:paraId="1802C1EA">
      <w:pPr>
        <w:spacing w:line="240" w:lineRule="auto"/>
        <w:ind w:firstLine="640"/>
        <w:jc w:val="both"/>
      </w:pPr>
      <w:r>
        <w:rPr>
          <w:rFonts w:ascii="仿宋_GB2312" w:hAnsi="仿宋_GB2312" w:eastAsia="仿宋_GB2312"/>
          <w:b w:val="0"/>
          <w:sz w:val="32"/>
        </w:rPr>
        <w:t>八、《国有资本经营预算财政拨款收入支出决算表》</w:t>
      </w:r>
    </w:p>
    <w:p w14:paraId="0E1A132F">
      <w:pPr>
        <w:spacing w:line="240" w:lineRule="auto"/>
        <w:ind w:firstLine="640"/>
        <w:jc w:val="both"/>
      </w:pPr>
      <w:r>
        <w:rPr>
          <w:rFonts w:ascii="仿宋_GB2312" w:hAnsi="仿宋_GB2312" w:eastAsia="仿宋_GB2312"/>
          <w:b w:val="0"/>
          <w:sz w:val="32"/>
        </w:rPr>
        <w:t>九、《财政拨款“三公”经费支出决算表》</w:t>
      </w:r>
    </w:p>
    <w:p w14:paraId="03400588">
      <w:pPr>
        <w:spacing w:line="240" w:lineRule="auto"/>
        <w:ind w:firstLine="640"/>
        <w:jc w:val="both"/>
      </w:pPr>
    </w:p>
    <w:p w14:paraId="074FACC9">
      <w:pPr>
        <w:spacing w:line="240" w:lineRule="auto"/>
        <w:ind w:firstLine="640"/>
        <w:jc w:val="both"/>
      </w:pPr>
    </w:p>
    <w:p w14:paraId="2AD1731E">
      <w:pPr>
        <w:spacing w:line="240" w:lineRule="auto"/>
        <w:ind w:firstLine="640"/>
        <w:jc w:val="both"/>
      </w:pPr>
    </w:p>
    <w:p w14:paraId="704716CF">
      <w:pPr>
        <w:spacing w:line="240" w:lineRule="auto"/>
        <w:ind w:firstLine="640"/>
        <w:jc w:val="both"/>
      </w:pPr>
    </w:p>
    <w:p w14:paraId="38BD3F8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527FCC-F137-44AF-8814-6AD8501761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0F69091-757B-4ECF-90E6-7A749D9E24CC}"/>
  </w:font>
  <w:font w:name="仿宋_GB2312">
    <w:panose1 w:val="02010609030101010101"/>
    <w:charset w:val="86"/>
    <w:family w:val="modern"/>
    <w:pitch w:val="default"/>
    <w:sig w:usb0="00000001" w:usb1="080E0000" w:usb2="00000000" w:usb3="00000000" w:csb0="00040000" w:csb1="00000000"/>
    <w:embedRegular r:id="rId3" w:fontKey="{ED32E80C-DCE3-43B7-8EF6-10434F686C8E}"/>
  </w:font>
  <w:font w:name="楷体_GB2312">
    <w:panose1 w:val="02010609030101010101"/>
    <w:charset w:val="86"/>
    <w:family w:val="auto"/>
    <w:pitch w:val="default"/>
    <w:sig w:usb0="00000001" w:usb1="080E0000" w:usb2="00000000" w:usb3="00000000" w:csb0="00040000" w:csb1="00000000"/>
    <w:embedRegular r:id="rId4" w:fontKey="{F79CB847-8F4F-411C-A5C5-08455B260C5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F615D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554D7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4238</Words>
  <Characters>4838</Characters>
  <Lines>0</Lines>
  <Paragraphs>0</Paragraphs>
  <TotalTime>4</TotalTime>
  <ScaleCrop>false</ScaleCrop>
  <LinksUpToDate>false</LinksUpToDate>
  <CharactersWithSpaces>4846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