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克孜勒苏柯尔克孜自治州人工影响天气工作办公室2024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0C04F1">
      <w:r>
        <w:br w:type="page"/>
      </w:r>
    </w:p>
    <w:p w14:paraId="63DB315C">
      <w:pPr>
        <w:spacing w:line="640" w:lineRule="exact"/>
        <w:jc w:val="center"/>
        <w:outlineLvl w:val="1"/>
      </w:pPr>
      <w:r>
        <w:rPr>
          <w:rFonts w:ascii="黑体" w:hAnsi="黑体" w:eastAsia="黑体"/>
          <w:sz w:val="32"/>
        </w:rPr>
        <w:t>第一部分 单位概况</w:t>
      </w:r>
    </w:p>
    <w:p w14:paraId="554A6CBF">
      <w:pPr>
        <w:spacing w:line="640" w:lineRule="exact"/>
        <w:ind w:firstLine="640"/>
        <w:jc w:val="both"/>
        <w:outlineLvl w:val="2"/>
      </w:pPr>
      <w:r>
        <w:rPr>
          <w:rFonts w:ascii="黑体" w:hAnsi="黑体" w:eastAsia="黑体"/>
          <w:sz w:val="32"/>
        </w:rPr>
        <w:t>一、主要职能</w:t>
      </w:r>
    </w:p>
    <w:p w14:paraId="787ADFC9">
      <w:pPr>
        <w:spacing w:line="580" w:lineRule="exact"/>
        <w:ind w:firstLine="640"/>
        <w:jc w:val="both"/>
      </w:pPr>
      <w:r>
        <w:rPr>
          <w:rFonts w:ascii="仿宋_GB2312" w:hAnsi="仿宋_GB2312" w:eastAsia="仿宋_GB2312"/>
          <w:sz w:val="32"/>
        </w:rPr>
        <w:t>克州人工影响天气工作办公室的工作职责主要是拟定全州人工影响天气工作（以下简称人影工作）发展规划、编制实施细则、技术规范、审定作业计划、作业空域申报、统一调拨作业设备、炮弹并组织年检，统计人工增雨（雪）</w:t>
      </w:r>
      <w:bookmarkStart w:id="0" w:name="_GoBack"/>
      <w:bookmarkEnd w:id="0"/>
      <w:r>
        <w:rPr>
          <w:rFonts w:ascii="仿宋_GB2312" w:hAnsi="仿宋_GB2312" w:eastAsia="仿宋_GB2312"/>
          <w:sz w:val="32"/>
        </w:rPr>
        <w:t>和人工防雹作业情况并进行效益评估，组织、协调、指挥和管理各作业点实施人影作业，技术培训作业队伍，并承担人影工作的科学研究及新技术新项目的开发利用等工作，同时承担自治区人影办交办的其他工作任务。</w:t>
      </w:r>
    </w:p>
    <w:p w14:paraId="36B113AF">
      <w:pPr>
        <w:spacing w:line="640" w:lineRule="exact"/>
        <w:ind w:firstLine="640"/>
        <w:jc w:val="both"/>
        <w:outlineLvl w:val="2"/>
      </w:pPr>
      <w:r>
        <w:rPr>
          <w:rFonts w:ascii="黑体" w:hAnsi="黑体" w:eastAsia="黑体"/>
          <w:sz w:val="32"/>
        </w:rPr>
        <w:t>二、机构设置及人员情况</w:t>
      </w:r>
    </w:p>
    <w:p w14:paraId="5E958348">
      <w:pPr>
        <w:spacing w:line="580" w:lineRule="exact"/>
        <w:ind w:firstLine="640"/>
        <w:jc w:val="both"/>
      </w:pPr>
      <w:r>
        <w:rPr>
          <w:rFonts w:ascii="仿宋_GB2312" w:hAnsi="仿宋_GB2312" w:eastAsia="仿宋_GB2312"/>
          <w:sz w:val="32"/>
        </w:rPr>
        <w:t>克孜勒苏柯尔克孜自治州人工影响天气工作办公室2024年度，实有人数3人，其中：在职人员3人，增加0人；离休人员0人，增加0人；退休人员0人,增加0人。</w:t>
      </w:r>
    </w:p>
    <w:p w14:paraId="773C9397">
      <w:pPr>
        <w:spacing w:line="580" w:lineRule="exact"/>
        <w:ind w:firstLine="640"/>
        <w:jc w:val="both"/>
      </w:pPr>
      <w:r>
        <w:rPr>
          <w:rFonts w:ascii="仿宋_GB2312" w:hAnsi="仿宋_GB2312" w:eastAsia="仿宋_GB2312"/>
          <w:sz w:val="32"/>
        </w:rPr>
        <w:t>克孜勒苏柯尔克孜自治州人工影响天气工作办公室无下属预算单位，下设1个科室，分别是：办公室。</w:t>
      </w:r>
    </w:p>
    <w:p w14:paraId="16F3BC8E">
      <w:r>
        <w:br w:type="page"/>
      </w:r>
    </w:p>
    <w:p w14:paraId="0BD0F75B">
      <w:pPr>
        <w:spacing w:line="240" w:lineRule="auto"/>
        <w:jc w:val="center"/>
        <w:outlineLvl w:val="1"/>
      </w:pPr>
      <w:r>
        <w:rPr>
          <w:rFonts w:ascii="黑体" w:hAnsi="黑体" w:eastAsia="黑体"/>
          <w:sz w:val="32"/>
        </w:rPr>
        <w:t>第二部分 部门决算情况说明</w:t>
      </w:r>
    </w:p>
    <w:p w14:paraId="492F704E">
      <w:pPr>
        <w:spacing w:line="640" w:lineRule="exact"/>
        <w:ind w:firstLine="640"/>
        <w:jc w:val="both"/>
        <w:outlineLvl w:val="2"/>
      </w:pPr>
      <w:r>
        <w:rPr>
          <w:rFonts w:ascii="黑体" w:hAnsi="黑体" w:eastAsia="黑体"/>
          <w:sz w:val="32"/>
        </w:rPr>
        <w:t>一、收入支出决算总体情况说明</w:t>
      </w:r>
    </w:p>
    <w:p w14:paraId="69CBEB21">
      <w:pPr>
        <w:spacing w:line="580" w:lineRule="exact"/>
        <w:ind w:firstLine="640"/>
        <w:jc w:val="both"/>
      </w:pPr>
      <w:r>
        <w:rPr>
          <w:rFonts w:ascii="仿宋_GB2312" w:hAnsi="仿宋_GB2312" w:eastAsia="仿宋_GB2312"/>
          <w:b/>
          <w:sz w:val="32"/>
        </w:rPr>
        <w:t>2024年度收入总计84.09万元，</w:t>
      </w:r>
      <w:r>
        <w:rPr>
          <w:rFonts w:ascii="仿宋_GB2312" w:hAnsi="仿宋_GB2312" w:eastAsia="仿宋_GB2312"/>
          <w:b w:val="0"/>
          <w:sz w:val="32"/>
        </w:rPr>
        <w:t>其中：本年收入合计84.08万元，使用非财政拨款结余（含专用结余）0.00万元，年初结转和结余0.01万元。</w:t>
      </w:r>
    </w:p>
    <w:p w14:paraId="30F1EFA4">
      <w:pPr>
        <w:spacing w:line="580" w:lineRule="exact"/>
        <w:ind w:firstLine="640"/>
        <w:jc w:val="both"/>
      </w:pPr>
      <w:r>
        <w:rPr>
          <w:rFonts w:ascii="仿宋_GB2312" w:hAnsi="仿宋_GB2312" w:eastAsia="仿宋_GB2312"/>
          <w:b/>
          <w:sz w:val="32"/>
        </w:rPr>
        <w:t>2024年度支出总计84.09万元，</w:t>
      </w:r>
      <w:r>
        <w:rPr>
          <w:rFonts w:ascii="仿宋_GB2312" w:hAnsi="仿宋_GB2312" w:eastAsia="仿宋_GB2312"/>
          <w:b w:val="0"/>
          <w:sz w:val="32"/>
        </w:rPr>
        <w:t>其中：本年支出合计84.08万元，结余分配0.00万元，年末结转和结余0.01万元。</w:t>
      </w:r>
    </w:p>
    <w:p w14:paraId="7BB46CA8">
      <w:pPr>
        <w:spacing w:line="580" w:lineRule="exact"/>
        <w:ind w:firstLine="640"/>
        <w:jc w:val="both"/>
      </w:pPr>
      <w:r>
        <w:rPr>
          <w:rFonts w:ascii="仿宋_GB2312" w:hAnsi="仿宋_GB2312" w:eastAsia="仿宋_GB2312"/>
          <w:b w:val="0"/>
          <w:sz w:val="32"/>
        </w:rPr>
        <w:t>收入支出总体与上年相比，增加17.21万元，增长25.73%，主要原因是：本年在职人员工资调增，社保、公积金基数调增，人员经费增加；增加2024年度人影能力建设项目。</w:t>
      </w:r>
    </w:p>
    <w:p w14:paraId="53578D14">
      <w:pPr>
        <w:spacing w:line="640" w:lineRule="exact"/>
        <w:ind w:firstLine="640"/>
        <w:jc w:val="both"/>
        <w:outlineLvl w:val="2"/>
      </w:pPr>
      <w:r>
        <w:rPr>
          <w:rFonts w:ascii="黑体" w:hAnsi="黑体" w:eastAsia="黑体"/>
          <w:sz w:val="32"/>
        </w:rPr>
        <w:t>二、收入决算情况说明</w:t>
      </w:r>
    </w:p>
    <w:p w14:paraId="6A8B9FEF">
      <w:pPr>
        <w:spacing w:line="580" w:lineRule="exact"/>
        <w:ind w:firstLine="640"/>
        <w:jc w:val="both"/>
      </w:pPr>
      <w:r>
        <w:rPr>
          <w:rFonts w:ascii="仿宋_GB2312" w:hAnsi="仿宋_GB2312" w:eastAsia="仿宋_GB2312"/>
          <w:b/>
          <w:sz w:val="32"/>
        </w:rPr>
        <w:t>本年收入84.08万元，</w:t>
      </w:r>
      <w:r>
        <w:rPr>
          <w:rFonts w:ascii="仿宋_GB2312" w:hAnsi="仿宋_GB2312" w:eastAsia="仿宋_GB2312"/>
          <w:b w:val="0"/>
          <w:sz w:val="32"/>
        </w:rPr>
        <w:t>其中：财政拨款收入84.08万元，占100.00%；上级补助收入0.00万元，占0.00%；事业收入0.00万元，占0.00%；经营收入0.00万元，占0.00%；附属单位上缴收入0.00万元，占0.00%；其他收入0.00万元，占0.00%。</w:t>
      </w:r>
    </w:p>
    <w:p w14:paraId="4074E4BA">
      <w:pPr>
        <w:spacing w:line="640" w:lineRule="exact"/>
        <w:ind w:firstLine="640"/>
        <w:jc w:val="both"/>
        <w:outlineLvl w:val="2"/>
      </w:pPr>
      <w:r>
        <w:rPr>
          <w:rFonts w:ascii="黑体" w:hAnsi="黑体" w:eastAsia="黑体"/>
          <w:sz w:val="32"/>
        </w:rPr>
        <w:t>三、支出决算情况说明</w:t>
      </w:r>
    </w:p>
    <w:p w14:paraId="1017ABD8">
      <w:pPr>
        <w:spacing w:line="580" w:lineRule="exact"/>
        <w:ind w:firstLine="640"/>
        <w:jc w:val="both"/>
      </w:pPr>
      <w:r>
        <w:rPr>
          <w:rFonts w:ascii="仿宋_GB2312" w:hAnsi="仿宋_GB2312" w:eastAsia="仿宋_GB2312"/>
          <w:b/>
          <w:sz w:val="32"/>
        </w:rPr>
        <w:t>本年支出84.08万元，</w:t>
      </w:r>
      <w:r>
        <w:rPr>
          <w:rFonts w:ascii="仿宋_GB2312" w:hAnsi="仿宋_GB2312" w:eastAsia="仿宋_GB2312"/>
          <w:b w:val="0"/>
          <w:sz w:val="32"/>
        </w:rPr>
        <w:t>其中：基本支出47.84万元，占56.90%；项目支出36.25万元，占43.11%；上缴上级支出0.00万元，占0.00%；经营支出0.00万元，占0.00%；对附属单位补助支出0.00万元，占0.00%。</w:t>
      </w:r>
    </w:p>
    <w:p w14:paraId="3E11D74F">
      <w:pPr>
        <w:spacing w:line="640" w:lineRule="exact"/>
        <w:ind w:firstLine="640"/>
        <w:jc w:val="both"/>
        <w:outlineLvl w:val="2"/>
      </w:pPr>
      <w:r>
        <w:rPr>
          <w:rFonts w:ascii="黑体" w:hAnsi="黑体" w:eastAsia="黑体"/>
          <w:sz w:val="32"/>
        </w:rPr>
        <w:t>四、财政拨款收入支出决算总体情况说明</w:t>
      </w:r>
    </w:p>
    <w:p w14:paraId="6D9B39EE">
      <w:pPr>
        <w:spacing w:line="580" w:lineRule="exact"/>
        <w:ind w:firstLine="640"/>
        <w:jc w:val="both"/>
      </w:pPr>
      <w:r>
        <w:rPr>
          <w:rFonts w:ascii="仿宋_GB2312" w:hAnsi="仿宋_GB2312" w:eastAsia="仿宋_GB2312"/>
          <w:b/>
          <w:sz w:val="32"/>
        </w:rPr>
        <w:t>2024年度财政拨款收入总计84.08万元，</w:t>
      </w:r>
      <w:r>
        <w:rPr>
          <w:rFonts w:ascii="仿宋_GB2312" w:hAnsi="仿宋_GB2312" w:eastAsia="仿宋_GB2312"/>
          <w:b w:val="0"/>
          <w:sz w:val="32"/>
        </w:rPr>
        <w:t>其中：年初财政拨款结转和结余0.00万元，本年财政拨款收入84.08万元。</w:t>
      </w:r>
      <w:r>
        <w:rPr>
          <w:rFonts w:ascii="仿宋_GB2312" w:hAnsi="仿宋_GB2312" w:eastAsia="仿宋_GB2312"/>
          <w:b/>
          <w:sz w:val="32"/>
        </w:rPr>
        <w:t>财政拨款支出总计84.08万元，</w:t>
      </w:r>
      <w:r>
        <w:rPr>
          <w:rFonts w:ascii="仿宋_GB2312" w:hAnsi="仿宋_GB2312" w:eastAsia="仿宋_GB2312"/>
          <w:b w:val="0"/>
          <w:sz w:val="32"/>
        </w:rPr>
        <w:t>其中：年末财政拨款结转和结余0.00万元，本年财政拨款支出84.08万元。</w:t>
      </w:r>
    </w:p>
    <w:p w14:paraId="340E4D7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增加17.33万元，增长25.96%，主要原因是：本年在职人员工资调增，社保、公积金基数调增，人员经费增加；增加2024年度人影能力建设项目。</w:t>
      </w:r>
      <w:r>
        <w:rPr>
          <w:rFonts w:ascii="仿宋_GB2312" w:hAnsi="仿宋_GB2312" w:eastAsia="仿宋_GB2312"/>
          <w:b/>
          <w:sz w:val="32"/>
        </w:rPr>
        <w:t>与年初预算相比，</w:t>
      </w:r>
      <w:r>
        <w:rPr>
          <w:rFonts w:ascii="仿宋_GB2312" w:hAnsi="仿宋_GB2312" w:eastAsia="仿宋_GB2312"/>
          <w:b w:val="0"/>
          <w:sz w:val="32"/>
        </w:rPr>
        <w:t>年初预算数82.63万元，决算数84.08万元，预决算差异率1.75%，主要原因是：年中追加人员工资、社保、公积金基数调增部分资金，导致预决算存在差异。</w:t>
      </w:r>
    </w:p>
    <w:p w14:paraId="7CF26AD3">
      <w:pPr>
        <w:spacing w:line="640" w:lineRule="exact"/>
        <w:ind w:firstLine="640"/>
        <w:jc w:val="both"/>
        <w:outlineLvl w:val="2"/>
      </w:pPr>
      <w:r>
        <w:rPr>
          <w:rFonts w:ascii="黑体" w:hAnsi="黑体" w:eastAsia="黑体"/>
          <w:sz w:val="32"/>
        </w:rPr>
        <w:t>五、一般公共预算财政拨款支出决算情况说明</w:t>
      </w:r>
    </w:p>
    <w:p w14:paraId="654E8F7A">
      <w:pPr>
        <w:spacing w:line="640" w:lineRule="exact"/>
        <w:ind w:firstLine="640"/>
        <w:jc w:val="both"/>
        <w:outlineLvl w:val="3"/>
      </w:pPr>
      <w:r>
        <w:rPr>
          <w:rFonts w:ascii="楷体_GB2312" w:hAnsi="楷体_GB2312" w:eastAsia="楷体_GB2312"/>
          <w:b/>
          <w:sz w:val="32"/>
        </w:rPr>
        <w:t>（一）一般公共预算财政拨款支出决算总体情况</w:t>
      </w:r>
    </w:p>
    <w:p w14:paraId="15D23C73">
      <w:pPr>
        <w:spacing w:line="580" w:lineRule="exact"/>
        <w:ind w:firstLine="640"/>
        <w:jc w:val="both"/>
      </w:pPr>
      <w:r>
        <w:rPr>
          <w:rFonts w:ascii="仿宋_GB2312" w:hAnsi="仿宋_GB2312" w:eastAsia="仿宋_GB2312"/>
          <w:b/>
          <w:sz w:val="32"/>
        </w:rPr>
        <w:t>2024年度一般公共预算财政拨款支出84.08万元，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增加17.33万元，增长25.96%，主要原因是：本年在职人员工资调增，社保、公积金基数调增，人员经费增加；增加2024年度人影能力建设项目。</w:t>
      </w:r>
      <w:r>
        <w:rPr>
          <w:rFonts w:ascii="仿宋_GB2312" w:hAnsi="仿宋_GB2312" w:eastAsia="仿宋_GB2312"/>
          <w:b/>
          <w:sz w:val="32"/>
        </w:rPr>
        <w:t>与年初预算相比,</w:t>
      </w:r>
      <w:r>
        <w:rPr>
          <w:rFonts w:ascii="仿宋_GB2312" w:hAnsi="仿宋_GB2312" w:eastAsia="仿宋_GB2312"/>
          <w:b w:val="0"/>
          <w:sz w:val="32"/>
        </w:rPr>
        <w:t>年初预算数82.63万元，决算数84.08万元，预决算差异率1.75%，主要原因是：年中追加人员工资、社保、公积金基数调增部分资金，导致预决算存在差异。</w:t>
      </w:r>
    </w:p>
    <w:p w14:paraId="1E788AEA">
      <w:pPr>
        <w:spacing w:line="640" w:lineRule="exact"/>
        <w:ind w:firstLine="640"/>
        <w:jc w:val="both"/>
        <w:outlineLvl w:val="3"/>
      </w:pPr>
      <w:r>
        <w:rPr>
          <w:rFonts w:ascii="楷体_GB2312" w:hAnsi="楷体_GB2312" w:eastAsia="楷体_GB2312"/>
          <w:b/>
          <w:sz w:val="32"/>
        </w:rPr>
        <w:t>（二）一般公共预算财政拨款支出决算结构情况</w:t>
      </w:r>
    </w:p>
    <w:p w14:paraId="313AEB84">
      <w:pPr>
        <w:spacing w:line="580" w:lineRule="exact"/>
        <w:ind w:firstLine="640"/>
        <w:jc w:val="both"/>
      </w:pPr>
      <w:r>
        <w:rPr>
          <w:rFonts w:ascii="仿宋_GB2312" w:hAnsi="仿宋_GB2312" w:eastAsia="仿宋_GB2312"/>
          <w:b w:val="0"/>
          <w:sz w:val="32"/>
        </w:rPr>
        <w:t>1.社会保障和就业支出(类)4.63万元,占5.51%。</w:t>
      </w:r>
    </w:p>
    <w:p w14:paraId="7974AFCB">
      <w:pPr>
        <w:spacing w:line="580" w:lineRule="exact"/>
        <w:ind w:firstLine="640"/>
        <w:jc w:val="both"/>
      </w:pPr>
      <w:r>
        <w:rPr>
          <w:rFonts w:ascii="仿宋_GB2312" w:hAnsi="仿宋_GB2312" w:eastAsia="仿宋_GB2312"/>
          <w:b w:val="0"/>
          <w:sz w:val="32"/>
        </w:rPr>
        <w:t>2.自然资源海洋气象等支出(类)79.45万元,占94.49%。</w:t>
      </w:r>
    </w:p>
    <w:p w14:paraId="625A818A">
      <w:pPr>
        <w:spacing w:line="640" w:lineRule="exact"/>
        <w:ind w:firstLine="640"/>
        <w:jc w:val="both"/>
        <w:outlineLvl w:val="3"/>
      </w:pPr>
      <w:r>
        <w:rPr>
          <w:rFonts w:ascii="楷体_GB2312" w:hAnsi="楷体_GB2312" w:eastAsia="楷体_GB2312"/>
          <w:b/>
          <w:sz w:val="32"/>
        </w:rPr>
        <w:t>（三）一般公共预算财政拨款支出决算具体情况</w:t>
      </w:r>
    </w:p>
    <w:p w14:paraId="798B390E">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4.63万元，比上年决算增加0.33万元，增长7.67%,主要原因是：本年在职人员工资基数调增，养老缴费基数上涨，相应支出增加。</w:t>
      </w:r>
    </w:p>
    <w:p w14:paraId="41D8B7AB">
      <w:pPr>
        <w:spacing w:line="580" w:lineRule="exact"/>
        <w:ind w:firstLine="640"/>
        <w:jc w:val="both"/>
      </w:pPr>
      <w:r>
        <w:rPr>
          <w:rFonts w:ascii="仿宋_GB2312" w:hAnsi="仿宋_GB2312" w:eastAsia="仿宋_GB2312"/>
          <w:b w:val="0"/>
          <w:sz w:val="32"/>
        </w:rPr>
        <w:t>2.自然资源海洋气象等支出(类)气象事务(款)气象事业机构(项):支出决算数为43.20万元，比上年决算增加0.74万元，增长1.74%,主要原因是：本年在职人员工资调增，人员经费增加。</w:t>
      </w:r>
    </w:p>
    <w:p w14:paraId="69CD28D8">
      <w:pPr>
        <w:spacing w:line="580" w:lineRule="exact"/>
        <w:ind w:firstLine="640"/>
        <w:jc w:val="both"/>
      </w:pPr>
      <w:r>
        <w:rPr>
          <w:rFonts w:ascii="仿宋_GB2312" w:hAnsi="仿宋_GB2312" w:eastAsia="仿宋_GB2312"/>
          <w:b w:val="0"/>
          <w:sz w:val="32"/>
        </w:rPr>
        <w:t>3.自然资源海洋气象等支出(类)气象事务(款)气象服务(项):支出决算数为20.00万元，比上年决算增加20.00万元，增长100.00%,主要原因是：本年增加2024年度人影能力建设项目。</w:t>
      </w:r>
    </w:p>
    <w:p w14:paraId="01B05A61">
      <w:pPr>
        <w:spacing w:line="580" w:lineRule="exact"/>
        <w:ind w:firstLine="640"/>
        <w:jc w:val="both"/>
      </w:pPr>
      <w:r>
        <w:rPr>
          <w:rFonts w:ascii="仿宋_GB2312" w:hAnsi="仿宋_GB2312" w:eastAsia="仿宋_GB2312"/>
          <w:b w:val="0"/>
          <w:sz w:val="32"/>
        </w:rPr>
        <w:t>4.自然资源海洋气象等支出(类)气象事务(款)气象装备保障维护(项):支出决算数为16.25万元，比上年决算增加16.25万元，增长100.00%,主要原因是：本年科目调整，2024年克州人影办能力建设（区域自动站维护维修保障）项目上年在其他气象事务支出，本年调整至气象装备保障维护，导致经费增加。</w:t>
      </w:r>
    </w:p>
    <w:p w14:paraId="37946AF7">
      <w:pPr>
        <w:spacing w:line="580" w:lineRule="exact"/>
        <w:ind w:firstLine="640"/>
        <w:jc w:val="both"/>
      </w:pPr>
      <w:r>
        <w:rPr>
          <w:rFonts w:ascii="仿宋_GB2312" w:hAnsi="仿宋_GB2312" w:eastAsia="仿宋_GB2312"/>
          <w:b w:val="0"/>
          <w:sz w:val="32"/>
        </w:rPr>
        <w:t>5.自然资源海洋气象等支出(类)气象事务(款)其他气象事务支出(项):支出决算数为0.00万元，比上年决算减少20.00万元，下降100.00%,主要原因是：本年科目调整，2024年克州人影办能力建设（区域自动站维护维修保障）项目上年在其他气象事务支出，本年调整至气象装备保障维护，导致经费减少。</w:t>
      </w:r>
    </w:p>
    <w:p w14:paraId="27BE995C">
      <w:pPr>
        <w:spacing w:line="640" w:lineRule="exact"/>
        <w:ind w:firstLine="640"/>
        <w:jc w:val="both"/>
        <w:outlineLvl w:val="2"/>
      </w:pPr>
      <w:r>
        <w:rPr>
          <w:rFonts w:ascii="黑体" w:hAnsi="黑体" w:eastAsia="黑体"/>
          <w:sz w:val="32"/>
        </w:rPr>
        <w:t>六、一般公共预算财政拨款基本支出决算情况说明</w:t>
      </w:r>
    </w:p>
    <w:p w14:paraId="2D4B0A47">
      <w:pPr>
        <w:spacing w:line="580" w:lineRule="exact"/>
        <w:ind w:firstLine="640"/>
        <w:jc w:val="both"/>
      </w:pPr>
      <w:r>
        <w:rPr>
          <w:rFonts w:ascii="仿宋_GB2312" w:hAnsi="仿宋_GB2312" w:eastAsia="仿宋_GB2312"/>
          <w:b w:val="0"/>
          <w:sz w:val="32"/>
        </w:rPr>
        <w:t>2024年度一般公共预算财政拨款基本支出47.83万元，其中：</w:t>
      </w:r>
      <w:r>
        <w:rPr>
          <w:rFonts w:ascii="仿宋_GB2312" w:hAnsi="仿宋_GB2312" w:eastAsia="仿宋_GB2312"/>
          <w:b/>
          <w:sz w:val="32"/>
        </w:rPr>
        <w:t>人员经费45.41万元，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51221210">
      <w:pPr>
        <w:spacing w:line="580" w:lineRule="exact"/>
        <w:ind w:firstLine="640"/>
        <w:jc w:val="both"/>
      </w:pPr>
      <w:r>
        <w:rPr>
          <w:rFonts w:ascii="仿宋_GB2312" w:hAnsi="仿宋_GB2312" w:eastAsia="仿宋_GB2312"/>
          <w:b/>
          <w:sz w:val="32"/>
        </w:rPr>
        <w:t>公用经费2.42万元，</w:t>
      </w:r>
      <w:r>
        <w:rPr>
          <w:rFonts w:ascii="仿宋_GB2312" w:hAnsi="仿宋_GB2312" w:eastAsia="仿宋_GB2312"/>
          <w:b w:val="0"/>
          <w:sz w:val="32"/>
        </w:rPr>
        <w:t>包括：办公费、邮电费、差旅费、工会经费、福利费、公务用车运行维护费、其他商品和服务支出。</w:t>
      </w:r>
    </w:p>
    <w:p w14:paraId="0B7806B3">
      <w:pPr>
        <w:spacing w:line="640" w:lineRule="exact"/>
        <w:ind w:firstLine="640"/>
        <w:jc w:val="both"/>
        <w:outlineLvl w:val="2"/>
      </w:pPr>
      <w:r>
        <w:rPr>
          <w:rFonts w:ascii="黑体" w:hAnsi="黑体" w:eastAsia="黑体"/>
          <w:sz w:val="32"/>
        </w:rPr>
        <w:t>七、政府性基金预算财政拨款收入支出决算情况说明</w:t>
      </w:r>
    </w:p>
    <w:p w14:paraId="20CEAF0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BDFF23">
      <w:pPr>
        <w:spacing w:line="640" w:lineRule="exact"/>
        <w:ind w:firstLine="640"/>
        <w:jc w:val="both"/>
        <w:outlineLvl w:val="2"/>
      </w:pPr>
      <w:r>
        <w:rPr>
          <w:rFonts w:ascii="黑体" w:hAnsi="黑体" w:eastAsia="黑体"/>
          <w:sz w:val="32"/>
        </w:rPr>
        <w:t>八、国有资本经营预算财政拨款收入支出决算情况说明</w:t>
      </w:r>
    </w:p>
    <w:p w14:paraId="371310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5A194D">
      <w:pPr>
        <w:spacing w:line="640" w:lineRule="exact"/>
        <w:ind w:firstLine="640"/>
        <w:jc w:val="both"/>
        <w:outlineLvl w:val="2"/>
      </w:pPr>
      <w:r>
        <w:rPr>
          <w:rFonts w:ascii="黑体" w:hAnsi="黑体" w:eastAsia="黑体"/>
          <w:sz w:val="32"/>
        </w:rPr>
        <w:t>九、财政拨款“三公”经费支出决算情况说明</w:t>
      </w:r>
    </w:p>
    <w:p w14:paraId="3EFAC675">
      <w:pPr>
        <w:spacing w:line="580" w:lineRule="exact"/>
        <w:ind w:firstLine="640"/>
        <w:jc w:val="both"/>
      </w:pPr>
      <w:r>
        <w:rPr>
          <w:rFonts w:ascii="仿宋_GB2312" w:hAnsi="仿宋_GB2312" w:eastAsia="仿宋_GB2312"/>
          <w:b/>
          <w:sz w:val="32"/>
        </w:rPr>
        <w:t>2024年度财政拨款“三公”经费支出0.95万元，</w:t>
      </w:r>
      <w:r>
        <w:rPr>
          <w:rFonts w:ascii="仿宋_GB2312" w:hAnsi="仿宋_GB2312" w:eastAsia="仿宋_GB2312"/>
          <w:b w:val="0"/>
          <w:sz w:val="32"/>
        </w:rPr>
        <w:t>比上年减少0.02万元，下降2.06%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0.95万元，占100.00%，比上年减少0.02万元，下降2.06%，主要原因是：严格落实中央八项规定精神，厉行节约，减少公务用车运行维护费。公务接待费支出0.00万元，占0.00%，比上年增加0.00万元，增长0.00%，主要原因是：2023年与2024年均未安排公务接待费支出。</w:t>
      </w:r>
    </w:p>
    <w:p w14:paraId="34F54DFE">
      <w:pPr>
        <w:spacing w:line="580" w:lineRule="exact"/>
        <w:ind w:firstLine="640"/>
        <w:jc w:val="both"/>
      </w:pPr>
      <w:r>
        <w:rPr>
          <w:rFonts w:ascii="仿宋_GB2312" w:hAnsi="仿宋_GB2312" w:eastAsia="仿宋_GB2312"/>
          <w:b/>
          <w:sz w:val="32"/>
        </w:rPr>
        <w:t>具体情况如下：</w:t>
      </w:r>
    </w:p>
    <w:p w14:paraId="108C153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B21AA7E">
      <w:pPr>
        <w:spacing w:line="580" w:lineRule="exact"/>
        <w:ind w:firstLine="640"/>
        <w:jc w:val="both"/>
      </w:pPr>
      <w:r>
        <w:rPr>
          <w:rFonts w:ascii="仿宋_GB2312" w:hAnsi="仿宋_GB2312" w:eastAsia="仿宋_GB2312"/>
          <w:b w:val="0"/>
          <w:sz w:val="32"/>
        </w:rPr>
        <w:t>公务用车购置及运行维护费0.95万元，其中：公务用车购置费0.00万元，公务用车运行维护费0.95万元。公务用车运行维护费开支内容包括车辆燃油费、维修费。公务用车购置数0辆，公务用车保有量1辆。国有资产占用情况中固定资产车辆1辆，与公务用车保有量差异原因是：本单位固定资产车辆与公务用车保有量一致无差异。</w:t>
      </w:r>
    </w:p>
    <w:p w14:paraId="4DCE27A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1D7B6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0.95万元，决算数0.95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0.95万元，决算数0.95万元，预决算差异率0.00%，主要原因是：严格按照预算执行，预决算无差异。公务接待费全年预算数0.00万元，决算数0.00万元，预决算差异率0.00%，主要原因是：本单位无公务接待费。</w:t>
      </w:r>
    </w:p>
    <w:p w14:paraId="702FB289">
      <w:pPr>
        <w:spacing w:line="640" w:lineRule="exact"/>
        <w:ind w:firstLine="640"/>
        <w:jc w:val="both"/>
        <w:outlineLvl w:val="2"/>
      </w:pPr>
      <w:r>
        <w:rPr>
          <w:rFonts w:ascii="黑体" w:hAnsi="黑体" w:eastAsia="黑体"/>
          <w:sz w:val="32"/>
        </w:rPr>
        <w:t>十、其他重要事项的情况说明</w:t>
      </w:r>
    </w:p>
    <w:p w14:paraId="37EEE308">
      <w:pPr>
        <w:spacing w:line="640" w:lineRule="exact"/>
        <w:ind w:firstLine="640"/>
        <w:jc w:val="both"/>
        <w:outlineLvl w:val="3"/>
      </w:pPr>
      <w:r>
        <w:rPr>
          <w:rFonts w:ascii="楷体_GB2312" w:hAnsi="楷体_GB2312" w:eastAsia="楷体_GB2312"/>
          <w:b/>
          <w:sz w:val="32"/>
        </w:rPr>
        <w:t>（一）机关运行经费及公用经费支出情况</w:t>
      </w:r>
    </w:p>
    <w:p w14:paraId="6BBCCCA2">
      <w:pPr>
        <w:spacing w:line="580" w:lineRule="exact"/>
        <w:ind w:firstLine="640"/>
        <w:jc w:val="both"/>
      </w:pPr>
      <w:r>
        <w:rPr>
          <w:rFonts w:ascii="仿宋_GB2312" w:hAnsi="仿宋_GB2312" w:eastAsia="仿宋_GB2312"/>
          <w:b w:val="0"/>
          <w:sz w:val="32"/>
        </w:rPr>
        <w:t>2024年度克孜勒苏柯尔克孜自治州人工影响天气工作办公室（事业单位）公用经费支出2.42万元，比上年减少0.68万元，下降21.94%，主要原因是：严格控制公用经费，合理节约办公用品，减少不必要开支。</w:t>
      </w:r>
    </w:p>
    <w:p w14:paraId="4E656FDC">
      <w:pPr>
        <w:spacing w:line="640" w:lineRule="exact"/>
        <w:ind w:firstLine="640"/>
        <w:jc w:val="both"/>
        <w:outlineLvl w:val="3"/>
      </w:pPr>
      <w:r>
        <w:rPr>
          <w:rFonts w:ascii="楷体_GB2312" w:hAnsi="楷体_GB2312" w:eastAsia="楷体_GB2312"/>
          <w:b/>
          <w:sz w:val="32"/>
        </w:rPr>
        <w:t>（二）政府采购情况</w:t>
      </w:r>
    </w:p>
    <w:p w14:paraId="67B0CC22">
      <w:pPr>
        <w:spacing w:line="580" w:lineRule="exact"/>
        <w:ind w:firstLine="640"/>
        <w:jc w:val="both"/>
      </w:pPr>
      <w:r>
        <w:rPr>
          <w:rFonts w:ascii="仿宋_GB2312" w:hAnsi="仿宋_GB2312" w:eastAsia="仿宋_GB2312"/>
          <w:b w:val="0"/>
          <w:sz w:val="32"/>
        </w:rPr>
        <w:t>2024年度政府采购支出总额1.33万元，其中：政府采购货物支出0.87万元、政府采购工程支出0.00万元、政府采购服务支出0.46万元。</w:t>
      </w:r>
    </w:p>
    <w:p w14:paraId="2B6D9862">
      <w:pPr>
        <w:spacing w:line="580" w:lineRule="exact"/>
        <w:ind w:firstLine="640"/>
        <w:jc w:val="both"/>
      </w:pPr>
      <w:r>
        <w:rPr>
          <w:rFonts w:ascii="仿宋_GB2312" w:hAnsi="仿宋_GB2312" w:eastAsia="仿宋_GB2312"/>
          <w:b w:val="0"/>
          <w:sz w:val="32"/>
        </w:rPr>
        <w:t>授予中小企业合同金额1.33万元，占政府采购支出总额的100.00%，其中：授予小微企业合同金额1.33万元，占政府采购支出总额的100.00%。</w:t>
      </w:r>
    </w:p>
    <w:p w14:paraId="1D7EBB39">
      <w:pPr>
        <w:spacing w:line="640" w:lineRule="exact"/>
        <w:ind w:firstLine="640"/>
        <w:jc w:val="both"/>
        <w:outlineLvl w:val="3"/>
      </w:pPr>
      <w:r>
        <w:rPr>
          <w:rFonts w:ascii="楷体_GB2312" w:hAnsi="楷体_GB2312" w:eastAsia="楷体_GB2312"/>
          <w:b/>
          <w:sz w:val="32"/>
        </w:rPr>
        <w:t>（三）国有资产占用情况说明</w:t>
      </w:r>
    </w:p>
    <w:p w14:paraId="03373EAA">
      <w:pPr>
        <w:spacing w:line="580" w:lineRule="exact"/>
        <w:ind w:firstLine="640"/>
        <w:jc w:val="both"/>
      </w:pPr>
      <w:r>
        <w:rPr>
          <w:rFonts w:ascii="仿宋_GB2312" w:hAnsi="仿宋_GB2312" w:eastAsia="仿宋_GB2312"/>
          <w:b w:val="0"/>
          <w:sz w:val="32"/>
        </w:rPr>
        <w:t>截至2024年12月31日，房屋0.00平方米，价值0.00万元。车辆1辆，价值18.00万元，其中：副部（省）级及以上领导用车0辆、主要负责人用车0辆、机要通信用车0辆、应急保障用车0辆、执法执勤用车0辆、特种专业技术用车0辆、离退休干部服务用车0辆、其他用车1辆，其他用车主要是：野外人影作业用车。单价100万元（含）以上设备（不含车辆）0台（套）。</w:t>
      </w:r>
    </w:p>
    <w:p w14:paraId="1C45D1A2">
      <w:pPr>
        <w:spacing w:line="640" w:lineRule="exact"/>
        <w:ind w:firstLine="640"/>
        <w:jc w:val="both"/>
        <w:outlineLvl w:val="2"/>
      </w:pPr>
      <w:r>
        <w:rPr>
          <w:rFonts w:ascii="黑体" w:hAnsi="黑体" w:eastAsia="黑体"/>
          <w:sz w:val="32"/>
        </w:rPr>
        <w:t>十一、预算绩效的情况说明</w:t>
      </w:r>
    </w:p>
    <w:p w14:paraId="78172CD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84.09万元，实际执行总额84.09万元；预算绩效评价项目3个，全年预算数38.78万元，全年执行数38.57万元。预算绩效管理取得的成效：为加强预算管理，规范财务行为，已制定各项管理制度，有效保障了高效履行工作职能，加强了制度建设，打牢绩效管理工作基础。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高度重视，加强领导，精心组织，逐步推开，实现编制预算绩效目标全覆盖。积极开展绩效跟踪监控，及时纠偏，确保绩效目标实现；财政管理部门对各部门绩效自评工作进行指导、监督、检查，积极运用评价结果，提高资金使用效率。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完善相关制度，推进制度落实。依据相关法律、法规及管理办法，建立分级分类、使用高效、便于操作的实施细则及业务规范，制定绩效问责制度、公开制度等，加快形成“用钱必问效、无效必问责”的机制。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加强财政资金使用效益跟踪“回头看”，对资金绩效运行状况，及时预控、查找资金使用和管理过程中的薄弱环节，加快资金拨付进度，确保后续绩效目标的有效实现提供有力支撑。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具体附整体支出绩效自评表，项目支出绩效自评表和评价报告。</w:t>
      </w:r>
    </w:p>
    <w:p w14:paraId="4982D1C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2D38DD7">
        <w:tblPrEx>
          <w:tblCellMar>
            <w:top w:w="0" w:type="dxa"/>
            <w:left w:w="108" w:type="dxa"/>
            <w:bottom w:w="0" w:type="dxa"/>
            <w:right w:w="108" w:type="dxa"/>
          </w:tblCellMar>
        </w:tblPrEx>
        <w:tc>
          <w:tcPr>
            <w:tcW w:w="8840" w:type="dxa"/>
            <w:gridSpan w:val="8"/>
            <w:vAlign w:val="center"/>
          </w:tcPr>
          <w:p w14:paraId="7A464846">
            <w:pPr>
              <w:jc w:val="center"/>
            </w:pPr>
            <w:r>
              <w:rPr>
                <w:rFonts w:ascii="宋体" w:hAnsi="宋体" w:eastAsia="宋体"/>
                <w:sz w:val="24"/>
              </w:rPr>
              <w:t>单位整体支出绩效自评表</w:t>
            </w:r>
          </w:p>
        </w:tc>
      </w:tr>
      <w:tr w14:paraId="1A3EBD74">
        <w:tblPrEx>
          <w:tblCellMar>
            <w:top w:w="0" w:type="dxa"/>
            <w:left w:w="108" w:type="dxa"/>
            <w:bottom w:w="0" w:type="dxa"/>
            <w:right w:w="108" w:type="dxa"/>
          </w:tblCellMar>
        </w:tblPrEx>
        <w:tc>
          <w:tcPr>
            <w:tcW w:w="8840" w:type="dxa"/>
            <w:gridSpan w:val="8"/>
            <w:vAlign w:val="center"/>
          </w:tcPr>
          <w:p w14:paraId="6D76B420">
            <w:pPr>
              <w:jc w:val="center"/>
            </w:pPr>
            <w:r>
              <w:rPr>
                <w:rFonts w:ascii="宋体" w:hAnsi="宋体" w:eastAsia="宋体"/>
                <w:sz w:val="24"/>
              </w:rPr>
              <w:t>（2024年度）</w:t>
            </w:r>
          </w:p>
        </w:tc>
      </w:tr>
      <w:tr w14:paraId="373BD18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C36D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88F8C">
            <w:pPr>
              <w:jc w:val="center"/>
            </w:pPr>
            <w:r>
              <w:rPr>
                <w:rFonts w:ascii="宋体" w:hAnsi="宋体" w:eastAsia="宋体"/>
                <w:sz w:val="16"/>
              </w:rPr>
              <w:t>克孜勒苏柯尔克孜自治州人工影响天气工作办公室</w:t>
            </w:r>
          </w:p>
        </w:tc>
      </w:tr>
      <w:tr w14:paraId="028B4F1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EF29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E19C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55BB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925D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69D4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B4B0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D690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97FF4">
            <w:pPr>
              <w:jc w:val="center"/>
            </w:pPr>
            <w:r>
              <w:rPr>
                <w:rFonts w:ascii="宋体" w:hAnsi="宋体" w:eastAsia="宋体"/>
                <w:sz w:val="16"/>
              </w:rPr>
              <w:t>得分</w:t>
            </w:r>
          </w:p>
        </w:tc>
      </w:tr>
      <w:tr w14:paraId="66E4FD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EA85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DED4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CA25E">
            <w:pPr>
              <w:jc w:val="center"/>
            </w:pPr>
            <w:r>
              <w:rPr>
                <w:rFonts w:ascii="宋体" w:hAnsi="宋体" w:eastAsia="宋体"/>
                <w:sz w:val="16"/>
              </w:rPr>
              <w:t>85.16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2E90D">
            <w:pPr>
              <w:jc w:val="center"/>
            </w:pPr>
            <w:r>
              <w:rPr>
                <w:rFonts w:ascii="宋体" w:hAnsi="宋体" w:eastAsia="宋体"/>
                <w:sz w:val="16"/>
              </w:rPr>
              <w:t>84.09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1083D">
            <w:pPr>
              <w:jc w:val="center"/>
            </w:pPr>
            <w:r>
              <w:rPr>
                <w:rFonts w:ascii="宋体" w:hAnsi="宋体" w:eastAsia="宋体"/>
                <w:sz w:val="16"/>
              </w:rPr>
              <w:t>84.09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BC3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9CFD3">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FF958">
            <w:pPr>
              <w:jc w:val="center"/>
              <w:rPr>
                <w:rFonts w:hint="default" w:eastAsia="宋体"/>
                <w:lang w:val="en-US" w:eastAsia="zh-CN"/>
              </w:rPr>
            </w:pPr>
            <w:r>
              <w:rPr>
                <w:rFonts w:hint="eastAsia" w:ascii="宋体" w:hAnsi="宋体"/>
                <w:sz w:val="16"/>
                <w:lang w:val="en-US" w:eastAsia="zh-CN"/>
              </w:rPr>
              <w:t>10</w:t>
            </w:r>
          </w:p>
        </w:tc>
      </w:tr>
      <w:tr w14:paraId="230AD3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ABC1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FC05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0AAD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3961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2786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DF0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7EA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D4677">
            <w:pPr>
              <w:jc w:val="center"/>
            </w:pPr>
            <w:r>
              <w:rPr>
                <w:rFonts w:ascii="宋体" w:hAnsi="宋体" w:eastAsia="宋体"/>
                <w:sz w:val="16"/>
              </w:rPr>
              <w:t>—</w:t>
            </w:r>
          </w:p>
        </w:tc>
      </w:tr>
      <w:tr w14:paraId="7DDE5D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54F7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5C15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43D53">
            <w:pPr>
              <w:jc w:val="center"/>
            </w:pPr>
            <w:r>
              <w:rPr>
                <w:rFonts w:ascii="宋体" w:hAnsi="宋体" w:eastAsia="宋体"/>
                <w:sz w:val="16"/>
              </w:rPr>
              <w:t>82.63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1E35A">
            <w:pPr>
              <w:jc w:val="center"/>
            </w:pPr>
            <w:r>
              <w:rPr>
                <w:rFonts w:ascii="宋体" w:hAnsi="宋体" w:eastAsia="宋体"/>
                <w:sz w:val="16"/>
              </w:rPr>
              <w:t>84.09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322ED">
            <w:pPr>
              <w:jc w:val="center"/>
            </w:pPr>
            <w:r>
              <w:rPr>
                <w:rFonts w:ascii="宋体" w:hAnsi="宋体" w:eastAsia="宋体"/>
                <w:sz w:val="16"/>
              </w:rPr>
              <w:t>84.09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96E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4D0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D7918">
            <w:pPr>
              <w:jc w:val="center"/>
            </w:pPr>
            <w:r>
              <w:rPr>
                <w:rFonts w:ascii="宋体" w:hAnsi="宋体" w:eastAsia="宋体"/>
                <w:sz w:val="16"/>
              </w:rPr>
              <w:t>—</w:t>
            </w:r>
          </w:p>
        </w:tc>
      </w:tr>
      <w:tr w14:paraId="713A99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0C9B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BD4A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06E23">
            <w:pPr>
              <w:jc w:val="center"/>
            </w:pPr>
            <w:r>
              <w:rPr>
                <w:rFonts w:ascii="宋体" w:hAnsi="宋体" w:eastAsia="宋体"/>
                <w:sz w:val="16"/>
              </w:rPr>
              <w:t>2.53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04C3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EEBA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D40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4DB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CE276">
            <w:pPr>
              <w:jc w:val="center"/>
            </w:pPr>
            <w:r>
              <w:rPr>
                <w:rFonts w:ascii="宋体" w:hAnsi="宋体" w:eastAsia="宋体"/>
                <w:sz w:val="16"/>
              </w:rPr>
              <w:t>—</w:t>
            </w:r>
          </w:p>
        </w:tc>
      </w:tr>
      <w:tr w14:paraId="39F21EC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5A570">
            <w:pPr>
              <w:jc w:val="center"/>
            </w:pPr>
            <w:r>
              <w:rPr>
                <w:rFonts w:ascii="宋体" w:hAnsi="宋体" w:eastAsia="宋体"/>
                <w:sz w:val="16"/>
              </w:rPr>
              <w:t>年度总体目标</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46B9F">
            <w:pPr>
              <w:jc w:val="center"/>
            </w:pPr>
            <w:r>
              <w:rPr>
                <w:rFonts w:ascii="宋体" w:hAnsi="宋体" w:eastAsia="宋体"/>
                <w:sz w:val="16"/>
              </w:rPr>
              <w:t>预期目标</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A357E9">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7BCDB2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8223A"/>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81566">
            <w:pPr>
              <w:jc w:val="both"/>
            </w:pPr>
            <w:r>
              <w:rPr>
                <w:rFonts w:hint="eastAsia" w:ascii="宋体" w:hAnsi="宋体"/>
                <w:sz w:val="16"/>
                <w:lang w:eastAsia="zh-CN"/>
              </w:rPr>
              <w:t>1.</w:t>
            </w:r>
            <w:r>
              <w:rPr>
                <w:rFonts w:ascii="宋体" w:hAnsi="宋体" w:eastAsia="宋体"/>
                <w:sz w:val="16"/>
              </w:rPr>
              <w:t>克州人影办根据自治区人影办要求，对人影作业工作流程及作业情况记录进行了严格要求，各县市人影办按照《高炮火箭防雹作业点记录规范》的行业标准进行了统一的作业记录表，严格执行作业空域申请电话录音存档制度。克州三县一市人影办人影弹药物联网覆盖率达 100%。</w:t>
            </w:r>
            <w:r>
              <w:rPr>
                <w:rFonts w:ascii="宋体" w:hAnsi="宋体" w:eastAsia="宋体"/>
                <w:sz w:val="16"/>
              </w:rPr>
              <w:br w:type="textWrapping"/>
            </w:r>
            <w:r>
              <w:rPr>
                <w:rFonts w:ascii="宋体" w:hAnsi="宋体" w:eastAsia="宋体"/>
                <w:sz w:val="16"/>
              </w:rPr>
              <w:t>2、2024年，计划在全州9个流动火箭增雨作业点以及10个地面碘化银烟炉作业点开展地面人工增雨（雪）作业，预计发射火箭弹200枚、燃放焰条300根,并根据干旱情况和生态环境修复与保护需求，适时增加用弹量。</w:t>
            </w:r>
            <w:r>
              <w:rPr>
                <w:rFonts w:ascii="宋体" w:hAnsi="宋体" w:eastAsia="宋体"/>
                <w:sz w:val="16"/>
              </w:rPr>
              <w:br w:type="textWrapping"/>
            </w:r>
            <w:r>
              <w:rPr>
                <w:rFonts w:ascii="宋体" w:hAnsi="宋体" w:eastAsia="宋体"/>
                <w:sz w:val="16"/>
              </w:rPr>
              <w:t>3、强化观测预报服务协调发展，推进“精密监测、精准预报、精细服务”能力再提升。完善气象风险监测预警服务体系 ，提高气象防灾减灾救灾能力。</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6749F">
            <w:pPr>
              <w:jc w:val="both"/>
            </w:pPr>
            <w:r>
              <w:rPr>
                <w:rFonts w:ascii="宋体" w:hAnsi="宋体" w:eastAsia="宋体"/>
                <w:sz w:val="16"/>
              </w:rPr>
              <w:t>根据干旱和生态环境修复与保护需求，主要开展常态化的增水作业工作，共计发射火箭弹数量228（枚）；作业方式以火箭作业为主，地面烟炉作业为辅，故而燃放烟条数量689（条）；对人影作业工作流程及作业情况记录进行了严格要求，各（县）市人影办按照《高炮火箭防雹作业点记录规范》的行业标准进行了统一的作业记录表，严格执行作业空域申请电话录音存档制度，三县一市人影弹药物联网覆盖率100%；加强火箭弹药运输存储管理、作业装备检定，开展全州人影安全检查。推动人影弹药存储安全，做好作业人员上岗培训和安全教育并开展实施应急演练，开展技能培训应急演练覆盖率92%；开展空地远程遥控作业催化试验与应用，不断完善人工影响天气飞机空地远程遥控作业催化系统和智能作业系统，让观测数据可用率92%。通过以上工作的实施，克州人影办目前根据干旱和生态环境修复与保护需求，主要开展常态化的增水作业工作。春季增雨作业主要是以抗旱保春播为主，依据土壤墒情监测情况和春季气候预测，制定科学有效的春季增雨服务方案，确保增雨工作成效明显。作业方式以地面烟炉为主，配合火箭作业。夏季根据汛期气候预测和天气特点，加强与水利、农业农村、林草等部门的沟通和会商，在确保汛期安全的前提下，开展抗击伏旱、增加水资源和改善生态环境为目的增雨作业。作业方式以火箭作业为主。秋季主要开展防秋旱和以增加封冻前土壤含水量和水库蓄水量的增雨作业。作业方式以火箭作业为主，地面烟炉作业为辅。冬季开展以增加山区积雪、土壤墒情、净化空气、降低森林火险等级为目的增雪作业。作业方式以地面烟炉作业为主。2024年，全州共开展人影增水作业91次，发射人影火箭弹228枚，燃放烟条689根。根据自治区人影办要求，对人影作业工作流程及作业情况记录进行了严格要求，各（县）市人影办按照《高炮火箭防雹作业点记录规范》的行业标准进行了统一的作业记录表，严格执行作业空域申请电话录音存档制度。克州三县一市人影办人影弹药物联网覆盖率达100%。完善作业条件识别预报体系，加强雷达云监测预警、气象卫星云参量反演应用研究，提高重点区域作业条件监测的精细度和准确度。加强人影作业效果评估方法研究，拓展评估手段，增加新资料应用，提高科学性。开展空地远程遥控作业催化试验与应用，不断完善人工影响天气飞机空地远程遥控作业催化系统和智能作业系统，观测数据可用率92%以上。加强人影工作部门联动，与应急管理、水利、农业农村、林草、水文等部门实现信息共享，落实人影安全责任制，严格执行作业空域申请和作业公告制度，加强火箭弹药运输存储管理、作业装备检定，开展全州人影安全检查。推动人影弹药存储安全，做好作业人员上岗培训和安全教育并开展实施应急演练，覆盖率为92以上%。</w:t>
            </w:r>
            <w:r>
              <w:rPr>
                <w:rFonts w:ascii="宋体" w:hAnsi="宋体" w:eastAsia="宋体"/>
                <w:sz w:val="16"/>
              </w:rPr>
              <w:br w:type="textWrapping"/>
            </w:r>
            <w:r>
              <w:rPr>
                <w:rFonts w:ascii="宋体" w:hAnsi="宋体" w:eastAsia="宋体"/>
                <w:sz w:val="16"/>
              </w:rPr>
              <w:t>通过以上工作的实施，保障了我单位3名职工的工资、福利及社保正常发放及缴纳，确保民生工作落实到位；保障我单位1辆公务用车的运行及维护，保障单位各项工作的正常运转，确保机构运转正常。</w:t>
            </w:r>
          </w:p>
        </w:tc>
      </w:tr>
      <w:tr w14:paraId="7F74B4A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F651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B6E5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AB8A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7E07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5BB1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224D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8926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5851E">
            <w:pPr>
              <w:jc w:val="center"/>
            </w:pPr>
            <w:r>
              <w:rPr>
                <w:rFonts w:ascii="宋体" w:hAnsi="宋体" w:eastAsia="宋体"/>
                <w:sz w:val="16"/>
              </w:rPr>
              <w:t>得分</w:t>
            </w:r>
          </w:p>
        </w:tc>
      </w:tr>
      <w:tr w14:paraId="21CCFE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2204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A28D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02179">
            <w:pPr>
              <w:jc w:val="center"/>
            </w:pPr>
            <w:r>
              <w:rPr>
                <w:rFonts w:ascii="宋体" w:hAnsi="宋体" w:eastAsia="宋体"/>
                <w:sz w:val="16"/>
              </w:rPr>
              <w:t>发射火箭弹（枚）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50A90">
            <w:pPr>
              <w:jc w:val="center"/>
            </w:pPr>
            <w:r>
              <w:rPr>
                <w:rFonts w:ascii="宋体" w:hAnsi="宋体" w:eastAsia="宋体"/>
                <w:sz w:val="16"/>
              </w:rPr>
              <w:t>&gt;=200枚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CCB10">
            <w:pPr>
              <w:jc w:val="center"/>
            </w:pPr>
            <w:r>
              <w:rPr>
                <w:rFonts w:ascii="宋体" w:hAnsi="宋体" w:eastAsia="宋体"/>
                <w:sz w:val="16"/>
              </w:rPr>
              <w:t>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A2DB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9AFE1">
            <w:pPr>
              <w:jc w:val="center"/>
            </w:pPr>
            <w:r>
              <w:rPr>
                <w:rFonts w:ascii="宋体" w:hAnsi="宋体" w:eastAsia="宋体"/>
                <w:sz w:val="16"/>
              </w:rPr>
              <w:t>228枚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B8F85">
            <w:pPr>
              <w:jc w:val="center"/>
            </w:pPr>
            <w:r>
              <w:rPr>
                <w:rFonts w:ascii="宋体" w:hAnsi="宋体" w:eastAsia="宋体"/>
                <w:sz w:val="16"/>
              </w:rPr>
              <w:t>18</w:t>
            </w:r>
          </w:p>
        </w:tc>
      </w:tr>
      <w:tr w14:paraId="3CB1F0A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9302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EE86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20C83">
            <w:pPr>
              <w:jc w:val="center"/>
            </w:pPr>
            <w:r>
              <w:rPr>
                <w:rFonts w:ascii="宋体" w:hAnsi="宋体" w:eastAsia="宋体"/>
                <w:sz w:val="16"/>
              </w:rPr>
              <w:t>燃放烟条（根）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3814E">
            <w:pPr>
              <w:jc w:val="center"/>
            </w:pPr>
            <w:r>
              <w:rPr>
                <w:rFonts w:ascii="宋体" w:hAnsi="宋体" w:eastAsia="宋体"/>
                <w:sz w:val="16"/>
              </w:rPr>
              <w:t>&gt;=300根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FC845">
            <w:pPr>
              <w:jc w:val="center"/>
            </w:pPr>
            <w:r>
              <w:rPr>
                <w:rFonts w:ascii="宋体" w:hAnsi="宋体" w:eastAsia="宋体"/>
                <w:sz w:val="16"/>
              </w:rPr>
              <w:t>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3EF5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1E734">
            <w:pPr>
              <w:jc w:val="center"/>
            </w:pPr>
            <w:r>
              <w:rPr>
                <w:rFonts w:ascii="宋体" w:hAnsi="宋体" w:eastAsia="宋体"/>
                <w:sz w:val="16"/>
              </w:rPr>
              <w:t>689枚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39FC7">
            <w:pPr>
              <w:jc w:val="center"/>
            </w:pPr>
            <w:r>
              <w:rPr>
                <w:rFonts w:ascii="宋体" w:hAnsi="宋体" w:eastAsia="宋体"/>
                <w:sz w:val="16"/>
              </w:rPr>
              <w:t>18</w:t>
            </w:r>
          </w:p>
        </w:tc>
      </w:tr>
      <w:tr w14:paraId="0911DA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4DF5B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C63F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BE534">
            <w:pPr>
              <w:jc w:val="center"/>
            </w:pPr>
            <w:r>
              <w:rPr>
                <w:rFonts w:ascii="宋体" w:hAnsi="宋体" w:eastAsia="宋体"/>
                <w:sz w:val="16"/>
              </w:rPr>
              <w:t>人影弹药物联网覆盖率（%）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FC43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D88CB">
            <w:pPr>
              <w:jc w:val="center"/>
            </w:pPr>
            <w:r>
              <w:rPr>
                <w:rFonts w:ascii="宋体" w:hAnsi="宋体" w:eastAsia="宋体"/>
                <w:sz w:val="16"/>
              </w:rPr>
              <w:t>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1680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8EEE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4162F">
            <w:pPr>
              <w:jc w:val="center"/>
            </w:pPr>
            <w:r>
              <w:rPr>
                <w:rFonts w:ascii="宋体" w:hAnsi="宋体" w:eastAsia="宋体"/>
                <w:sz w:val="16"/>
              </w:rPr>
              <w:t>18</w:t>
            </w:r>
          </w:p>
        </w:tc>
      </w:tr>
      <w:tr w14:paraId="5C21CF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55C34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724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749B0">
            <w:pPr>
              <w:jc w:val="center"/>
            </w:pPr>
            <w:r>
              <w:rPr>
                <w:rFonts w:ascii="宋体" w:hAnsi="宋体" w:eastAsia="宋体"/>
                <w:sz w:val="16"/>
              </w:rPr>
              <w:t>技能培训和应急演练覆盖率（%）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1A0FA">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6FE1C">
            <w:pPr>
              <w:jc w:val="center"/>
            </w:pPr>
            <w:r>
              <w:rPr>
                <w:rFonts w:ascii="宋体" w:hAnsi="宋体" w:eastAsia="宋体"/>
                <w:sz w:val="16"/>
              </w:rPr>
              <w:t>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0F38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48DCC">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45F6E">
            <w:pPr>
              <w:jc w:val="center"/>
            </w:pPr>
            <w:r>
              <w:rPr>
                <w:rFonts w:ascii="宋体" w:hAnsi="宋体" w:eastAsia="宋体"/>
                <w:sz w:val="16"/>
              </w:rPr>
              <w:t>18</w:t>
            </w:r>
          </w:p>
        </w:tc>
      </w:tr>
      <w:tr w14:paraId="09DF32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C9B4B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796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3517A">
            <w:pPr>
              <w:jc w:val="center"/>
            </w:pPr>
            <w:r>
              <w:rPr>
                <w:rFonts w:ascii="宋体" w:hAnsi="宋体" w:eastAsia="宋体"/>
                <w:sz w:val="16"/>
              </w:rPr>
              <w:t>观测数据可用率（%）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3197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8CD24">
            <w:pPr>
              <w:jc w:val="center"/>
            </w:pPr>
            <w:r>
              <w:rPr>
                <w:rFonts w:ascii="宋体" w:hAnsi="宋体" w:eastAsia="宋体"/>
                <w:sz w:val="16"/>
              </w:rPr>
              <w:t>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E0E9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96B9C">
            <w:pPr>
              <w:jc w:val="center"/>
            </w:pPr>
            <w:r>
              <w:rPr>
                <w:rFonts w:ascii="宋体" w:hAnsi="宋体" w:eastAsia="宋体"/>
                <w:sz w:val="16"/>
              </w:rPr>
              <w:t>98.88%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9751C">
            <w:pPr>
              <w:jc w:val="center"/>
            </w:pPr>
            <w:r>
              <w:rPr>
                <w:rFonts w:ascii="宋体" w:hAnsi="宋体" w:eastAsia="宋体"/>
                <w:sz w:val="16"/>
              </w:rPr>
              <w:t>18</w:t>
            </w:r>
          </w:p>
        </w:tc>
      </w:tr>
    </w:tbl>
    <w:p w14:paraId="1771D37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2"/>
        <w:gridCol w:w="618"/>
        <w:gridCol w:w="630"/>
      </w:tblGrid>
      <w:tr w14:paraId="5C2F0E12">
        <w:tblPrEx>
          <w:tblCellMar>
            <w:top w:w="0" w:type="dxa"/>
            <w:left w:w="108" w:type="dxa"/>
            <w:bottom w:w="0" w:type="dxa"/>
            <w:right w:w="108" w:type="dxa"/>
          </w:tblCellMar>
        </w:tblPrEx>
        <w:tc>
          <w:tcPr>
            <w:tcW w:w="8848" w:type="dxa"/>
            <w:gridSpan w:val="14"/>
            <w:vAlign w:val="center"/>
          </w:tcPr>
          <w:p w14:paraId="38742990">
            <w:pPr>
              <w:jc w:val="center"/>
            </w:pPr>
            <w:r>
              <w:rPr>
                <w:rFonts w:ascii="宋体" w:hAnsi="宋体" w:eastAsia="宋体"/>
                <w:sz w:val="24"/>
              </w:rPr>
              <w:t>项目支出绩效自评表</w:t>
            </w:r>
          </w:p>
        </w:tc>
      </w:tr>
      <w:tr w14:paraId="250A2814">
        <w:tblPrEx>
          <w:tblCellMar>
            <w:top w:w="0" w:type="dxa"/>
            <w:left w:w="108" w:type="dxa"/>
            <w:bottom w:w="0" w:type="dxa"/>
            <w:right w:w="108" w:type="dxa"/>
          </w:tblCellMar>
        </w:tblPrEx>
        <w:tc>
          <w:tcPr>
            <w:tcW w:w="8848" w:type="dxa"/>
            <w:gridSpan w:val="14"/>
            <w:vAlign w:val="center"/>
          </w:tcPr>
          <w:p w14:paraId="18141BE4">
            <w:pPr>
              <w:jc w:val="center"/>
            </w:pPr>
            <w:r>
              <w:rPr>
                <w:rFonts w:ascii="宋体" w:hAnsi="宋体" w:eastAsia="宋体"/>
                <w:sz w:val="24"/>
              </w:rPr>
              <w:t>(2024年度)</w:t>
            </w:r>
          </w:p>
        </w:tc>
      </w:tr>
      <w:tr w14:paraId="48CC9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92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EE8BB3">
            <w:pPr>
              <w:jc w:val="center"/>
            </w:pPr>
            <w:r>
              <w:rPr>
                <w:rFonts w:ascii="宋体" w:hAnsi="宋体" w:eastAsia="宋体"/>
                <w:sz w:val="16"/>
              </w:rPr>
              <w:t>2023年结转结余资金（其他收入支出）</w:t>
            </w:r>
          </w:p>
        </w:tc>
      </w:tr>
      <w:tr w14:paraId="78C30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47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31F40">
            <w:pPr>
              <w:jc w:val="center"/>
            </w:pPr>
            <w:r>
              <w:rPr>
                <w:rFonts w:ascii="宋体" w:hAnsi="宋体" w:eastAsia="宋体"/>
                <w:sz w:val="16"/>
              </w:rPr>
              <w:t>克孜勒苏柯尔克孜自治州人工影响天气工作办公室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89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72EB4A">
            <w:pPr>
              <w:jc w:val="center"/>
            </w:pPr>
            <w:r>
              <w:rPr>
                <w:rFonts w:ascii="宋体" w:hAnsi="宋体" w:eastAsia="宋体"/>
                <w:sz w:val="16"/>
              </w:rPr>
              <w:t>克孜勒苏柯尔克孜自治州人工影响天气工作办公室</w:t>
            </w:r>
          </w:p>
        </w:tc>
      </w:tr>
      <w:tr w14:paraId="0C798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DD5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B6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FF9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FF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3E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C1F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8B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91FD">
            <w:pPr>
              <w:jc w:val="center"/>
            </w:pPr>
            <w:r>
              <w:rPr>
                <w:rFonts w:ascii="宋体" w:hAnsi="宋体" w:eastAsia="宋体"/>
                <w:sz w:val="16"/>
              </w:rPr>
              <w:t>得分</w:t>
            </w:r>
          </w:p>
        </w:tc>
      </w:tr>
      <w:tr w14:paraId="0248F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D6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397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E518">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323F1">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925FB">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FA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1CB4">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05E4">
            <w:pPr>
              <w:jc w:val="center"/>
            </w:pPr>
            <w:r>
              <w:rPr>
                <w:rFonts w:ascii="宋体" w:hAnsi="宋体" w:eastAsia="宋体"/>
                <w:sz w:val="16"/>
              </w:rPr>
              <w:t>7.93分</w:t>
            </w:r>
          </w:p>
        </w:tc>
      </w:tr>
      <w:tr w14:paraId="42568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1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70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045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07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418C">
            <w:pPr>
              <w:jc w:val="center"/>
              <w:rPr>
                <w:rFonts w:hint="default" w:eastAsia="宋体"/>
                <w:lang w:val="en-US" w:eastAsia="zh-CN"/>
              </w:rPr>
            </w:pPr>
            <w:r>
              <w:rPr>
                <w:rFonts w:hint="eastAsia" w:ascii="宋体" w:hAnsi="宋体"/>
                <w:sz w:val="16"/>
                <w:lang w:val="en-US" w:eastAsia="zh-CN"/>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D3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D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D48A">
            <w:pPr>
              <w:jc w:val="center"/>
            </w:pPr>
            <w:r>
              <w:rPr>
                <w:rFonts w:ascii="宋体" w:hAnsi="宋体" w:eastAsia="宋体"/>
                <w:sz w:val="16"/>
              </w:rPr>
              <w:t>—</w:t>
            </w:r>
          </w:p>
        </w:tc>
      </w:tr>
      <w:tr w14:paraId="59B21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046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D5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6C583">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6F5C">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6D4B">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D7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F9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F653">
            <w:pPr>
              <w:jc w:val="center"/>
            </w:pPr>
            <w:r>
              <w:rPr>
                <w:rFonts w:ascii="宋体" w:hAnsi="宋体" w:eastAsia="宋体"/>
                <w:sz w:val="16"/>
              </w:rPr>
              <w:t>—</w:t>
            </w:r>
          </w:p>
        </w:tc>
      </w:tr>
      <w:tr w14:paraId="71C8FB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175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C11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D12152">
            <w:pPr>
              <w:jc w:val="center"/>
            </w:pPr>
            <w:r>
              <w:rPr>
                <w:rFonts w:ascii="宋体" w:hAnsi="宋体" w:eastAsia="宋体"/>
                <w:sz w:val="16"/>
              </w:rPr>
              <w:t>实际完成情况</w:t>
            </w:r>
          </w:p>
        </w:tc>
      </w:tr>
      <w:tr w14:paraId="35071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BC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9B92E">
            <w:pPr>
              <w:jc w:val="both"/>
            </w:pPr>
            <w:r>
              <w:rPr>
                <w:rFonts w:ascii="宋体" w:hAnsi="宋体" w:eastAsia="宋体"/>
                <w:sz w:val="16"/>
              </w:rPr>
              <w:t>项目投入总资金2.53万元人民币，用于支付扣缴职工30%基础绩效及事业单位社会保障缴费，2.53</w:t>
            </w:r>
            <w:r>
              <w:rPr>
                <w:rFonts w:hint="eastAsia" w:ascii="宋体" w:hAnsi="宋体"/>
                <w:sz w:val="16"/>
                <w:lang w:eastAsia="zh-CN"/>
              </w:rPr>
              <w:t>万</w:t>
            </w:r>
            <w:r>
              <w:rPr>
                <w:rFonts w:ascii="宋体" w:hAnsi="宋体" w:eastAsia="宋体"/>
                <w:sz w:val="16"/>
              </w:rPr>
              <w:t>元。其中2.53万元为财政资金，其他资金为0.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54175">
            <w:pPr>
              <w:jc w:val="both"/>
            </w:pPr>
            <w:r>
              <w:rPr>
                <w:rFonts w:hint="eastAsia" w:ascii="宋体" w:hAnsi="宋体"/>
                <w:sz w:val="16"/>
                <w:lang w:eastAsia="zh-CN"/>
              </w:rPr>
              <w:t>截至</w:t>
            </w:r>
            <w:r>
              <w:rPr>
                <w:rFonts w:ascii="宋体" w:hAnsi="宋体" w:eastAsia="宋体"/>
                <w:sz w:val="16"/>
              </w:rPr>
              <w:t>2024年12月，保障运行人数3人，已支出代扣在职职工30%奖励性绩效2.32万元，剩余0.21万元其他社会保障缴费还未及时支出。</w:t>
            </w:r>
          </w:p>
        </w:tc>
      </w:tr>
      <w:tr w14:paraId="37A84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66C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89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6C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03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7A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C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1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74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FE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70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AA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B7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33FA">
            <w:pPr>
              <w:jc w:val="center"/>
            </w:pPr>
            <w:r>
              <w:rPr>
                <w:rFonts w:ascii="宋体" w:hAnsi="宋体" w:eastAsia="宋体"/>
                <w:sz w:val="16"/>
              </w:rPr>
              <w:t>偏差原因分析及改进措施</w:t>
            </w:r>
          </w:p>
        </w:tc>
      </w:tr>
      <w:tr w14:paraId="078CD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3C5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79E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5C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3F5F">
            <w:pPr>
              <w:jc w:val="center"/>
            </w:pPr>
            <w:r>
              <w:rPr>
                <w:rFonts w:ascii="宋体" w:hAnsi="宋体" w:eastAsia="宋体"/>
                <w:sz w:val="16"/>
              </w:rPr>
              <w:t>保障运行人数（人）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17DE">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9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9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3B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0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E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168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B84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791B">
            <w:pPr>
              <w:jc w:val="center"/>
            </w:pPr>
          </w:p>
        </w:tc>
      </w:tr>
      <w:tr w14:paraId="61D83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D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22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BD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F6A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AC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0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84B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F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6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DA7E">
            <w:pPr>
              <w:jc w:val="center"/>
            </w:pPr>
            <w:r>
              <w:rPr>
                <w:rFonts w:ascii="宋体" w:hAnsi="宋体" w:eastAsia="宋体"/>
                <w:sz w:val="16"/>
              </w:rPr>
              <w:t>=91.69%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9D09">
            <w:pPr>
              <w:jc w:val="center"/>
            </w:pPr>
            <w:r>
              <w:rPr>
                <w:rFonts w:ascii="宋体" w:hAnsi="宋体" w:eastAsia="宋体"/>
                <w:sz w:val="16"/>
              </w:rPr>
              <w:t>11.88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9590">
            <w:pPr>
              <w:jc w:val="center"/>
            </w:pPr>
            <w:r>
              <w:rPr>
                <w:rFonts w:ascii="宋体" w:hAnsi="宋体" w:eastAsia="宋体"/>
                <w:sz w:val="16"/>
              </w:rPr>
              <w:t>偏差原因：代扣职工养老、医疗、住房公积金、其他社会保障缴费未及时支出。改进措施：2025年及时支出各项代扣保障缴费。</w:t>
            </w:r>
          </w:p>
        </w:tc>
      </w:tr>
      <w:tr w14:paraId="0849E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2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B2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2C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4DE4">
            <w:pPr>
              <w:jc w:val="center"/>
            </w:pPr>
            <w:r>
              <w:rPr>
                <w:rFonts w:ascii="宋体" w:hAnsi="宋体" w:eastAsia="宋体"/>
                <w:sz w:val="16"/>
              </w:rPr>
              <w:t>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79E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A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E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D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9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1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304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C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962B0">
            <w:pPr>
              <w:jc w:val="center"/>
            </w:pPr>
          </w:p>
        </w:tc>
      </w:tr>
      <w:tr w14:paraId="40F7B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6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AF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CF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2ABD">
            <w:pPr>
              <w:jc w:val="center"/>
            </w:pPr>
            <w:r>
              <w:rPr>
                <w:rFonts w:ascii="宋体" w:hAnsi="宋体" w:eastAsia="宋体"/>
                <w:sz w:val="16"/>
              </w:rPr>
              <w:t>资金支出成本(万元）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DB78">
            <w:pPr>
              <w:jc w:val="center"/>
            </w:pPr>
            <w:r>
              <w:rPr>
                <w:rFonts w:ascii="宋体" w:hAnsi="宋体" w:eastAsia="宋体"/>
                <w:sz w:val="16"/>
              </w:rPr>
              <w:t>&lt;=2.53万元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3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E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A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1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8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3914">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E292">
            <w:pPr>
              <w:jc w:val="center"/>
            </w:pPr>
            <w:r>
              <w:rPr>
                <w:rFonts w:ascii="宋体" w:hAnsi="宋体" w:eastAsia="宋体"/>
                <w:sz w:val="16"/>
              </w:rPr>
              <w:t>15.84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910BE">
            <w:pPr>
              <w:jc w:val="center"/>
            </w:pPr>
            <w:r>
              <w:rPr>
                <w:rFonts w:ascii="宋体" w:hAnsi="宋体" w:eastAsia="宋体"/>
                <w:sz w:val="16"/>
              </w:rPr>
              <w:t>偏差原因：代扣职工社会保障缴费未及时支出；改进措施：2025年及时将代扣部分支出完毕。</w:t>
            </w:r>
          </w:p>
        </w:tc>
      </w:tr>
      <w:tr w14:paraId="472C0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57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8CB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DE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A62B">
            <w:pPr>
              <w:jc w:val="center"/>
            </w:pPr>
            <w:r>
              <w:rPr>
                <w:rFonts w:ascii="宋体" w:hAnsi="宋体" w:eastAsia="宋体"/>
                <w:sz w:val="16"/>
              </w:rPr>
              <w:t>保障正常运行、提高职工生活保障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C9F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A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54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B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6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31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60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D8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F639">
            <w:pPr>
              <w:jc w:val="center"/>
            </w:pPr>
          </w:p>
        </w:tc>
      </w:tr>
      <w:tr w14:paraId="70703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AA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2B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7CB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8759">
            <w:pPr>
              <w:jc w:val="center"/>
            </w:pPr>
            <w:r>
              <w:rPr>
                <w:rFonts w:ascii="宋体" w:hAnsi="宋体" w:eastAsia="宋体"/>
                <w:sz w:val="16"/>
              </w:rPr>
              <w:t>保障运行，减少气象灾害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544C">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6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F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3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BD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D0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4502">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6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DF4C">
            <w:pPr>
              <w:jc w:val="center"/>
            </w:pPr>
          </w:p>
        </w:tc>
      </w:tr>
      <w:tr w14:paraId="46505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2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5F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5BFF">
            <w:pPr>
              <w:jc w:val="center"/>
            </w:pPr>
            <w:r>
              <w:rPr>
                <w:rFonts w:ascii="宋体" w:hAnsi="宋体" w:eastAsia="宋体"/>
                <w:sz w:val="16"/>
              </w:rPr>
              <w:t>公众气象服务满意度（%）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AE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F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21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7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7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E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9A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87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F9B7">
            <w:pPr>
              <w:jc w:val="center"/>
            </w:pPr>
          </w:p>
        </w:tc>
      </w:tr>
      <w:tr w14:paraId="42013D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F5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E1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A8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F39255">
            <w:pPr>
              <w:jc w:val="center"/>
            </w:pPr>
            <w:r>
              <w:rPr>
                <w:rFonts w:ascii="宋体" w:hAnsi="宋体" w:eastAsia="宋体"/>
                <w:sz w:val="16"/>
              </w:rPr>
              <w:t>90.65分</w:t>
            </w:r>
          </w:p>
        </w:tc>
      </w:tr>
    </w:tbl>
    <w:p w14:paraId="743374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637708E">
        <w:tblPrEx>
          <w:tblCellMar>
            <w:top w:w="0" w:type="dxa"/>
            <w:left w:w="108" w:type="dxa"/>
            <w:bottom w:w="0" w:type="dxa"/>
            <w:right w:w="108" w:type="dxa"/>
          </w:tblCellMar>
        </w:tblPrEx>
        <w:tc>
          <w:tcPr>
            <w:tcW w:w="8848" w:type="dxa"/>
            <w:gridSpan w:val="14"/>
            <w:vAlign w:val="center"/>
          </w:tcPr>
          <w:p w14:paraId="7BF1C7B3">
            <w:pPr>
              <w:jc w:val="center"/>
            </w:pPr>
            <w:r>
              <w:rPr>
                <w:rFonts w:ascii="宋体" w:hAnsi="宋体" w:eastAsia="宋体"/>
                <w:sz w:val="24"/>
              </w:rPr>
              <w:t>项目支出绩效自评表</w:t>
            </w:r>
          </w:p>
        </w:tc>
      </w:tr>
      <w:tr w14:paraId="27D40917">
        <w:tblPrEx>
          <w:tblCellMar>
            <w:top w:w="0" w:type="dxa"/>
            <w:left w:w="108" w:type="dxa"/>
            <w:bottom w:w="0" w:type="dxa"/>
            <w:right w:w="108" w:type="dxa"/>
          </w:tblCellMar>
        </w:tblPrEx>
        <w:tc>
          <w:tcPr>
            <w:tcW w:w="8848" w:type="dxa"/>
            <w:gridSpan w:val="14"/>
            <w:vAlign w:val="center"/>
          </w:tcPr>
          <w:p w14:paraId="6DFF52A6">
            <w:pPr>
              <w:jc w:val="center"/>
            </w:pPr>
            <w:r>
              <w:rPr>
                <w:rFonts w:ascii="宋体" w:hAnsi="宋体" w:eastAsia="宋体"/>
                <w:sz w:val="24"/>
              </w:rPr>
              <w:t>(2024年度)</w:t>
            </w:r>
          </w:p>
        </w:tc>
      </w:tr>
      <w:tr w14:paraId="1EA4B0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AA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6801A2">
            <w:pPr>
              <w:jc w:val="center"/>
            </w:pPr>
            <w:r>
              <w:rPr>
                <w:rFonts w:ascii="宋体" w:hAnsi="宋体" w:eastAsia="宋体"/>
                <w:sz w:val="16"/>
              </w:rPr>
              <w:t>2024年克州人影能力建设项目（区域自动站维修维护））</w:t>
            </w:r>
          </w:p>
        </w:tc>
      </w:tr>
      <w:tr w14:paraId="1DF59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38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53828">
            <w:pPr>
              <w:jc w:val="center"/>
            </w:pPr>
            <w:r>
              <w:rPr>
                <w:rFonts w:ascii="宋体" w:hAnsi="宋体" w:eastAsia="宋体"/>
                <w:sz w:val="16"/>
              </w:rPr>
              <w:t>克州人工影响天气工作办公室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73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D8574">
            <w:pPr>
              <w:jc w:val="center"/>
            </w:pPr>
            <w:r>
              <w:rPr>
                <w:rFonts w:ascii="宋体" w:hAnsi="宋体" w:eastAsia="宋体"/>
                <w:sz w:val="16"/>
              </w:rPr>
              <w:t>克孜勒苏柯尔克孜自治州人工影响天气工作办公室</w:t>
            </w:r>
          </w:p>
        </w:tc>
      </w:tr>
      <w:tr w14:paraId="442CDD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D25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4C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97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88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3D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6BF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D0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BE16">
            <w:pPr>
              <w:jc w:val="center"/>
            </w:pPr>
            <w:r>
              <w:rPr>
                <w:rFonts w:ascii="宋体" w:hAnsi="宋体" w:eastAsia="宋体"/>
                <w:sz w:val="16"/>
              </w:rPr>
              <w:t>得分</w:t>
            </w:r>
          </w:p>
        </w:tc>
      </w:tr>
      <w:tr w14:paraId="01E7C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415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EF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F26F">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2B44C">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84FB8">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1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908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56CE">
            <w:pPr>
              <w:jc w:val="center"/>
            </w:pPr>
            <w:r>
              <w:rPr>
                <w:rFonts w:ascii="宋体" w:hAnsi="宋体" w:eastAsia="宋体"/>
                <w:sz w:val="16"/>
              </w:rPr>
              <w:t>10.00分</w:t>
            </w:r>
          </w:p>
        </w:tc>
      </w:tr>
      <w:tr w14:paraId="458E5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B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D5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1D00">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5AF3">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FC81">
            <w:pPr>
              <w:jc w:val="center"/>
            </w:pPr>
            <w:r>
              <w:rPr>
                <w:rFonts w:ascii="宋体" w:hAnsi="宋体" w:eastAsia="宋体"/>
                <w:sz w:val="16"/>
              </w:rPr>
              <w:t>16.25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94A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00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62B2">
            <w:pPr>
              <w:jc w:val="center"/>
            </w:pPr>
            <w:r>
              <w:rPr>
                <w:rFonts w:ascii="宋体" w:hAnsi="宋体" w:eastAsia="宋体"/>
                <w:sz w:val="16"/>
              </w:rPr>
              <w:t>—</w:t>
            </w:r>
          </w:p>
        </w:tc>
      </w:tr>
      <w:tr w14:paraId="6DEC5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F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1C0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A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1B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13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31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AD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D52D">
            <w:pPr>
              <w:jc w:val="center"/>
            </w:pPr>
            <w:r>
              <w:rPr>
                <w:rFonts w:ascii="宋体" w:hAnsi="宋体" w:eastAsia="宋体"/>
                <w:sz w:val="16"/>
              </w:rPr>
              <w:t>—</w:t>
            </w:r>
          </w:p>
        </w:tc>
      </w:tr>
      <w:tr w14:paraId="72805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103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958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FEEC3F">
            <w:pPr>
              <w:jc w:val="center"/>
            </w:pPr>
            <w:r>
              <w:rPr>
                <w:rFonts w:ascii="宋体" w:hAnsi="宋体" w:eastAsia="宋体"/>
                <w:sz w:val="16"/>
              </w:rPr>
              <w:t>实际完成情况</w:t>
            </w:r>
          </w:p>
        </w:tc>
      </w:tr>
      <w:tr w14:paraId="7AAD0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1D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E0DFF9">
            <w:pPr>
              <w:jc w:val="both"/>
            </w:pPr>
            <w:r>
              <w:rPr>
                <w:rFonts w:ascii="宋体" w:hAnsi="宋体" w:eastAsia="宋体"/>
                <w:sz w:val="16"/>
              </w:rPr>
              <w:t>该项目总投资16.25万元，其中：财政资金为16.25万元，其他资金0 万元，用于65个区域自动气象站日常维护、安全巡查、仪器现场校验及故障维修等。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F46AF">
            <w:pPr>
              <w:jc w:val="both"/>
            </w:pPr>
            <w:r>
              <w:rPr>
                <w:rFonts w:ascii="宋体" w:hAnsi="宋体" w:eastAsia="宋体"/>
                <w:sz w:val="16"/>
              </w:rPr>
              <w:t>项目总投资16.25万元，共计支出16.25万元，用于65个区域自动气象站日常维护、安全巡查、仪器现场校验及故障维修等。</w:t>
            </w:r>
          </w:p>
        </w:tc>
      </w:tr>
      <w:tr w14:paraId="6DC5E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ACB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AA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6A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79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4A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59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33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AD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FD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1A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6E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82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C685">
            <w:pPr>
              <w:jc w:val="center"/>
            </w:pPr>
            <w:r>
              <w:rPr>
                <w:rFonts w:ascii="宋体" w:hAnsi="宋体" w:eastAsia="宋体"/>
                <w:sz w:val="16"/>
              </w:rPr>
              <w:t>偏差原因分析及改进措施</w:t>
            </w:r>
          </w:p>
        </w:tc>
      </w:tr>
      <w:tr w14:paraId="0ABA0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FF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31B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3A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95E5">
            <w:pPr>
              <w:jc w:val="center"/>
            </w:pPr>
            <w:r>
              <w:rPr>
                <w:rFonts w:ascii="宋体" w:hAnsi="宋体" w:eastAsia="宋体"/>
                <w:sz w:val="16"/>
              </w:rPr>
              <w:t>区域自动站维修维护保障个数（个）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97D4">
            <w:pPr>
              <w:jc w:val="center"/>
            </w:pPr>
            <w:r>
              <w:rPr>
                <w:rFonts w:ascii="宋体" w:hAnsi="宋体" w:eastAsia="宋体"/>
                <w:sz w:val="16"/>
              </w:rPr>
              <w:t>&gt;=65个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C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8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2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A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5BBD">
            <w:pPr>
              <w:jc w:val="center"/>
            </w:pPr>
            <w:r>
              <w:rPr>
                <w:rFonts w:ascii="宋体" w:hAnsi="宋体" w:eastAsia="宋体"/>
                <w:sz w:val="16"/>
              </w:rPr>
              <w: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0F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39AF5">
            <w:pPr>
              <w:jc w:val="center"/>
            </w:pPr>
          </w:p>
        </w:tc>
      </w:tr>
      <w:tr w14:paraId="33CC4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6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60B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F27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9D87">
            <w:pPr>
              <w:jc w:val="center"/>
            </w:pPr>
            <w:r>
              <w:rPr>
                <w:rFonts w:ascii="宋体" w:hAnsi="宋体" w:eastAsia="宋体"/>
                <w:sz w:val="16"/>
              </w:rPr>
              <w:t>自动站维护覆盖率（%）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D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A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B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1B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4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8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8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9C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4EB6">
            <w:pPr>
              <w:jc w:val="center"/>
            </w:pPr>
          </w:p>
        </w:tc>
      </w:tr>
      <w:tr w14:paraId="78327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6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6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A0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77E6">
            <w:pPr>
              <w:jc w:val="center"/>
            </w:pPr>
            <w:r>
              <w:rPr>
                <w:rFonts w:ascii="宋体" w:hAnsi="宋体" w:eastAsia="宋体"/>
                <w:sz w:val="16"/>
              </w:rPr>
              <w:t>观测装备业务可用性（%）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FACF">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E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5E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3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8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8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4F8A">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7B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1F6F">
            <w:pPr>
              <w:jc w:val="center"/>
            </w:pPr>
          </w:p>
        </w:tc>
      </w:tr>
      <w:tr w14:paraId="139DC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F4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624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567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5028">
            <w:pPr>
              <w:jc w:val="center"/>
            </w:pPr>
            <w:r>
              <w:rPr>
                <w:rFonts w:ascii="宋体" w:hAnsi="宋体" w:eastAsia="宋体"/>
                <w:sz w:val="16"/>
              </w:rPr>
              <w:t>观测数据可用率（%）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D922">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0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F7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8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2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6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EF3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FC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3009">
            <w:pPr>
              <w:jc w:val="center"/>
            </w:pPr>
          </w:p>
        </w:tc>
      </w:tr>
      <w:tr w14:paraId="39421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8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D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5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BEE6">
            <w:pPr>
              <w:jc w:val="center"/>
            </w:pPr>
            <w:r>
              <w:rPr>
                <w:rFonts w:ascii="宋体" w:hAnsi="宋体" w:eastAsia="宋体"/>
                <w:sz w:val="16"/>
              </w:rPr>
              <w:t>观测站数据传送及时率（%）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5EC2">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E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A1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C2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D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2A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493">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B6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087F">
            <w:pPr>
              <w:jc w:val="center"/>
            </w:pPr>
          </w:p>
        </w:tc>
      </w:tr>
      <w:tr w14:paraId="32775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2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B2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71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A737">
            <w:pPr>
              <w:jc w:val="center"/>
            </w:pPr>
            <w:r>
              <w:rPr>
                <w:rFonts w:ascii="宋体" w:hAnsi="宋体" w:eastAsia="宋体"/>
                <w:sz w:val="16"/>
              </w:rPr>
              <w:t>区域自动站维护费（元/个）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4190">
            <w:pPr>
              <w:jc w:val="center"/>
            </w:pPr>
            <w:r>
              <w:rPr>
                <w:rFonts w:ascii="宋体" w:hAnsi="宋体" w:eastAsia="宋体"/>
                <w:sz w:val="16"/>
              </w:rPr>
              <w:t>=2500元/个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7E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6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58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5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7C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0292">
            <w:pPr>
              <w:jc w:val="center"/>
            </w:pPr>
            <w:r>
              <w:rPr>
                <w:rFonts w:ascii="宋体" w:hAnsi="宋体" w:eastAsia="宋体"/>
                <w:sz w:val="16"/>
              </w:rPr>
              <w:t>=2500元/个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30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9A9F">
            <w:pPr>
              <w:jc w:val="center"/>
            </w:pPr>
          </w:p>
        </w:tc>
      </w:tr>
      <w:tr w14:paraId="22FC5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6F5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A98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C1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3548">
            <w:pPr>
              <w:jc w:val="center"/>
            </w:pPr>
            <w:r>
              <w:rPr>
                <w:rFonts w:ascii="宋体" w:hAnsi="宋体" w:eastAsia="宋体"/>
                <w:sz w:val="16"/>
              </w:rPr>
              <w:t>加大重大天气监测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F60C">
            <w:pPr>
              <w:jc w:val="center"/>
            </w:pPr>
            <w:r>
              <w:rPr>
                <w:rFonts w:ascii="宋体" w:hAnsi="宋体" w:eastAsia="宋体"/>
                <w:sz w:val="16"/>
              </w:rPr>
              <w:t>提升气象监测能力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6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B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C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F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F2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95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E3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0A60">
            <w:pPr>
              <w:jc w:val="center"/>
            </w:pPr>
          </w:p>
        </w:tc>
      </w:tr>
      <w:tr w14:paraId="56E00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F9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B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5A0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59DC">
            <w:pPr>
              <w:jc w:val="center"/>
            </w:pPr>
            <w:r>
              <w:rPr>
                <w:rFonts w:ascii="宋体" w:hAnsi="宋体" w:eastAsia="宋体"/>
                <w:sz w:val="16"/>
              </w:rPr>
              <w:t>为人工降雨（降雪）</w:t>
            </w:r>
            <w:r>
              <w:rPr>
                <w:rFonts w:hint="eastAsia" w:ascii="宋体" w:hAnsi="宋体"/>
                <w:sz w:val="16"/>
                <w:lang w:eastAsia="zh-CN"/>
              </w:rPr>
              <w:t>提供</w:t>
            </w:r>
            <w:r>
              <w:rPr>
                <w:rFonts w:ascii="宋体" w:hAnsi="宋体" w:eastAsia="宋体"/>
                <w:sz w:val="16"/>
              </w:rPr>
              <w:t>技术支撑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64A6">
            <w:pPr>
              <w:jc w:val="center"/>
            </w:pPr>
            <w:r>
              <w:rPr>
                <w:rFonts w:ascii="宋体" w:hAnsi="宋体" w:eastAsia="宋体"/>
                <w:sz w:val="16"/>
              </w:rPr>
              <w:t>提升人工降雨（降雪）能力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6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3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23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EC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EF4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43C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61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16BC">
            <w:pPr>
              <w:jc w:val="center"/>
            </w:pPr>
          </w:p>
        </w:tc>
      </w:tr>
      <w:tr w14:paraId="55381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2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32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0F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AF6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38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D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2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4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CB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D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BE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7A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5873">
            <w:pPr>
              <w:jc w:val="center"/>
            </w:pPr>
          </w:p>
        </w:tc>
      </w:tr>
      <w:tr w14:paraId="44F36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34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8A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78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B015F">
            <w:pPr>
              <w:jc w:val="center"/>
            </w:pPr>
            <w:r>
              <w:rPr>
                <w:rFonts w:ascii="宋体" w:hAnsi="宋体" w:eastAsia="宋体"/>
                <w:sz w:val="16"/>
              </w:rPr>
              <w:t>100分</w:t>
            </w:r>
          </w:p>
        </w:tc>
      </w:tr>
    </w:tbl>
    <w:p w14:paraId="307D91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EA02456">
        <w:tblPrEx>
          <w:tblCellMar>
            <w:top w:w="0" w:type="dxa"/>
            <w:left w:w="108" w:type="dxa"/>
            <w:bottom w:w="0" w:type="dxa"/>
            <w:right w:w="108" w:type="dxa"/>
          </w:tblCellMar>
        </w:tblPrEx>
        <w:tc>
          <w:tcPr>
            <w:tcW w:w="8848" w:type="dxa"/>
            <w:gridSpan w:val="14"/>
            <w:vAlign w:val="center"/>
          </w:tcPr>
          <w:p w14:paraId="2BD22CC4">
            <w:pPr>
              <w:jc w:val="center"/>
            </w:pPr>
            <w:r>
              <w:rPr>
                <w:rFonts w:ascii="宋体" w:hAnsi="宋体" w:eastAsia="宋体"/>
                <w:sz w:val="24"/>
              </w:rPr>
              <w:t>项目支出绩效自评表</w:t>
            </w:r>
          </w:p>
        </w:tc>
      </w:tr>
      <w:tr w14:paraId="5EFFB6AA">
        <w:tblPrEx>
          <w:tblCellMar>
            <w:top w:w="0" w:type="dxa"/>
            <w:left w:w="108" w:type="dxa"/>
            <w:bottom w:w="0" w:type="dxa"/>
            <w:right w:w="108" w:type="dxa"/>
          </w:tblCellMar>
        </w:tblPrEx>
        <w:tc>
          <w:tcPr>
            <w:tcW w:w="8848" w:type="dxa"/>
            <w:gridSpan w:val="14"/>
            <w:vAlign w:val="center"/>
          </w:tcPr>
          <w:p w14:paraId="682B8C78">
            <w:pPr>
              <w:jc w:val="center"/>
            </w:pPr>
            <w:r>
              <w:rPr>
                <w:rFonts w:ascii="宋体" w:hAnsi="宋体" w:eastAsia="宋体"/>
                <w:sz w:val="24"/>
              </w:rPr>
              <w:t>(2024年度)</w:t>
            </w:r>
          </w:p>
        </w:tc>
      </w:tr>
      <w:tr w14:paraId="4523D8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8D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B48C96">
            <w:pPr>
              <w:jc w:val="center"/>
            </w:pPr>
            <w:r>
              <w:rPr>
                <w:rFonts w:ascii="宋体" w:hAnsi="宋体" w:eastAsia="宋体"/>
                <w:sz w:val="16"/>
              </w:rPr>
              <w:t>2024年度人影能力建设项目</w:t>
            </w:r>
          </w:p>
        </w:tc>
      </w:tr>
      <w:tr w14:paraId="332157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1B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928CD">
            <w:pPr>
              <w:jc w:val="center"/>
            </w:pPr>
            <w:r>
              <w:rPr>
                <w:rFonts w:ascii="宋体" w:hAnsi="宋体" w:eastAsia="宋体"/>
                <w:sz w:val="16"/>
              </w:rPr>
              <w:t>克孜勒苏柯尔克孜自治州人工影响天气工作办公室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84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3E114">
            <w:pPr>
              <w:jc w:val="center"/>
            </w:pPr>
            <w:r>
              <w:rPr>
                <w:rFonts w:ascii="宋体" w:hAnsi="宋体" w:eastAsia="宋体"/>
                <w:sz w:val="16"/>
              </w:rPr>
              <w:t>克孜勒苏柯尔克孜自治州人工影响天气工作办公室</w:t>
            </w:r>
          </w:p>
        </w:tc>
      </w:tr>
      <w:tr w14:paraId="00C988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617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04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F1A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48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0C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0A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A4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A869">
            <w:pPr>
              <w:jc w:val="center"/>
            </w:pPr>
            <w:r>
              <w:rPr>
                <w:rFonts w:ascii="宋体" w:hAnsi="宋体" w:eastAsia="宋体"/>
                <w:sz w:val="16"/>
              </w:rPr>
              <w:t>得分</w:t>
            </w:r>
          </w:p>
        </w:tc>
      </w:tr>
      <w:tr w14:paraId="5813A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F7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A1B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D99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EFF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1A2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C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833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4E76">
            <w:pPr>
              <w:jc w:val="center"/>
            </w:pPr>
            <w:r>
              <w:rPr>
                <w:rFonts w:ascii="宋体" w:hAnsi="宋体" w:eastAsia="宋体"/>
                <w:sz w:val="16"/>
              </w:rPr>
              <w:t>10.00分</w:t>
            </w:r>
          </w:p>
        </w:tc>
      </w:tr>
      <w:tr w14:paraId="47A73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43A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C8B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4FD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1A3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C48F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7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4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64D7">
            <w:pPr>
              <w:jc w:val="center"/>
            </w:pPr>
            <w:r>
              <w:rPr>
                <w:rFonts w:ascii="宋体" w:hAnsi="宋体" w:eastAsia="宋体"/>
                <w:sz w:val="16"/>
              </w:rPr>
              <w:t>—</w:t>
            </w:r>
          </w:p>
        </w:tc>
      </w:tr>
      <w:tr w14:paraId="13534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CAD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CBD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87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F7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EB6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37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5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AC3A">
            <w:pPr>
              <w:jc w:val="center"/>
            </w:pPr>
            <w:r>
              <w:rPr>
                <w:rFonts w:ascii="宋体" w:hAnsi="宋体" w:eastAsia="宋体"/>
                <w:sz w:val="16"/>
              </w:rPr>
              <w:t>—</w:t>
            </w:r>
          </w:p>
        </w:tc>
      </w:tr>
      <w:tr w14:paraId="28A699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25C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BD3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4546D">
            <w:pPr>
              <w:jc w:val="center"/>
            </w:pPr>
            <w:r>
              <w:rPr>
                <w:rFonts w:ascii="宋体" w:hAnsi="宋体" w:eastAsia="宋体"/>
                <w:sz w:val="16"/>
              </w:rPr>
              <w:t>实际完成情况</w:t>
            </w:r>
          </w:p>
        </w:tc>
      </w:tr>
      <w:tr w14:paraId="7213F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56A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7D8E2">
            <w:pPr>
              <w:jc w:val="both"/>
            </w:pPr>
            <w:r>
              <w:rPr>
                <w:rFonts w:ascii="宋体" w:hAnsi="宋体" w:eastAsia="宋体"/>
                <w:sz w:val="16"/>
              </w:rPr>
              <w:t>该项目总投资20万元，其中：财政资金为20万元，其他资金0万元，目标1、购买人影弹药101枚，0.198万元/枚。通过实施该项目达到改善生态环境的效果，主要用于开展部分区域自动气象站维护保障，开展抗击伏旱、增加水资源和改善生态环境为目和增加封冻前土壤含水量和水库蓄水量的增雨，有利于增加山区积雪、土壤墒情、净化空气、降低森林火险等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B32C3">
            <w:pPr>
              <w:jc w:val="both"/>
            </w:pPr>
            <w:r>
              <w:rPr>
                <w:rFonts w:hint="eastAsia" w:ascii="宋体" w:hAnsi="宋体"/>
                <w:sz w:val="16"/>
                <w:lang w:eastAsia="zh-CN"/>
              </w:rPr>
              <w:t>截至</w:t>
            </w:r>
            <w:r>
              <w:rPr>
                <w:rFonts w:ascii="宋体" w:hAnsi="宋体" w:eastAsia="宋体"/>
                <w:sz w:val="16"/>
              </w:rPr>
              <w:t>2024年，年初预算项目20用于购买101枚火箭弹，已完成支出。</w:t>
            </w:r>
          </w:p>
        </w:tc>
      </w:tr>
      <w:tr w14:paraId="2B05C1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62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F4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2D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33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72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3B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0C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D3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6F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14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8F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4F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11EC">
            <w:pPr>
              <w:jc w:val="center"/>
            </w:pPr>
            <w:r>
              <w:rPr>
                <w:rFonts w:ascii="宋体" w:hAnsi="宋体" w:eastAsia="宋体"/>
                <w:sz w:val="16"/>
              </w:rPr>
              <w:t>偏差原因分析及改进措施</w:t>
            </w:r>
          </w:p>
        </w:tc>
      </w:tr>
      <w:tr w14:paraId="5EDC6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381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EA1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B7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9F86">
            <w:pPr>
              <w:jc w:val="center"/>
            </w:pPr>
            <w:r>
              <w:rPr>
                <w:rFonts w:ascii="宋体" w:hAnsi="宋体" w:eastAsia="宋体"/>
                <w:sz w:val="16"/>
              </w:rPr>
              <w:t>购置人影弹药数量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21B1">
            <w:pPr>
              <w:jc w:val="center"/>
            </w:pPr>
            <w:r>
              <w:rPr>
                <w:rFonts w:ascii="宋体" w:hAnsi="宋体" w:eastAsia="宋体"/>
                <w:sz w:val="16"/>
              </w:rPr>
              <w:t>&gt;=101枚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3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93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1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3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17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E573">
            <w:pPr>
              <w:jc w:val="center"/>
            </w:pPr>
            <w:r>
              <w:rPr>
                <w:rFonts w:ascii="宋体" w:hAnsi="宋体" w:eastAsia="宋体"/>
                <w:sz w:val="16"/>
              </w:rPr>
              <w:t>=101枚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D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12126">
            <w:pPr>
              <w:jc w:val="center"/>
            </w:pPr>
          </w:p>
        </w:tc>
      </w:tr>
      <w:tr w14:paraId="30BBF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80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FAF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36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53E8">
            <w:pPr>
              <w:jc w:val="center"/>
            </w:pPr>
            <w:r>
              <w:rPr>
                <w:rFonts w:ascii="宋体" w:hAnsi="宋体" w:eastAsia="宋体"/>
                <w:sz w:val="16"/>
              </w:rPr>
              <w:t>火箭弹质量验收合格率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3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6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C0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2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F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D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B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D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DF61">
            <w:pPr>
              <w:jc w:val="center"/>
            </w:pPr>
          </w:p>
        </w:tc>
      </w:tr>
      <w:tr w14:paraId="2B95B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2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2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3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7E6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7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F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E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4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8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B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D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A5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C5B1">
            <w:pPr>
              <w:jc w:val="center"/>
            </w:pPr>
          </w:p>
        </w:tc>
      </w:tr>
      <w:tr w14:paraId="492E9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7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B8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74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8FA2">
            <w:pPr>
              <w:jc w:val="center"/>
            </w:pPr>
            <w:r>
              <w:rPr>
                <w:rFonts w:ascii="宋体" w:hAnsi="宋体" w:eastAsia="宋体"/>
                <w:sz w:val="16"/>
              </w:rPr>
              <w:t>火箭弹采购完成时间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EDC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D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D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0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7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FB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433C">
            <w:pPr>
              <w:jc w:val="center"/>
            </w:pPr>
            <w:r>
              <w:rPr>
                <w:rFonts w:ascii="宋体" w:hAnsi="宋体" w:eastAsia="宋体"/>
                <w:sz w:val="16"/>
              </w:rPr>
              <w:t>=100年12月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B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505B">
            <w:pPr>
              <w:jc w:val="center"/>
            </w:pPr>
          </w:p>
        </w:tc>
      </w:tr>
      <w:tr w14:paraId="4B154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13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EEA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97B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3D01">
            <w:pPr>
              <w:jc w:val="center"/>
            </w:pPr>
            <w:r>
              <w:rPr>
                <w:rFonts w:ascii="宋体" w:hAnsi="宋体" w:eastAsia="宋体"/>
                <w:sz w:val="16"/>
              </w:rPr>
              <w:t>购买火箭弹成本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3C6D">
            <w:pPr>
              <w:jc w:val="center"/>
            </w:pPr>
            <w:r>
              <w:rPr>
                <w:rFonts w:ascii="宋体" w:hAnsi="宋体" w:eastAsia="宋体"/>
                <w:sz w:val="16"/>
              </w:rPr>
              <w:t>&lt;=0.198万元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B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5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7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7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19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009F">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4A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622D">
            <w:pPr>
              <w:jc w:val="center"/>
            </w:pPr>
          </w:p>
        </w:tc>
      </w:tr>
      <w:tr w14:paraId="474D8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D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50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3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7F9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D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BE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66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7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A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DA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8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E4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BC85">
            <w:pPr>
              <w:jc w:val="center"/>
            </w:pPr>
          </w:p>
        </w:tc>
      </w:tr>
      <w:tr w14:paraId="7A99C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001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461C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200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E0D4">
            <w:pPr>
              <w:jc w:val="center"/>
            </w:pPr>
            <w:r>
              <w:rPr>
                <w:rFonts w:ascii="宋体" w:hAnsi="宋体" w:eastAsia="宋体"/>
                <w:sz w:val="16"/>
              </w:rPr>
              <w:t>有效增加水资源和改善生态环境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9F8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1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F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3F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6E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04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D1B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D4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D3B6">
            <w:pPr>
              <w:jc w:val="center"/>
            </w:pPr>
          </w:p>
        </w:tc>
      </w:tr>
      <w:tr w14:paraId="7EE1D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91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F4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6B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DCE9">
            <w:pPr>
              <w:jc w:val="center"/>
            </w:pPr>
            <w:r>
              <w:rPr>
                <w:rFonts w:ascii="宋体" w:hAnsi="宋体" w:eastAsia="宋体"/>
                <w:sz w:val="16"/>
              </w:rPr>
              <w:t>火箭弹利用率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1638">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E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A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FE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3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4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2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B3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2761">
            <w:pPr>
              <w:jc w:val="center"/>
            </w:pPr>
          </w:p>
        </w:tc>
      </w:tr>
      <w:tr w14:paraId="41C26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DB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72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A40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404B">
            <w:pPr>
              <w:jc w:val="center"/>
            </w:pPr>
            <w:r>
              <w:rPr>
                <w:rFonts w:ascii="宋体" w:hAnsi="宋体" w:eastAsia="宋体"/>
                <w:sz w:val="16"/>
              </w:rPr>
              <w:t>减少气象灾害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3627">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D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A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E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84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6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BF4">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CA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C559">
            <w:pPr>
              <w:jc w:val="center"/>
            </w:pPr>
          </w:p>
        </w:tc>
      </w:tr>
      <w:tr w14:paraId="6E40A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2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7E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ED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B74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A2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5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A5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1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15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6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F8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B3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8BA1">
            <w:pPr>
              <w:jc w:val="center"/>
            </w:pPr>
          </w:p>
        </w:tc>
      </w:tr>
      <w:tr w14:paraId="589C4E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A8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05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8E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2F0D8">
            <w:pPr>
              <w:jc w:val="center"/>
            </w:pPr>
            <w:r>
              <w:rPr>
                <w:rFonts w:ascii="宋体" w:hAnsi="宋体" w:eastAsia="宋体"/>
                <w:sz w:val="16"/>
              </w:rPr>
              <w:t>100分</w:t>
            </w:r>
          </w:p>
        </w:tc>
      </w:tr>
    </w:tbl>
    <w:p w14:paraId="498BE099">
      <w:r>
        <w:br w:type="page"/>
      </w:r>
    </w:p>
    <w:p w14:paraId="76DFBF4B">
      <w:pPr>
        <w:spacing w:line="640" w:lineRule="exact"/>
        <w:ind w:firstLine="640"/>
        <w:jc w:val="both"/>
        <w:outlineLvl w:val="2"/>
      </w:pPr>
      <w:r>
        <w:rPr>
          <w:rFonts w:ascii="黑体" w:hAnsi="黑体" w:eastAsia="黑体"/>
          <w:sz w:val="32"/>
        </w:rPr>
        <w:t>十二、其他需说明的事项</w:t>
      </w:r>
    </w:p>
    <w:p w14:paraId="779CA808">
      <w:pPr>
        <w:spacing w:line="580" w:lineRule="exact"/>
        <w:ind w:firstLine="640"/>
        <w:jc w:val="both"/>
      </w:pPr>
      <w:r>
        <w:rPr>
          <w:rFonts w:ascii="仿宋_GB2312" w:hAnsi="仿宋_GB2312" w:eastAsia="仿宋_GB2312"/>
          <w:b w:val="0"/>
          <w:sz w:val="32"/>
        </w:rPr>
        <w:t>本单位无其他需说明的事项。</w:t>
      </w:r>
    </w:p>
    <w:p w14:paraId="3EC33CF1">
      <w:r>
        <w:br w:type="page"/>
      </w:r>
    </w:p>
    <w:p w14:paraId="1108C282">
      <w:pPr>
        <w:spacing w:line="240" w:lineRule="auto"/>
        <w:jc w:val="center"/>
        <w:outlineLvl w:val="1"/>
      </w:pPr>
      <w:r>
        <w:rPr>
          <w:rFonts w:ascii="黑体" w:hAnsi="黑体" w:eastAsia="黑体"/>
          <w:sz w:val="32"/>
        </w:rPr>
        <w:t>第三部分 专业名词解释</w:t>
      </w:r>
    </w:p>
    <w:p w14:paraId="56B1AEB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11E39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2EFE5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6B98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3F714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824A2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3F396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EE46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A993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20071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E3429F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C04F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8DCF2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04DA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134AEF">
      <w:r>
        <w:br w:type="page"/>
      </w:r>
    </w:p>
    <w:p w14:paraId="2C509221">
      <w:pPr>
        <w:spacing w:line="240" w:lineRule="auto"/>
        <w:jc w:val="center"/>
        <w:outlineLvl w:val="1"/>
      </w:pPr>
      <w:r>
        <w:rPr>
          <w:rFonts w:ascii="黑体" w:hAnsi="黑体" w:eastAsia="黑体"/>
          <w:sz w:val="32"/>
        </w:rPr>
        <w:t>第四部分 部门决算报表（见附表）</w:t>
      </w:r>
    </w:p>
    <w:p w14:paraId="45B5F977">
      <w:pPr>
        <w:spacing w:line="240" w:lineRule="auto"/>
        <w:ind w:firstLine="640"/>
        <w:jc w:val="both"/>
      </w:pPr>
      <w:r>
        <w:rPr>
          <w:rFonts w:ascii="仿宋_GB2312" w:hAnsi="仿宋_GB2312" w:eastAsia="仿宋_GB2312"/>
          <w:b w:val="0"/>
          <w:sz w:val="32"/>
        </w:rPr>
        <w:t>一、《收入支出决算总表》</w:t>
      </w:r>
    </w:p>
    <w:p w14:paraId="2F702B2B">
      <w:pPr>
        <w:spacing w:line="240" w:lineRule="auto"/>
        <w:ind w:firstLine="640"/>
        <w:jc w:val="both"/>
      </w:pPr>
      <w:r>
        <w:rPr>
          <w:rFonts w:ascii="仿宋_GB2312" w:hAnsi="仿宋_GB2312" w:eastAsia="仿宋_GB2312"/>
          <w:b w:val="0"/>
          <w:sz w:val="32"/>
        </w:rPr>
        <w:t>二、《收入决算表》</w:t>
      </w:r>
    </w:p>
    <w:p w14:paraId="3D43B7DB">
      <w:pPr>
        <w:spacing w:line="240" w:lineRule="auto"/>
        <w:ind w:firstLine="640"/>
        <w:jc w:val="both"/>
      </w:pPr>
      <w:r>
        <w:rPr>
          <w:rFonts w:ascii="仿宋_GB2312" w:hAnsi="仿宋_GB2312" w:eastAsia="仿宋_GB2312"/>
          <w:b w:val="0"/>
          <w:sz w:val="32"/>
        </w:rPr>
        <w:t>三、《支出决算表》</w:t>
      </w:r>
    </w:p>
    <w:p w14:paraId="1CD24C51">
      <w:pPr>
        <w:spacing w:line="240" w:lineRule="auto"/>
        <w:ind w:firstLine="640"/>
        <w:jc w:val="both"/>
      </w:pPr>
      <w:r>
        <w:rPr>
          <w:rFonts w:ascii="仿宋_GB2312" w:hAnsi="仿宋_GB2312" w:eastAsia="仿宋_GB2312"/>
          <w:b w:val="0"/>
          <w:sz w:val="32"/>
        </w:rPr>
        <w:t>四、《财政拨款收入支出决算总表》</w:t>
      </w:r>
    </w:p>
    <w:p w14:paraId="49F3EA78">
      <w:pPr>
        <w:spacing w:line="240" w:lineRule="auto"/>
        <w:ind w:firstLine="640"/>
        <w:jc w:val="both"/>
      </w:pPr>
      <w:r>
        <w:rPr>
          <w:rFonts w:ascii="仿宋_GB2312" w:hAnsi="仿宋_GB2312" w:eastAsia="仿宋_GB2312"/>
          <w:b w:val="0"/>
          <w:sz w:val="32"/>
        </w:rPr>
        <w:t>五、《一般公共预算财政拨款支出决算表》</w:t>
      </w:r>
    </w:p>
    <w:p w14:paraId="2D587D6F">
      <w:pPr>
        <w:spacing w:line="240" w:lineRule="auto"/>
        <w:ind w:firstLine="640"/>
        <w:jc w:val="both"/>
      </w:pPr>
      <w:r>
        <w:rPr>
          <w:rFonts w:ascii="仿宋_GB2312" w:hAnsi="仿宋_GB2312" w:eastAsia="仿宋_GB2312"/>
          <w:b w:val="0"/>
          <w:sz w:val="32"/>
        </w:rPr>
        <w:t>六、《一般公共预算财政拨款基本支出决算表》</w:t>
      </w:r>
    </w:p>
    <w:p w14:paraId="6806D41F">
      <w:pPr>
        <w:spacing w:line="240" w:lineRule="auto"/>
        <w:ind w:firstLine="640"/>
        <w:jc w:val="both"/>
      </w:pPr>
      <w:r>
        <w:rPr>
          <w:rFonts w:ascii="仿宋_GB2312" w:hAnsi="仿宋_GB2312" w:eastAsia="仿宋_GB2312"/>
          <w:b w:val="0"/>
          <w:sz w:val="32"/>
        </w:rPr>
        <w:t>七、《政府性基金预算财政拨款收入支出决算表》</w:t>
      </w:r>
    </w:p>
    <w:p w14:paraId="1B7F3A23">
      <w:pPr>
        <w:spacing w:line="240" w:lineRule="auto"/>
        <w:ind w:firstLine="640"/>
        <w:jc w:val="both"/>
      </w:pPr>
      <w:r>
        <w:rPr>
          <w:rFonts w:ascii="仿宋_GB2312" w:hAnsi="仿宋_GB2312" w:eastAsia="仿宋_GB2312"/>
          <w:b w:val="0"/>
          <w:sz w:val="32"/>
        </w:rPr>
        <w:t>八、《国有资本经营预算财政拨款收入支出决算表》</w:t>
      </w:r>
    </w:p>
    <w:p w14:paraId="1A259ABF">
      <w:pPr>
        <w:spacing w:line="240" w:lineRule="auto"/>
        <w:ind w:firstLine="640"/>
        <w:jc w:val="both"/>
      </w:pPr>
      <w:r>
        <w:rPr>
          <w:rFonts w:ascii="仿宋_GB2312" w:hAnsi="仿宋_GB2312" w:eastAsia="仿宋_GB2312"/>
          <w:b w:val="0"/>
          <w:sz w:val="32"/>
        </w:rPr>
        <w:t>九、《财政拨款“三公”经费支出决算表》</w:t>
      </w:r>
    </w:p>
    <w:p w14:paraId="49B114B2">
      <w:pPr>
        <w:spacing w:line="240" w:lineRule="auto"/>
        <w:ind w:firstLine="640"/>
        <w:jc w:val="both"/>
      </w:pPr>
    </w:p>
    <w:p w14:paraId="25648F93">
      <w:pPr>
        <w:spacing w:line="240" w:lineRule="auto"/>
        <w:ind w:firstLine="640"/>
        <w:jc w:val="both"/>
      </w:pPr>
    </w:p>
    <w:p w14:paraId="4DDA4539">
      <w:pPr>
        <w:spacing w:line="240" w:lineRule="auto"/>
        <w:ind w:firstLine="640"/>
        <w:jc w:val="both"/>
      </w:pPr>
    </w:p>
    <w:p w14:paraId="5102027B">
      <w:pPr>
        <w:spacing w:line="240" w:lineRule="auto"/>
        <w:ind w:firstLine="640"/>
        <w:jc w:val="both"/>
      </w:pPr>
    </w:p>
    <w:p w14:paraId="2E961B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944E80-E271-420A-9256-F5805C01CD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894140C-440F-4D2A-BC6F-A8081A3CC488}"/>
  </w:font>
  <w:font w:name="仿宋_GB2312">
    <w:panose1 w:val="02010609030101010101"/>
    <w:charset w:val="86"/>
    <w:family w:val="modern"/>
    <w:pitch w:val="default"/>
    <w:sig w:usb0="00000001" w:usb1="080E0000" w:usb2="00000000" w:usb3="00000000" w:csb0="00040000" w:csb1="00000000"/>
    <w:embedRegular r:id="rId3" w:fontKey="{09ECA53B-06EA-49AF-8D4F-CC25DC238DEB}"/>
  </w:font>
  <w:font w:name="楷体_GB2312">
    <w:panose1 w:val="02010609030101010101"/>
    <w:charset w:val="86"/>
    <w:family w:val="auto"/>
    <w:pitch w:val="default"/>
    <w:sig w:usb0="00000001" w:usb1="080E0000" w:usb2="00000000" w:usb3="00000000" w:csb0="00040000" w:csb1="00000000"/>
    <w:embedRegular r:id="rId4" w:fontKey="{042D6387-303B-44CD-98D5-39A9EE02C0C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E21991"/>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A1077E"/>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5838</Words>
  <Characters>6405</Characters>
  <Lines>0</Lines>
  <Paragraphs>0</Paragraphs>
  <TotalTime>11</TotalTime>
  <ScaleCrop>false</ScaleCrop>
  <LinksUpToDate>false</LinksUpToDate>
  <CharactersWithSpaces>6413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2025-09-02T07:41:47Z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