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中共克孜勒苏柯尔克孜自治州委员会机要保密局2024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14009A8">
      <w:r>
        <w:br w:type="page"/>
      </w:r>
    </w:p>
    <w:p w14:paraId="3ECE8AEC">
      <w:pPr>
        <w:spacing w:line="640" w:lineRule="exact"/>
        <w:jc w:val="center"/>
        <w:outlineLvl w:val="1"/>
      </w:pPr>
      <w:r>
        <w:rPr>
          <w:rFonts w:ascii="黑体" w:hAnsi="黑体" w:eastAsia="黑体"/>
          <w:sz w:val="32"/>
        </w:rPr>
        <w:t>第一部分 单位概况</w:t>
      </w:r>
    </w:p>
    <w:p w14:paraId="7E4500C8">
      <w:pPr>
        <w:spacing w:line="640" w:lineRule="exact"/>
        <w:ind w:firstLine="640"/>
        <w:jc w:val="both"/>
        <w:outlineLvl w:val="2"/>
      </w:pPr>
      <w:r>
        <w:rPr>
          <w:rFonts w:ascii="黑体" w:hAnsi="黑体" w:eastAsia="黑体"/>
          <w:sz w:val="32"/>
        </w:rPr>
        <w:t>一、主要职能</w:t>
      </w:r>
    </w:p>
    <w:p w14:paraId="08D77C55">
      <w:pPr>
        <w:spacing w:line="580" w:lineRule="exact"/>
        <w:ind w:firstLine="640"/>
        <w:jc w:val="both"/>
      </w:pPr>
      <w:r>
        <w:rPr>
          <w:rFonts w:ascii="仿宋_GB2312" w:hAnsi="仿宋_GB2312" w:eastAsia="仿宋_GB2312"/>
          <w:sz w:val="32"/>
        </w:rPr>
        <w:t>本单位主要职能SM不予公开。</w:t>
      </w:r>
    </w:p>
    <w:p w14:paraId="2AE65835">
      <w:pPr>
        <w:spacing w:line="640" w:lineRule="exact"/>
        <w:ind w:firstLine="640"/>
        <w:jc w:val="both"/>
        <w:outlineLvl w:val="2"/>
      </w:pPr>
      <w:r>
        <w:rPr>
          <w:rFonts w:ascii="黑体" w:hAnsi="黑体" w:eastAsia="黑体"/>
          <w:sz w:val="32"/>
        </w:rPr>
        <w:t>二、机构设置及人员情况</w:t>
      </w:r>
    </w:p>
    <w:p w14:paraId="08E1FB2D">
      <w:pPr>
        <w:spacing w:line="580" w:lineRule="exact"/>
        <w:ind w:firstLine="640"/>
        <w:jc w:val="both"/>
      </w:pPr>
      <w:r>
        <w:rPr>
          <w:rFonts w:ascii="仿宋_GB2312" w:hAnsi="仿宋_GB2312" w:eastAsia="仿宋_GB2312"/>
          <w:sz w:val="32"/>
        </w:rPr>
        <w:t>本单位机构设置及人员情况SM不予公开。</w:t>
      </w:r>
    </w:p>
    <w:p w14:paraId="41FEA292">
      <w:r>
        <w:br w:type="page"/>
      </w:r>
    </w:p>
    <w:p w14:paraId="453F28B2">
      <w:pPr>
        <w:spacing w:line="240" w:lineRule="auto"/>
        <w:jc w:val="center"/>
        <w:outlineLvl w:val="1"/>
      </w:pPr>
      <w:r>
        <w:rPr>
          <w:rFonts w:ascii="黑体" w:hAnsi="黑体" w:eastAsia="黑体"/>
          <w:sz w:val="32"/>
        </w:rPr>
        <w:t>第二部分 部门决算情况说明</w:t>
      </w:r>
    </w:p>
    <w:p w14:paraId="52CA6F88">
      <w:pPr>
        <w:spacing w:line="640" w:lineRule="exact"/>
        <w:ind w:firstLine="640"/>
        <w:jc w:val="both"/>
        <w:outlineLvl w:val="2"/>
      </w:pPr>
      <w:r>
        <w:rPr>
          <w:rFonts w:ascii="黑体" w:hAnsi="黑体" w:eastAsia="黑体"/>
          <w:sz w:val="32"/>
        </w:rPr>
        <w:t>一、收入支出决算总体情况说明</w:t>
      </w:r>
    </w:p>
    <w:p w14:paraId="42BFFD4A">
      <w:pPr>
        <w:spacing w:line="580" w:lineRule="exact"/>
        <w:ind w:firstLine="640"/>
        <w:jc w:val="both"/>
      </w:pPr>
      <w:r>
        <w:rPr>
          <w:rFonts w:ascii="仿宋_GB2312" w:hAnsi="仿宋_GB2312" w:eastAsia="仿宋_GB2312"/>
          <w:b/>
          <w:sz w:val="32"/>
        </w:rPr>
        <w:t>2024年度收入总计1,414.40万元，</w:t>
      </w:r>
      <w:r>
        <w:rPr>
          <w:rFonts w:ascii="仿宋_GB2312" w:hAnsi="仿宋_GB2312" w:eastAsia="仿宋_GB2312"/>
          <w:b w:val="0"/>
          <w:sz w:val="32"/>
        </w:rPr>
        <w:t>其中：本年收入合计1,414.07万元，使用非财政拨款结余（含专用结余）0.00万元，年初结转和结余0.33万元。</w:t>
      </w:r>
    </w:p>
    <w:p w14:paraId="37F890E4">
      <w:pPr>
        <w:spacing w:line="580" w:lineRule="exact"/>
        <w:ind w:firstLine="640"/>
        <w:jc w:val="both"/>
      </w:pPr>
      <w:r>
        <w:rPr>
          <w:rFonts w:ascii="仿宋_GB2312" w:hAnsi="仿宋_GB2312" w:eastAsia="仿宋_GB2312"/>
          <w:b/>
          <w:sz w:val="32"/>
        </w:rPr>
        <w:t>2024年度支出总计1,414.40万元，</w:t>
      </w:r>
      <w:r>
        <w:rPr>
          <w:rFonts w:ascii="仿宋_GB2312" w:hAnsi="仿宋_GB2312" w:eastAsia="仿宋_GB2312"/>
          <w:b w:val="0"/>
          <w:sz w:val="32"/>
        </w:rPr>
        <w:t>其中：本年支出合计1,413.52万元，结余分配0.00万元，年末结转和结余0.88万元。</w:t>
      </w:r>
    </w:p>
    <w:p w14:paraId="11E338C9">
      <w:pPr>
        <w:spacing w:line="580" w:lineRule="exact"/>
        <w:ind w:firstLine="640"/>
        <w:jc w:val="both"/>
      </w:pPr>
      <w:r>
        <w:rPr>
          <w:rFonts w:ascii="仿宋_GB2312" w:hAnsi="仿宋_GB2312" w:eastAsia="仿宋_GB2312"/>
          <w:b w:val="0"/>
          <w:sz w:val="32"/>
        </w:rPr>
        <w:t>收入支出总体与上年相比，增加228.67万元，增长19.29%，主要原因是：本年在职人员工资调增，社保、公积金基数调增，人员经费增加。本年新增加信息化基础设施建设经费。</w:t>
      </w:r>
    </w:p>
    <w:p w14:paraId="22451646">
      <w:pPr>
        <w:spacing w:line="640" w:lineRule="exact"/>
        <w:ind w:firstLine="640"/>
        <w:jc w:val="both"/>
        <w:outlineLvl w:val="2"/>
      </w:pPr>
      <w:r>
        <w:rPr>
          <w:rFonts w:ascii="黑体" w:hAnsi="黑体" w:eastAsia="黑体"/>
          <w:sz w:val="32"/>
        </w:rPr>
        <w:t>二、收入决算情况说明</w:t>
      </w:r>
    </w:p>
    <w:p w14:paraId="3DACD5A5">
      <w:pPr>
        <w:spacing w:line="580" w:lineRule="exact"/>
        <w:ind w:firstLine="640"/>
        <w:jc w:val="both"/>
      </w:pPr>
      <w:r>
        <w:rPr>
          <w:rFonts w:ascii="仿宋_GB2312" w:hAnsi="仿宋_GB2312" w:eastAsia="仿宋_GB2312"/>
          <w:b/>
          <w:sz w:val="32"/>
        </w:rPr>
        <w:t>本年收入1,414.07万元，</w:t>
      </w:r>
      <w:r>
        <w:rPr>
          <w:rFonts w:ascii="仿宋_GB2312" w:hAnsi="仿宋_GB2312" w:eastAsia="仿宋_GB2312"/>
          <w:b w:val="0"/>
          <w:sz w:val="32"/>
        </w:rPr>
        <w:t>其中：财政拨款收入1,159.15万元，占81.97%；上级补助收入0.00万元，占0.00%；事业收入0.00万元，占0.00%；经营收入0.00万元，占0.00%；附属单位上缴收入0.00万元，占0.00%；其他收入254.92万元，占18.03%。</w:t>
      </w:r>
    </w:p>
    <w:p w14:paraId="79501CB1">
      <w:pPr>
        <w:spacing w:line="640" w:lineRule="exact"/>
        <w:ind w:firstLine="640"/>
        <w:jc w:val="both"/>
        <w:outlineLvl w:val="2"/>
      </w:pPr>
      <w:r>
        <w:rPr>
          <w:rFonts w:ascii="黑体" w:hAnsi="黑体" w:eastAsia="黑体"/>
          <w:sz w:val="32"/>
        </w:rPr>
        <w:t>三、支出决算情况说明</w:t>
      </w:r>
    </w:p>
    <w:p w14:paraId="7CDDA656">
      <w:pPr>
        <w:spacing w:line="580" w:lineRule="exact"/>
        <w:ind w:firstLine="640"/>
        <w:jc w:val="both"/>
      </w:pPr>
      <w:r>
        <w:rPr>
          <w:rFonts w:ascii="仿宋_GB2312" w:hAnsi="仿宋_GB2312" w:eastAsia="仿宋_GB2312"/>
          <w:b/>
          <w:sz w:val="32"/>
        </w:rPr>
        <w:t>本年支出1,413.52万元，</w:t>
      </w:r>
      <w:r>
        <w:rPr>
          <w:rFonts w:ascii="仿宋_GB2312" w:hAnsi="仿宋_GB2312" w:eastAsia="仿宋_GB2312"/>
          <w:b w:val="0"/>
          <w:sz w:val="32"/>
        </w:rPr>
        <w:t>其中：基本支出470.13万元，占33.26%；项目支出943.39万元，占66.74%；上缴上级支出0.00万元，占0.00%；经营支出0.00万元，占0.00%；对附属单位补助支出0.00万元，占0.00%。</w:t>
      </w:r>
    </w:p>
    <w:p w14:paraId="40884738">
      <w:pPr>
        <w:spacing w:line="640" w:lineRule="exact"/>
        <w:ind w:firstLine="640"/>
        <w:jc w:val="both"/>
        <w:outlineLvl w:val="2"/>
      </w:pPr>
      <w:r>
        <w:rPr>
          <w:rFonts w:ascii="黑体" w:hAnsi="黑体" w:eastAsia="黑体"/>
          <w:sz w:val="32"/>
        </w:rPr>
        <w:t>四、财政拨款收入支出决算总体情况说明</w:t>
      </w:r>
    </w:p>
    <w:p w14:paraId="405366CC">
      <w:pPr>
        <w:spacing w:line="580" w:lineRule="exact"/>
        <w:ind w:firstLine="640"/>
        <w:jc w:val="both"/>
      </w:pPr>
      <w:r>
        <w:rPr>
          <w:rFonts w:ascii="仿宋_GB2312" w:hAnsi="仿宋_GB2312" w:eastAsia="仿宋_GB2312"/>
          <w:b/>
          <w:sz w:val="32"/>
        </w:rPr>
        <w:t>2024年度财政拨款收入总计1,159.15万元，</w:t>
      </w:r>
      <w:r>
        <w:rPr>
          <w:rFonts w:ascii="仿宋_GB2312" w:hAnsi="仿宋_GB2312" w:eastAsia="仿宋_GB2312"/>
          <w:b w:val="0"/>
          <w:sz w:val="32"/>
        </w:rPr>
        <w:t>其中：年初财政拨款结转和结余0.00万元，本年财政拨款收入1,159.15万元。</w:t>
      </w:r>
      <w:r>
        <w:rPr>
          <w:rFonts w:ascii="仿宋_GB2312" w:hAnsi="仿宋_GB2312" w:eastAsia="仿宋_GB2312"/>
          <w:b/>
          <w:sz w:val="32"/>
        </w:rPr>
        <w:t>财政拨款支出总计1,159.15万元，</w:t>
      </w:r>
      <w:r>
        <w:rPr>
          <w:rFonts w:ascii="仿宋_GB2312" w:hAnsi="仿宋_GB2312" w:eastAsia="仿宋_GB2312"/>
          <w:b w:val="0"/>
          <w:sz w:val="32"/>
        </w:rPr>
        <w:t>其中：年末财政拨款结转和结余0.00万元，本年财政拨款支出1,159.15万元。</w:t>
      </w:r>
    </w:p>
    <w:p w14:paraId="676731E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减少7.28万元，下降0.62%，主要原因是：本年减少专项业务经费，导致收入支出减少。</w:t>
      </w:r>
      <w:r>
        <w:rPr>
          <w:rFonts w:ascii="仿宋_GB2312" w:hAnsi="仿宋_GB2312" w:eastAsia="仿宋_GB2312"/>
          <w:b/>
          <w:sz w:val="32"/>
        </w:rPr>
        <w:t>与年初预算相比，</w:t>
      </w:r>
      <w:r>
        <w:rPr>
          <w:rFonts w:ascii="仿宋_GB2312" w:hAnsi="仿宋_GB2312" w:eastAsia="仿宋_GB2312"/>
          <w:b w:val="0"/>
          <w:sz w:val="32"/>
        </w:rPr>
        <w:t>年初预算数1,193.21万元，决算数1,159.15万元，预决算差异率-2.85%，主要原因是：本年减少专项业务经费，年中调减相应经费支出。</w:t>
      </w:r>
    </w:p>
    <w:p w14:paraId="1B150157">
      <w:pPr>
        <w:spacing w:line="640" w:lineRule="exact"/>
        <w:ind w:firstLine="640"/>
        <w:jc w:val="both"/>
        <w:outlineLvl w:val="2"/>
      </w:pPr>
      <w:r>
        <w:rPr>
          <w:rFonts w:ascii="黑体" w:hAnsi="黑体" w:eastAsia="黑体"/>
          <w:sz w:val="32"/>
        </w:rPr>
        <w:t>五、一般公共预算财政拨款支出决算情况说明</w:t>
      </w:r>
    </w:p>
    <w:p w14:paraId="5625E4AA">
      <w:pPr>
        <w:spacing w:line="640" w:lineRule="exact"/>
        <w:ind w:firstLine="640"/>
        <w:jc w:val="both"/>
        <w:outlineLvl w:val="3"/>
      </w:pPr>
      <w:r>
        <w:rPr>
          <w:rFonts w:ascii="楷体_GB2312" w:hAnsi="楷体_GB2312" w:eastAsia="楷体_GB2312"/>
          <w:b/>
          <w:sz w:val="32"/>
        </w:rPr>
        <w:t>（一）一般公共预算财政拨款支出决算总体情况</w:t>
      </w:r>
    </w:p>
    <w:p w14:paraId="47749902">
      <w:pPr>
        <w:spacing w:line="580" w:lineRule="exact"/>
        <w:ind w:firstLine="640"/>
        <w:jc w:val="both"/>
      </w:pPr>
      <w:r>
        <w:rPr>
          <w:rFonts w:ascii="仿宋_GB2312" w:hAnsi="仿宋_GB2312" w:eastAsia="仿宋_GB2312"/>
          <w:b/>
          <w:sz w:val="32"/>
        </w:rPr>
        <w:t>2024年度一般公共预算财政拨款支出1,159.15万元，</w:t>
      </w:r>
      <w:r>
        <w:rPr>
          <w:rFonts w:ascii="仿宋_GB2312" w:hAnsi="仿宋_GB2312" w:eastAsia="仿宋_GB2312"/>
          <w:b w:val="0"/>
          <w:sz w:val="32"/>
        </w:rPr>
        <w:t>占本年支出合计的82.00%。</w:t>
      </w:r>
      <w:r>
        <w:rPr>
          <w:rFonts w:ascii="仿宋_GB2312" w:hAnsi="仿宋_GB2312" w:eastAsia="仿宋_GB2312"/>
          <w:b/>
          <w:sz w:val="32"/>
        </w:rPr>
        <w:t>与上年相比，</w:t>
      </w:r>
      <w:r>
        <w:rPr>
          <w:rFonts w:ascii="仿宋_GB2312" w:hAnsi="仿宋_GB2312" w:eastAsia="仿宋_GB2312"/>
          <w:b w:val="0"/>
          <w:sz w:val="32"/>
        </w:rPr>
        <w:t>减少7.28万元，下降0.62%，主要原因是：本年减少专项业务经费，导致收入支出减少。</w:t>
      </w:r>
      <w:r>
        <w:rPr>
          <w:rFonts w:ascii="仿宋_GB2312" w:hAnsi="仿宋_GB2312" w:eastAsia="仿宋_GB2312"/>
          <w:b/>
          <w:sz w:val="32"/>
        </w:rPr>
        <w:t>与年初预算相比,</w:t>
      </w:r>
      <w:r>
        <w:rPr>
          <w:rFonts w:ascii="仿宋_GB2312" w:hAnsi="仿宋_GB2312" w:eastAsia="仿宋_GB2312"/>
          <w:b w:val="0"/>
          <w:sz w:val="32"/>
        </w:rPr>
        <w:t>年初预算数1,193.21万元，决算数1,159.15万元，预决算差异率-2.85%，主要原因是：本年减少专项业务经费，年中调减相应经费支出。</w:t>
      </w:r>
    </w:p>
    <w:p w14:paraId="348D6E68">
      <w:pPr>
        <w:spacing w:line="640" w:lineRule="exact"/>
        <w:ind w:firstLine="640"/>
        <w:jc w:val="both"/>
        <w:outlineLvl w:val="3"/>
      </w:pPr>
      <w:r>
        <w:rPr>
          <w:rFonts w:ascii="楷体_GB2312" w:hAnsi="楷体_GB2312" w:eastAsia="楷体_GB2312"/>
          <w:b/>
          <w:sz w:val="32"/>
        </w:rPr>
        <w:t>（二）一般公共预算财政拨款支出决算结构情况</w:t>
      </w:r>
    </w:p>
    <w:p w14:paraId="0F2CF5B5">
      <w:pPr>
        <w:spacing w:line="580" w:lineRule="exact"/>
        <w:ind w:firstLine="640"/>
        <w:jc w:val="both"/>
      </w:pPr>
      <w:r>
        <w:rPr>
          <w:rFonts w:ascii="仿宋_GB2312" w:hAnsi="仿宋_GB2312" w:eastAsia="仿宋_GB2312"/>
          <w:b w:val="0"/>
          <w:sz w:val="32"/>
        </w:rPr>
        <w:t>1.一般公共服务支出(类)1,105.08万元,占95.34%。</w:t>
      </w:r>
    </w:p>
    <w:p w14:paraId="2C0E2683">
      <w:pPr>
        <w:spacing w:line="580" w:lineRule="exact"/>
        <w:ind w:firstLine="640"/>
        <w:jc w:val="both"/>
      </w:pPr>
      <w:r>
        <w:rPr>
          <w:rFonts w:ascii="仿宋_GB2312" w:hAnsi="仿宋_GB2312" w:eastAsia="仿宋_GB2312"/>
          <w:b w:val="0"/>
          <w:sz w:val="32"/>
        </w:rPr>
        <w:t>2.社会保障和就业支出(类)54.08万元,占4.67%。</w:t>
      </w:r>
    </w:p>
    <w:p w14:paraId="278E3D6B">
      <w:pPr>
        <w:spacing w:line="640" w:lineRule="exact"/>
        <w:ind w:firstLine="640"/>
        <w:jc w:val="both"/>
        <w:outlineLvl w:val="3"/>
      </w:pPr>
      <w:r>
        <w:rPr>
          <w:rFonts w:ascii="楷体_GB2312" w:hAnsi="楷体_GB2312" w:eastAsia="楷体_GB2312"/>
          <w:b/>
          <w:sz w:val="32"/>
        </w:rPr>
        <w:t>（三）一般公共预算财政拨款支出决算具体情况</w:t>
      </w:r>
    </w:p>
    <w:p w14:paraId="64A62797">
      <w:pPr>
        <w:spacing w:line="580" w:lineRule="exact"/>
        <w:ind w:firstLine="640"/>
        <w:jc w:val="both"/>
      </w:pPr>
      <w:r>
        <w:rPr>
          <w:rFonts w:ascii="仿宋_GB2312" w:hAnsi="仿宋_GB2312" w:eastAsia="仿宋_GB2312"/>
          <w:b w:val="0"/>
          <w:sz w:val="32"/>
        </w:rPr>
        <w:t>1.一般公共服务支出(类)党委办公厅（室）及相关机构事务(款)行政运行(项):支出决算数为271.35万元，比上年决算增加26.23万元，增长10.70%,主要原因是：本年在职人员工资调增，导致相关人员经费较上年有所增加。</w:t>
      </w:r>
    </w:p>
    <w:p w14:paraId="6AFDA05B">
      <w:pPr>
        <w:spacing w:line="580" w:lineRule="exact"/>
        <w:ind w:firstLine="640"/>
        <w:jc w:val="both"/>
      </w:pPr>
      <w:r>
        <w:rPr>
          <w:rFonts w:ascii="仿宋_GB2312" w:hAnsi="仿宋_GB2312" w:eastAsia="仿宋_GB2312"/>
          <w:b w:val="0"/>
          <w:sz w:val="32"/>
        </w:rPr>
        <w:t>2.一般公共服务支出(类)党委办公厅（室）及相关机构事务(款)事业运行(项):支出决算数为144.66万元，比上年决算增加27.38万元，增长23.35%,主要原因是：本年新增在职人员，人员经费增加，导致经费较上年有所增加。</w:t>
      </w:r>
    </w:p>
    <w:p w14:paraId="47AE6DEC">
      <w:pPr>
        <w:spacing w:line="580" w:lineRule="exact"/>
        <w:ind w:firstLine="640"/>
        <w:jc w:val="both"/>
      </w:pPr>
      <w:r>
        <w:rPr>
          <w:rFonts w:ascii="仿宋_GB2312" w:hAnsi="仿宋_GB2312" w:eastAsia="仿宋_GB2312"/>
          <w:b w:val="0"/>
          <w:sz w:val="32"/>
        </w:rPr>
        <w:t>3.一般公共服务支出(类)党委办公厅（室）及相关机构事务(款)其他党委办公厅（室）及相关机构事务支出(项):支出决算数为689.06万元，比上年决算减少67.81万元，下降8.96%,主要原因是：本年专项业务经费减少。</w:t>
      </w:r>
    </w:p>
    <w:p w14:paraId="22889749">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4.社会保障和就业支出(类)行政事业单位养老支出(款)行政单位离退休(项):支出决算数为2.00万元，比上年决算增加0.79万元，增长65.29%,主要原因是：本年退休人员增加，退休费支出增加。</w:t>
      </w:r>
    </w:p>
    <w:p w14:paraId="4EA598E6">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43.69万元，比上年决算增加6.67万元，增长18.02%,主要原因是：本年在职人员工资基数调增，养老缴费基数上涨，相应支出增加。</w:t>
      </w:r>
    </w:p>
    <w:p w14:paraId="3B32CEEE">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8.39万元，比上年决算减少0.54万元，下降6.05%,主要原因是：本年新增退休人员较上年减少，职业年金缴费较上年减少。</w:t>
      </w:r>
    </w:p>
    <w:p w14:paraId="25306ED9">
      <w:pPr>
        <w:spacing w:line="640" w:lineRule="exact"/>
        <w:ind w:firstLine="640"/>
        <w:jc w:val="both"/>
        <w:outlineLvl w:val="2"/>
      </w:pPr>
      <w:r>
        <w:rPr>
          <w:rFonts w:ascii="黑体" w:hAnsi="黑体" w:eastAsia="黑体"/>
          <w:sz w:val="32"/>
        </w:rPr>
        <w:t>六、一般公共预算财政拨款基本支出决算情况说明</w:t>
      </w:r>
    </w:p>
    <w:p w14:paraId="0130F4D6">
      <w:pPr>
        <w:spacing w:line="580" w:lineRule="exact"/>
        <w:ind w:firstLine="640"/>
        <w:jc w:val="both"/>
      </w:pPr>
      <w:r>
        <w:rPr>
          <w:rFonts w:ascii="仿宋_GB2312" w:hAnsi="仿宋_GB2312" w:eastAsia="仿宋_GB2312"/>
          <w:b w:val="0"/>
          <w:sz w:val="32"/>
        </w:rPr>
        <w:t>2024年度一般公共预算财政拨款基本支出470.09万元，其中：</w:t>
      </w:r>
      <w:r>
        <w:rPr>
          <w:rFonts w:ascii="仿宋_GB2312" w:hAnsi="仿宋_GB2312" w:eastAsia="仿宋_GB2312"/>
          <w:b/>
          <w:sz w:val="32"/>
        </w:rPr>
        <w:t>人员经费452.27万元，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包括：基本工资、津贴补贴、奖金、机关事业单位基本养老保险缴费、职业年金缴费、职工基本医疗保险缴费、其他社会保障缴费、住房公积金、其他工资福利支出、退休费、奖励金。</w:t>
      </w:r>
    </w:p>
    <w:p w14:paraId="5499FF46">
      <w:pPr>
        <w:spacing w:line="580" w:lineRule="exact"/>
        <w:ind w:firstLine="640"/>
        <w:jc w:val="both"/>
      </w:pPr>
      <w:r>
        <w:rPr>
          <w:rFonts w:ascii="仿宋_GB2312" w:hAnsi="仿宋_GB2312" w:eastAsia="仿宋_GB2312"/>
          <w:b/>
          <w:sz w:val="32"/>
        </w:rPr>
        <w:t>公用经费17.82万元，</w:t>
      </w:r>
      <w:r>
        <w:rPr>
          <w:rFonts w:ascii="仿宋_GB2312" w:hAnsi="仿宋_GB2312" w:eastAsia="仿宋_GB2312"/>
          <w:b w:val="0"/>
          <w:sz w:val="32"/>
        </w:rPr>
        <w:t>包括：办公费、印刷费、差旅费、公务接待费、工会经费、福利费、公务用车运行维护费、其他商品和服务支出。</w:t>
      </w:r>
    </w:p>
    <w:p w14:paraId="0ECA9C4C">
      <w:pPr>
        <w:spacing w:line="640" w:lineRule="exact"/>
        <w:ind w:firstLine="640"/>
        <w:jc w:val="both"/>
        <w:outlineLvl w:val="2"/>
      </w:pPr>
      <w:r>
        <w:rPr>
          <w:rFonts w:ascii="黑体" w:hAnsi="黑体" w:eastAsia="黑体"/>
          <w:sz w:val="32"/>
        </w:rPr>
        <w:t>七、政府性基金预算财政拨款收入支出决算情况说明</w:t>
      </w:r>
    </w:p>
    <w:p w14:paraId="3B9B026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EF4E949">
      <w:pPr>
        <w:spacing w:line="640" w:lineRule="exact"/>
        <w:ind w:firstLine="640"/>
        <w:jc w:val="both"/>
        <w:outlineLvl w:val="2"/>
      </w:pPr>
      <w:r>
        <w:rPr>
          <w:rFonts w:ascii="黑体" w:hAnsi="黑体" w:eastAsia="黑体"/>
          <w:sz w:val="32"/>
        </w:rPr>
        <w:t>八、国有资本经营预算财政拨款收入支出决算情况说明</w:t>
      </w:r>
    </w:p>
    <w:p w14:paraId="66558D2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579CD13">
      <w:pPr>
        <w:spacing w:line="640" w:lineRule="exact"/>
        <w:ind w:firstLine="640"/>
        <w:jc w:val="both"/>
        <w:outlineLvl w:val="2"/>
      </w:pPr>
      <w:r>
        <w:rPr>
          <w:rFonts w:ascii="黑体" w:hAnsi="黑体" w:eastAsia="黑体"/>
          <w:sz w:val="32"/>
        </w:rPr>
        <w:t>九、财政拨款“三公”经费支出决算情况说明</w:t>
      </w:r>
    </w:p>
    <w:p w14:paraId="7434445F">
      <w:pPr>
        <w:spacing w:line="580" w:lineRule="exact"/>
        <w:ind w:firstLine="640"/>
        <w:jc w:val="both"/>
      </w:pPr>
      <w:r>
        <w:rPr>
          <w:rFonts w:ascii="仿宋_GB2312" w:hAnsi="仿宋_GB2312" w:eastAsia="仿宋_GB2312"/>
          <w:b/>
          <w:sz w:val="32"/>
        </w:rPr>
        <w:t>2024年度财政拨款“三公”经费支出4.86万元，</w:t>
      </w:r>
      <w:r>
        <w:rPr>
          <w:rFonts w:ascii="仿宋_GB2312" w:hAnsi="仿宋_GB2312" w:eastAsia="仿宋_GB2312"/>
          <w:b w:val="0"/>
          <w:sz w:val="32"/>
        </w:rPr>
        <w:t>比上年减少1.15万元，下降19.13%，主要原因是：严格落实中央八项规定精神，厉行节约，减少公务用车运行维护费、公务接待费。其中：因公出国（境）费支出0.00万元，占0.00%，比上年增加0.00万元，增长0.00%，主要原因是：2023年与2024年均未安排因公出国（境）费支出。公务用车购置及运行维护费支出3.87万元，占79.63%，比上年减少0.55万元，下降12.44%，主要原因是：严格落实中央八项规定精神，厉行节约，减少公务用车运行维护费。公务接待费支出0.99万元，占20.37%，比上年减少0.60万元，下降37.74%，主要原因是：严格落实中央八项规定精神，厉行节约，减少公务接待费。</w:t>
      </w:r>
    </w:p>
    <w:p w14:paraId="2272CFF2">
      <w:pPr>
        <w:spacing w:line="580" w:lineRule="exact"/>
        <w:ind w:firstLine="640"/>
        <w:jc w:val="both"/>
      </w:pPr>
      <w:r>
        <w:rPr>
          <w:rFonts w:ascii="仿宋_GB2312" w:hAnsi="仿宋_GB2312" w:eastAsia="仿宋_GB2312"/>
          <w:b/>
          <w:sz w:val="32"/>
        </w:rPr>
        <w:t>具体情况如下：</w:t>
      </w:r>
    </w:p>
    <w:p w14:paraId="5674721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726D81F">
      <w:pPr>
        <w:spacing w:line="580" w:lineRule="exact"/>
        <w:ind w:firstLine="640"/>
        <w:jc w:val="both"/>
      </w:pPr>
      <w:r>
        <w:rPr>
          <w:rFonts w:ascii="仿宋_GB2312" w:hAnsi="仿宋_GB2312" w:eastAsia="仿宋_GB2312"/>
          <w:b w:val="0"/>
          <w:sz w:val="32"/>
        </w:rPr>
        <w:t>公务用车购置及运行维护费3.87万元，其中：公务用车购置费0.00万元，公务用车运行维护费3.87万元。公务用车运行维护费开支内容包括车辆加油费、维修费、保险费、审车费、过路费等。公务用车购置数0辆，公务用车保有量2辆。国有资产占用情况中固定资产车辆2辆，与公务用车保有量差异原因是：本单位固定资产车辆与公务用车保有量一致无差异。</w:t>
      </w:r>
    </w:p>
    <w:p w14:paraId="43931645">
      <w:pPr>
        <w:spacing w:line="580" w:lineRule="exact"/>
        <w:ind w:firstLine="640"/>
        <w:jc w:val="both"/>
      </w:pPr>
      <w:r>
        <w:rPr>
          <w:rFonts w:ascii="仿宋_GB2312" w:hAnsi="仿宋_GB2312" w:eastAsia="仿宋_GB2312"/>
          <w:b w:val="0"/>
          <w:sz w:val="32"/>
        </w:rPr>
        <w:t>公务接待费0.99万元，开支内容包括接待上级领导检查、督导组检查产生的就餐费。单位全年安排的国内公务接待6批次，91人次。</w:t>
      </w:r>
    </w:p>
    <w:p w14:paraId="486FFF2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4.86万元，决算数4.86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3.87万元，决算数3.87万元，预决算差异率0.00%，主要原因是：严格按照预算执行，预决算无差异。公务接待费全年预算数0.99万元，决算数0.99万元，预决算差异率0.00%，主要原因是：严格按照预算执行，预决算无差异。</w:t>
      </w:r>
    </w:p>
    <w:p w14:paraId="65BEC18E">
      <w:pPr>
        <w:spacing w:line="640" w:lineRule="exact"/>
        <w:ind w:firstLine="640"/>
        <w:jc w:val="both"/>
        <w:outlineLvl w:val="2"/>
      </w:pPr>
      <w:r>
        <w:rPr>
          <w:rFonts w:ascii="黑体" w:hAnsi="黑体" w:eastAsia="黑体"/>
          <w:sz w:val="32"/>
        </w:rPr>
        <w:t>十、其他重要事项的情况说明</w:t>
      </w:r>
    </w:p>
    <w:p w14:paraId="2785C817">
      <w:pPr>
        <w:spacing w:line="640" w:lineRule="exact"/>
        <w:ind w:firstLine="640"/>
        <w:jc w:val="both"/>
        <w:outlineLvl w:val="3"/>
      </w:pPr>
      <w:r>
        <w:rPr>
          <w:rFonts w:ascii="楷体_GB2312" w:hAnsi="楷体_GB2312" w:eastAsia="楷体_GB2312"/>
          <w:b/>
          <w:sz w:val="32"/>
        </w:rPr>
        <w:t>（一）机关运行经费及公用经费支出情况</w:t>
      </w:r>
    </w:p>
    <w:p w14:paraId="254E7AAE">
      <w:pPr>
        <w:spacing w:line="580" w:lineRule="exact"/>
        <w:ind w:firstLine="640"/>
        <w:jc w:val="both"/>
      </w:pPr>
      <w:r>
        <w:rPr>
          <w:rFonts w:ascii="仿宋_GB2312" w:hAnsi="仿宋_GB2312" w:eastAsia="仿宋_GB2312"/>
          <w:b w:val="0"/>
          <w:sz w:val="32"/>
        </w:rPr>
        <w:t>2024年度中共克孜勒苏柯尔克孜自治州委员会机要保密局（行政单位和参照公务员法管理事业单位）机关运行经费支出17.82万元，比上年减少1.80万元，下降9.17%，主要原因是：严控经费支出，厉行节约，减少经费支出。</w:t>
      </w:r>
    </w:p>
    <w:p w14:paraId="37398120">
      <w:pPr>
        <w:spacing w:line="640" w:lineRule="exact"/>
        <w:ind w:firstLine="640"/>
        <w:jc w:val="both"/>
        <w:outlineLvl w:val="3"/>
      </w:pPr>
      <w:r>
        <w:rPr>
          <w:rFonts w:ascii="楷体_GB2312" w:hAnsi="楷体_GB2312" w:eastAsia="楷体_GB2312"/>
          <w:b/>
          <w:sz w:val="32"/>
        </w:rPr>
        <w:t>（二）政府采购情况</w:t>
      </w:r>
    </w:p>
    <w:p w14:paraId="04B39435">
      <w:pPr>
        <w:spacing w:line="580" w:lineRule="exact"/>
        <w:ind w:firstLine="640"/>
        <w:jc w:val="both"/>
      </w:pPr>
      <w:r>
        <w:rPr>
          <w:rFonts w:ascii="仿宋_GB2312" w:hAnsi="仿宋_GB2312" w:eastAsia="仿宋_GB2312"/>
          <w:b w:val="0"/>
          <w:sz w:val="32"/>
        </w:rPr>
        <w:t>2024年度政府采购支出总额575.63万元，其中：政府采购货物支出95.76万元、政府采购工程支出0.96万元、政府采购服务支出478.90万元。</w:t>
      </w:r>
    </w:p>
    <w:p w14:paraId="3FFAFB5D">
      <w:pPr>
        <w:spacing w:line="580" w:lineRule="exact"/>
        <w:ind w:firstLine="640"/>
        <w:jc w:val="both"/>
      </w:pPr>
      <w:r>
        <w:rPr>
          <w:rFonts w:ascii="仿宋_GB2312" w:hAnsi="仿宋_GB2312" w:eastAsia="仿宋_GB2312"/>
          <w:b w:val="0"/>
          <w:sz w:val="32"/>
        </w:rPr>
        <w:t>授予中小企业合同金额574.42万元，占政府采购支出总额的99.79%，其中：授予小微企业合同金额97.42万元，占政府采购支出总额的16.92%。</w:t>
      </w:r>
    </w:p>
    <w:p w14:paraId="65E7DB8D">
      <w:pPr>
        <w:spacing w:line="640" w:lineRule="exact"/>
        <w:ind w:firstLine="640"/>
        <w:jc w:val="both"/>
        <w:outlineLvl w:val="3"/>
      </w:pPr>
      <w:r>
        <w:rPr>
          <w:rFonts w:ascii="楷体_GB2312" w:hAnsi="楷体_GB2312" w:eastAsia="楷体_GB2312"/>
          <w:b/>
          <w:sz w:val="32"/>
        </w:rPr>
        <w:t>（三）国有资产占用情况说明</w:t>
      </w:r>
    </w:p>
    <w:p w14:paraId="5E840A3F">
      <w:pPr>
        <w:spacing w:line="580" w:lineRule="exact"/>
        <w:ind w:firstLine="640"/>
        <w:jc w:val="both"/>
      </w:pPr>
      <w:r>
        <w:rPr>
          <w:rFonts w:ascii="仿宋_GB2312" w:hAnsi="仿宋_GB2312" w:eastAsia="仿宋_GB2312"/>
          <w:b w:val="0"/>
          <w:sz w:val="32"/>
        </w:rPr>
        <w:t>截至2024年12月31日，房屋0.00平方米，价值0.00万元。车辆2辆，价值71.00万元，其中：副部（省）级及以上领导用车0辆、主要负责人用车0辆、机要通信用车1辆、应急保障用车0辆、执法执勤用车0辆、特种专业技术用车0辆、离退休干部服务用车0辆、其他用车1辆，其他用车主要是：一般公务用车。单价100万元（含）以上设备（不含车辆）3台（套）。</w:t>
      </w:r>
    </w:p>
    <w:p w14:paraId="311F62BC">
      <w:pPr>
        <w:spacing w:line="640" w:lineRule="exact"/>
        <w:ind w:firstLine="640"/>
        <w:jc w:val="both"/>
        <w:outlineLvl w:val="2"/>
      </w:pPr>
      <w:r>
        <w:rPr>
          <w:rFonts w:ascii="黑体" w:hAnsi="黑体" w:eastAsia="黑体"/>
          <w:sz w:val="32"/>
        </w:rPr>
        <w:t>十一、预算绩效的情况说明</w:t>
      </w:r>
    </w:p>
    <w:p w14:paraId="2BE42030">
      <w:pPr>
        <w:spacing w:line="580" w:lineRule="exact"/>
        <w:ind w:firstLine="640"/>
        <w:jc w:val="both"/>
        <w:rPr>
          <w:sz w:val="30"/>
          <w:szCs w:val="30"/>
        </w:rPr>
      </w:pPr>
      <w:r>
        <w:rPr>
          <w:rFonts w:ascii="仿宋_GB2312" w:hAnsi="仿宋_GB2312" w:eastAsia="仿宋_GB2312"/>
          <w:b w:val="0"/>
          <w:sz w:val="32"/>
        </w:rPr>
        <w:t>根据预算绩效管理要求，本单位2024年度预算绩效管理形成整体支出绩效自评表1个，全年预算总额1</w:t>
      </w:r>
      <w:r>
        <w:rPr>
          <w:rFonts w:hint="eastAsia" w:ascii="仿宋_GB2312" w:hAnsi="仿宋_GB2312" w:eastAsia="仿宋_GB2312"/>
          <w:b w:val="0"/>
          <w:sz w:val="32"/>
          <w:lang w:val="en-US" w:eastAsia="zh-CN"/>
        </w:rPr>
        <w:t>,414</w:t>
      </w:r>
      <w:r>
        <w:rPr>
          <w:rFonts w:ascii="仿宋_GB2312" w:hAnsi="仿宋_GB2312" w:eastAsia="仿宋_GB2312"/>
          <w:b w:val="0"/>
          <w:sz w:val="32"/>
        </w:rPr>
        <w:t>.</w:t>
      </w:r>
      <w:r>
        <w:rPr>
          <w:rFonts w:hint="eastAsia" w:ascii="仿宋_GB2312" w:hAnsi="仿宋_GB2312" w:eastAsia="仿宋_GB2312"/>
          <w:b w:val="0"/>
          <w:sz w:val="32"/>
          <w:lang w:val="en-US" w:eastAsia="zh-CN"/>
        </w:rPr>
        <w:t>40</w:t>
      </w:r>
      <w:r>
        <w:rPr>
          <w:rFonts w:ascii="仿宋_GB2312" w:hAnsi="仿宋_GB2312" w:eastAsia="仿宋_GB2312"/>
          <w:b w:val="0"/>
          <w:sz w:val="32"/>
        </w:rPr>
        <w:t>万元，实际执行总额1</w:t>
      </w:r>
      <w:r>
        <w:rPr>
          <w:rFonts w:hint="eastAsia" w:ascii="仿宋_GB2312" w:hAnsi="仿宋_GB2312" w:eastAsia="仿宋_GB2312"/>
          <w:b w:val="0"/>
          <w:sz w:val="32"/>
          <w:lang w:val="en-US" w:eastAsia="zh-CN"/>
        </w:rPr>
        <w:t>,413</w:t>
      </w:r>
      <w:r>
        <w:rPr>
          <w:rFonts w:ascii="仿宋_GB2312" w:hAnsi="仿宋_GB2312" w:eastAsia="仿宋_GB2312"/>
          <w:b w:val="0"/>
          <w:sz w:val="32"/>
        </w:rPr>
        <w:t>.</w:t>
      </w:r>
      <w:r>
        <w:rPr>
          <w:rFonts w:hint="eastAsia" w:ascii="仿宋_GB2312" w:hAnsi="仿宋_GB2312" w:eastAsia="仿宋_GB2312"/>
          <w:b w:val="0"/>
          <w:sz w:val="32"/>
          <w:lang w:val="en-US" w:eastAsia="zh-CN"/>
        </w:rPr>
        <w:t>52</w:t>
      </w:r>
      <w:r>
        <w:rPr>
          <w:rFonts w:ascii="仿宋_GB2312" w:hAnsi="仿宋_GB2312" w:eastAsia="仿宋_GB2312"/>
          <w:b w:val="0"/>
          <w:sz w:val="32"/>
        </w:rPr>
        <w:t>万元</w:t>
      </w:r>
      <w:r>
        <w:rPr>
          <w:rFonts w:hint="eastAsia" w:ascii="仿宋_GB2312" w:hAnsi="仿宋_GB2312" w:eastAsia="仿宋_GB2312"/>
          <w:b w:val="0"/>
          <w:sz w:val="32"/>
          <w:lang w:eastAsia="zh-CN"/>
        </w:rPr>
        <w:t>；</w:t>
      </w:r>
      <w:r>
        <w:rPr>
          <w:rFonts w:ascii="仿宋_GB2312" w:hAnsi="仿宋_GB2312" w:eastAsia="仿宋_GB2312"/>
          <w:b w:val="0"/>
          <w:sz w:val="32"/>
        </w:rPr>
        <w:t>预算绩效评价项目2个，全年预算数6.80万元，全年执行数6.29万元。预算绩效管理取得的成效：一是本项目能够严格按照《项目实施方案》执行，项目执行情况较好。二是加强组织领导，本项目绩效评价工作，</w:t>
      </w:r>
      <w:r>
        <w:rPr>
          <w:rFonts w:hint="eastAsia" w:ascii="仿宋_GB2312" w:hAnsi="仿宋_GB2312" w:eastAsia="仿宋_GB2312"/>
          <w:b w:val="0"/>
          <w:sz w:val="32"/>
          <w:lang w:eastAsia="zh-CN"/>
        </w:rPr>
        <w:t>由</w:t>
      </w:r>
      <w:r>
        <w:rPr>
          <w:rFonts w:ascii="仿宋_GB2312" w:hAnsi="仿宋_GB2312" w:eastAsia="仿宋_GB2312"/>
          <w:b w:val="0"/>
          <w:sz w:val="32"/>
        </w:rPr>
        <w:t>县政府主要领导亲自挂帅，分管县领导具体负责，从项目到资金，均</w:t>
      </w:r>
      <w:bookmarkStart w:id="0" w:name="_GoBack"/>
      <w:r>
        <w:rPr>
          <w:rFonts w:hint="eastAsia" w:ascii="仿宋_GB2312" w:hAnsi="仿宋_GB2312" w:eastAsia="仿宋_GB2312"/>
          <w:b w:val="0"/>
          <w:sz w:val="32"/>
          <w:lang w:eastAsia="zh-CN"/>
        </w:rPr>
        <w:t>能够</w:t>
      </w:r>
      <w:bookmarkEnd w:id="0"/>
      <w:r>
        <w:rPr>
          <w:rFonts w:ascii="仿宋_GB2312" w:hAnsi="仿宋_GB2312" w:eastAsia="仿宋_GB2312"/>
          <w:b w:val="0"/>
          <w:sz w:val="32"/>
        </w:rPr>
        <w:t>很好</w:t>
      </w:r>
      <w:r>
        <w:rPr>
          <w:rFonts w:hint="eastAsia" w:ascii="仿宋_GB2312" w:hAnsi="仿宋_GB2312" w:eastAsia="仿宋_GB2312"/>
          <w:b w:val="0"/>
          <w:sz w:val="32"/>
          <w:lang w:eastAsia="zh-CN"/>
        </w:rPr>
        <w:t>地</w:t>
      </w:r>
      <w:r>
        <w:rPr>
          <w:rFonts w:ascii="仿宋_GB2312" w:hAnsi="仿宋_GB2312" w:eastAsia="仿宋_GB2312"/>
          <w:b w:val="0"/>
          <w:sz w:val="32"/>
        </w:rPr>
        <w:t>执行。三是加强沟通协调，我单位及时向县领导汇报项目建设进度，加强与实施单位的沟通，确保项目按期完工。发现的问题及原因：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下一步改进措施：1.建议充分落实绩效目标管理政策要求，提升绩效目标与项目实施内容的匹配度：一是建议项目实施</w:t>
      </w:r>
      <w:r>
        <w:rPr>
          <w:rFonts w:hint="eastAsia" w:ascii="仿宋_GB2312" w:hAnsi="仿宋_GB2312" w:eastAsia="仿宋_GB2312"/>
          <w:b w:val="0"/>
          <w:sz w:val="32"/>
          <w:lang w:eastAsia="zh-CN"/>
        </w:rPr>
        <w:t>单位</w:t>
      </w:r>
      <w:r>
        <w:rPr>
          <w:rFonts w:ascii="仿宋_GB2312" w:hAnsi="仿宋_GB2312" w:eastAsia="仿宋_GB2312"/>
          <w:b w:val="0"/>
          <w:sz w:val="32"/>
        </w:rPr>
        <w:t>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三是建议项目实施单位做好项目绩效跟踪监控工作，对实际开展工作与预期目标值产生较大偏差情况，应及时做好偏差原因分析和纠偏工作，不断提升绩效目标与项目实际工作的匹配度。2.建议加强预算资金管理，严格落实项目申报、专家评审、确定项目后进行资金分配与资金拨付，规范资金拨付流程。</w:t>
      </w:r>
      <w:r>
        <w:rPr>
          <w:rFonts w:ascii="仿宋_GB2312" w:hAnsi="仿宋_GB2312" w:eastAsia="仿宋_GB2312"/>
          <w:b w:val="0"/>
          <w:sz w:val="30"/>
          <w:szCs w:val="30"/>
        </w:rPr>
        <w:t>具体附项目支出绩效自评表和评价报告。</w:t>
      </w:r>
    </w:p>
    <w:p w14:paraId="5320AA2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5D4DF49">
        <w:tblPrEx>
          <w:tblCellMar>
            <w:top w:w="0" w:type="dxa"/>
            <w:left w:w="108" w:type="dxa"/>
            <w:bottom w:w="0" w:type="dxa"/>
            <w:right w:w="108" w:type="dxa"/>
          </w:tblCellMar>
        </w:tblPrEx>
        <w:tc>
          <w:tcPr>
            <w:tcW w:w="8848" w:type="dxa"/>
            <w:gridSpan w:val="14"/>
            <w:vAlign w:val="center"/>
          </w:tcPr>
          <w:p w14:paraId="3330C5F9">
            <w:pPr>
              <w:jc w:val="center"/>
            </w:pPr>
            <w:r>
              <w:rPr>
                <w:rFonts w:ascii="宋体" w:hAnsi="宋体" w:eastAsia="宋体"/>
                <w:sz w:val="24"/>
              </w:rPr>
              <w:t>项目支出绩效自评表</w:t>
            </w:r>
          </w:p>
        </w:tc>
      </w:tr>
      <w:tr w14:paraId="618D649D">
        <w:tblPrEx>
          <w:tblCellMar>
            <w:top w:w="0" w:type="dxa"/>
            <w:left w:w="108" w:type="dxa"/>
            <w:bottom w:w="0" w:type="dxa"/>
            <w:right w:w="108" w:type="dxa"/>
          </w:tblCellMar>
        </w:tblPrEx>
        <w:tc>
          <w:tcPr>
            <w:tcW w:w="8848" w:type="dxa"/>
            <w:gridSpan w:val="14"/>
            <w:vAlign w:val="center"/>
          </w:tcPr>
          <w:p w14:paraId="022E39A0">
            <w:pPr>
              <w:jc w:val="center"/>
            </w:pPr>
            <w:r>
              <w:rPr>
                <w:rFonts w:ascii="宋体" w:hAnsi="宋体" w:eastAsia="宋体"/>
                <w:sz w:val="24"/>
              </w:rPr>
              <w:t>(2024年度)</w:t>
            </w:r>
          </w:p>
        </w:tc>
      </w:tr>
      <w:tr w14:paraId="75DA28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8FDC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80D68A">
            <w:pPr>
              <w:jc w:val="center"/>
            </w:pPr>
            <w:r>
              <w:rPr>
                <w:rFonts w:ascii="宋体" w:hAnsi="宋体" w:eastAsia="宋体"/>
                <w:sz w:val="16"/>
              </w:rPr>
              <w:t>人才引进项目</w:t>
            </w:r>
          </w:p>
        </w:tc>
      </w:tr>
      <w:tr w14:paraId="35983E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F5CD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1DA3BA">
            <w:pPr>
              <w:jc w:val="center"/>
            </w:pPr>
            <w:r>
              <w:rPr>
                <w:rFonts w:ascii="宋体" w:hAnsi="宋体" w:eastAsia="宋体"/>
                <w:sz w:val="16"/>
              </w:rPr>
              <w:t>中共克孜勒苏柯尔克孜自治州委员会机要保密局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3FFC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3ECB28">
            <w:pPr>
              <w:jc w:val="center"/>
            </w:pPr>
            <w:r>
              <w:rPr>
                <w:rFonts w:ascii="宋体" w:hAnsi="宋体" w:eastAsia="宋体"/>
                <w:sz w:val="16"/>
              </w:rPr>
              <w:t>中共克孜勒苏柯尔克孜自治州委员会机要保密局</w:t>
            </w:r>
          </w:p>
        </w:tc>
      </w:tr>
      <w:tr w14:paraId="03EF18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6647D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C801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9867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7323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E20B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D0AE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0259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5C4A8">
            <w:pPr>
              <w:jc w:val="center"/>
            </w:pPr>
            <w:r>
              <w:rPr>
                <w:rFonts w:ascii="宋体" w:hAnsi="宋体" w:eastAsia="宋体"/>
                <w:sz w:val="16"/>
              </w:rPr>
              <w:t>得分</w:t>
            </w:r>
          </w:p>
        </w:tc>
      </w:tr>
      <w:tr w14:paraId="3BDBE5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B06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3DA4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95CFC">
            <w:pPr>
              <w:jc w:val="center"/>
            </w:pPr>
            <w:r>
              <w:rPr>
                <w:rFonts w:ascii="宋体" w:hAnsi="宋体" w:eastAsia="宋体"/>
                <w:sz w:val="16"/>
              </w:rPr>
              <w:t>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2E795">
            <w:pPr>
              <w:jc w:val="center"/>
            </w:pPr>
            <w:r>
              <w:rPr>
                <w:rFonts w:ascii="宋体" w:hAnsi="宋体" w:eastAsia="宋体"/>
                <w:sz w:val="16"/>
              </w:rPr>
              <w:t>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D11E5">
            <w:pPr>
              <w:jc w:val="center"/>
            </w:pPr>
            <w:r>
              <w:rPr>
                <w:rFonts w:ascii="宋体" w:hAnsi="宋体" w:eastAsia="宋体"/>
                <w:sz w:val="16"/>
              </w:rPr>
              <w:t>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076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274A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D8F7E">
            <w:pPr>
              <w:jc w:val="center"/>
            </w:pPr>
            <w:r>
              <w:rPr>
                <w:rFonts w:ascii="宋体" w:hAnsi="宋体" w:eastAsia="宋体"/>
                <w:sz w:val="16"/>
              </w:rPr>
              <w:t>10.00分</w:t>
            </w:r>
          </w:p>
        </w:tc>
      </w:tr>
      <w:tr w14:paraId="454104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1B2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57D8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63688">
            <w:pPr>
              <w:jc w:val="center"/>
            </w:pPr>
            <w:r>
              <w:rPr>
                <w:rFonts w:ascii="宋体" w:hAnsi="宋体" w:eastAsia="宋体"/>
                <w:sz w:val="16"/>
              </w:rPr>
              <w:t>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BEBA6">
            <w:pPr>
              <w:jc w:val="center"/>
            </w:pPr>
            <w:r>
              <w:rPr>
                <w:rFonts w:ascii="宋体" w:hAnsi="宋体" w:eastAsia="宋体"/>
                <w:sz w:val="16"/>
              </w:rPr>
              <w:t>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42B1B">
            <w:pPr>
              <w:jc w:val="center"/>
            </w:pPr>
            <w:r>
              <w:rPr>
                <w:rFonts w:ascii="宋体" w:hAnsi="宋体" w:eastAsia="宋体"/>
                <w:sz w:val="16"/>
              </w:rPr>
              <w:t>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E96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8D8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C26B3">
            <w:pPr>
              <w:jc w:val="center"/>
            </w:pPr>
            <w:r>
              <w:rPr>
                <w:rFonts w:ascii="宋体" w:hAnsi="宋体" w:eastAsia="宋体"/>
                <w:sz w:val="16"/>
              </w:rPr>
              <w:t>—</w:t>
            </w:r>
          </w:p>
        </w:tc>
      </w:tr>
      <w:tr w14:paraId="5DD13B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EE6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4FC0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254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D43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935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1C0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24F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4FCEA">
            <w:pPr>
              <w:jc w:val="center"/>
            </w:pPr>
            <w:r>
              <w:rPr>
                <w:rFonts w:ascii="宋体" w:hAnsi="宋体" w:eastAsia="宋体"/>
                <w:sz w:val="16"/>
              </w:rPr>
              <w:t>—</w:t>
            </w:r>
          </w:p>
        </w:tc>
      </w:tr>
      <w:tr w14:paraId="6F667F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1EC9A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C7E0B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F8339D">
            <w:pPr>
              <w:jc w:val="center"/>
            </w:pPr>
            <w:r>
              <w:rPr>
                <w:rFonts w:ascii="宋体" w:hAnsi="宋体" w:eastAsia="宋体"/>
                <w:sz w:val="16"/>
              </w:rPr>
              <w:t>实际完成情况</w:t>
            </w:r>
          </w:p>
        </w:tc>
      </w:tr>
      <w:tr w14:paraId="05E117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21BA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692B91">
            <w:pPr>
              <w:jc w:val="both"/>
            </w:pPr>
            <w:r>
              <w:rPr>
                <w:rFonts w:ascii="宋体" w:hAnsi="宋体" w:eastAsia="宋体"/>
                <w:sz w:val="16"/>
              </w:rPr>
              <w:t>该项目总投资3.8万元，其中：财政资金3.8万元，其他资金0万元，主要用于新引进人才的生活补助，通过该项目的实施实现引进人才、留住人才、充实人才队伍，逐步提高工作队伍建设。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1AA54E">
            <w:pPr>
              <w:jc w:val="both"/>
            </w:pPr>
            <w:r>
              <w:rPr>
                <w:rFonts w:ascii="宋体" w:hAnsi="宋体" w:eastAsia="宋体"/>
                <w:sz w:val="16"/>
              </w:rPr>
              <w:t>截至2024年12月31日，已完成：保障人员数2人，通过该项目的实施实现引进人才、留住人才、充实人才队伍，逐步提高工作队伍建设。</w:t>
            </w:r>
            <w:r>
              <w:rPr>
                <w:rFonts w:ascii="宋体" w:hAnsi="宋体" w:eastAsia="宋体"/>
                <w:sz w:val="16"/>
              </w:rPr>
              <w:tab/>
            </w:r>
          </w:p>
        </w:tc>
      </w:tr>
      <w:tr w14:paraId="7F7D7A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9B06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34FC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7D03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234A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59FC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5FCB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1121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05FF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6DDD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F991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0FB7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5B9A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B19E2">
            <w:pPr>
              <w:jc w:val="center"/>
            </w:pPr>
            <w:r>
              <w:rPr>
                <w:rFonts w:ascii="宋体" w:hAnsi="宋体" w:eastAsia="宋体"/>
                <w:sz w:val="16"/>
              </w:rPr>
              <w:t>偏差原因分析及改进措施</w:t>
            </w:r>
          </w:p>
        </w:tc>
      </w:tr>
      <w:tr w14:paraId="34F68E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4C54A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F2C24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0124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13832">
            <w:pPr>
              <w:jc w:val="center"/>
            </w:pPr>
            <w:r>
              <w:rPr>
                <w:rFonts w:ascii="宋体" w:hAnsi="宋体" w:eastAsia="宋体"/>
                <w:sz w:val="16"/>
              </w:rPr>
              <w:t>保障人员数（人）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F0795">
            <w:pPr>
              <w:jc w:val="center"/>
            </w:pPr>
            <w:r>
              <w:rPr>
                <w:rFonts w:ascii="宋体" w:hAnsi="宋体" w:eastAsia="宋体"/>
                <w:sz w:val="16"/>
              </w:rPr>
              <w:t>&lt;=2人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513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CA1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74F4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659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4141E">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98B8A">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7B8B3">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F21DE">
            <w:pPr>
              <w:jc w:val="center"/>
            </w:pPr>
          </w:p>
        </w:tc>
      </w:tr>
      <w:tr w14:paraId="1C67AD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B7E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BAE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681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38A2B">
            <w:pPr>
              <w:jc w:val="center"/>
            </w:pPr>
            <w:r>
              <w:rPr>
                <w:rFonts w:ascii="宋体" w:hAnsi="宋体" w:eastAsia="宋体"/>
                <w:sz w:val="16"/>
              </w:rPr>
              <w:t>补助标准执行率（%）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AE1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D60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5F7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134F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8E6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8CEF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102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4AC24">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7BB16">
            <w:pPr>
              <w:jc w:val="center"/>
            </w:pPr>
          </w:p>
        </w:tc>
      </w:tr>
      <w:tr w14:paraId="42EB7E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B26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CEC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BA3E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D4381">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A9F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C00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0F7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2EA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DEF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233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1A5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004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6B4AF">
            <w:pPr>
              <w:jc w:val="center"/>
            </w:pPr>
          </w:p>
        </w:tc>
      </w:tr>
      <w:tr w14:paraId="079B00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FBC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669E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BD07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5DD0">
            <w:pPr>
              <w:jc w:val="center"/>
            </w:pPr>
            <w:r>
              <w:rPr>
                <w:rFonts w:ascii="宋体" w:hAnsi="宋体" w:eastAsia="宋体"/>
                <w:sz w:val="16"/>
              </w:rPr>
              <w:t>生活补助经费（万元）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A29F0">
            <w:pPr>
              <w:jc w:val="center"/>
            </w:pPr>
            <w:r>
              <w:rPr>
                <w:rFonts w:ascii="宋体" w:hAnsi="宋体" w:eastAsia="宋体"/>
                <w:sz w:val="16"/>
              </w:rPr>
              <w:t>&lt;=3.80万元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3B0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F99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4BB9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F61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A4E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AF99A">
            <w:pPr>
              <w:jc w:val="center"/>
            </w:pPr>
            <w:r>
              <w:rPr>
                <w:rFonts w:ascii="宋体" w:hAnsi="宋体" w:eastAsia="宋体"/>
                <w:sz w:val="16"/>
              </w:rPr>
              <w:t>=3.8万元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AAD9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256AF">
            <w:pPr>
              <w:jc w:val="center"/>
            </w:pPr>
          </w:p>
        </w:tc>
      </w:tr>
      <w:tr w14:paraId="7E0386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D29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1DB8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08A2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25129">
            <w:pPr>
              <w:jc w:val="center"/>
            </w:pPr>
            <w:r>
              <w:rPr>
                <w:rFonts w:ascii="宋体" w:hAnsi="宋体" w:eastAsia="宋体"/>
                <w:sz w:val="16"/>
              </w:rPr>
              <w:t>有效充实人才队伍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F0B21">
            <w:pPr>
              <w:jc w:val="center"/>
            </w:pPr>
            <w:r>
              <w:rPr>
                <w:rFonts w:ascii="宋体" w:hAnsi="宋体" w:eastAsia="宋体"/>
                <w:sz w:val="16"/>
              </w:rPr>
              <w:t>有效充实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9D6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ACF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3889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19F9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5E90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C212C">
            <w:pPr>
              <w:jc w:val="center"/>
            </w:pPr>
            <w:r>
              <w:rPr>
                <w:rFonts w:ascii="宋体" w:hAnsi="宋体" w:eastAsia="宋体"/>
                <w:sz w:val="16"/>
              </w:rPr>
              <w:t>有效充实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3229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BD244">
            <w:pPr>
              <w:jc w:val="center"/>
            </w:pPr>
          </w:p>
        </w:tc>
      </w:tr>
      <w:tr w14:paraId="24FB15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93D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DF1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348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77E2">
            <w:pPr>
              <w:jc w:val="center"/>
            </w:pPr>
            <w:r>
              <w:rPr>
                <w:rFonts w:ascii="宋体" w:hAnsi="宋体" w:eastAsia="宋体"/>
                <w:sz w:val="16"/>
              </w:rPr>
              <w:t>服务人才满意度（%）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4483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F56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7EE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A63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4DE8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7517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7298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B4F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EFF0C">
            <w:pPr>
              <w:jc w:val="center"/>
            </w:pPr>
          </w:p>
        </w:tc>
      </w:tr>
      <w:tr w14:paraId="1FE8F5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444E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3B82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90F9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470E95">
            <w:pPr>
              <w:jc w:val="center"/>
            </w:pPr>
            <w:r>
              <w:rPr>
                <w:rFonts w:ascii="宋体" w:hAnsi="宋体" w:eastAsia="宋体"/>
                <w:sz w:val="16"/>
              </w:rPr>
              <w:t>100分</w:t>
            </w:r>
          </w:p>
        </w:tc>
      </w:tr>
    </w:tbl>
    <w:p w14:paraId="7A30F17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1779194">
        <w:tblPrEx>
          <w:tblCellMar>
            <w:top w:w="0" w:type="dxa"/>
            <w:left w:w="108" w:type="dxa"/>
            <w:bottom w:w="0" w:type="dxa"/>
            <w:right w:w="108" w:type="dxa"/>
          </w:tblCellMar>
        </w:tblPrEx>
        <w:tc>
          <w:tcPr>
            <w:tcW w:w="8848" w:type="dxa"/>
            <w:gridSpan w:val="14"/>
            <w:vAlign w:val="center"/>
          </w:tcPr>
          <w:p w14:paraId="42BF3FD8">
            <w:pPr>
              <w:jc w:val="center"/>
            </w:pPr>
            <w:r>
              <w:rPr>
                <w:rFonts w:ascii="宋体" w:hAnsi="宋体" w:eastAsia="宋体"/>
                <w:sz w:val="24"/>
              </w:rPr>
              <w:t>项目支出绩效自评表</w:t>
            </w:r>
          </w:p>
        </w:tc>
      </w:tr>
      <w:tr w14:paraId="2EC53816">
        <w:tblPrEx>
          <w:tblCellMar>
            <w:top w:w="0" w:type="dxa"/>
            <w:left w:w="108" w:type="dxa"/>
            <w:bottom w:w="0" w:type="dxa"/>
            <w:right w:w="108" w:type="dxa"/>
          </w:tblCellMar>
        </w:tblPrEx>
        <w:tc>
          <w:tcPr>
            <w:tcW w:w="8848" w:type="dxa"/>
            <w:gridSpan w:val="14"/>
            <w:vAlign w:val="center"/>
          </w:tcPr>
          <w:p w14:paraId="30FDBB29">
            <w:pPr>
              <w:jc w:val="center"/>
            </w:pPr>
            <w:r>
              <w:rPr>
                <w:rFonts w:ascii="宋体" w:hAnsi="宋体" w:eastAsia="宋体"/>
                <w:sz w:val="24"/>
              </w:rPr>
              <w:t>(2024年度)</w:t>
            </w:r>
          </w:p>
        </w:tc>
      </w:tr>
      <w:tr w14:paraId="6F1792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0B25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85083A">
            <w:pPr>
              <w:jc w:val="center"/>
            </w:pPr>
            <w:r>
              <w:rPr>
                <w:rFonts w:ascii="宋体" w:hAnsi="宋体" w:eastAsia="宋体"/>
                <w:sz w:val="16"/>
              </w:rPr>
              <w:t>自治州五好党支部表彰经费项目</w:t>
            </w:r>
          </w:p>
        </w:tc>
      </w:tr>
      <w:tr w14:paraId="482915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78CC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B19AFF">
            <w:pPr>
              <w:jc w:val="center"/>
            </w:pPr>
            <w:r>
              <w:rPr>
                <w:rFonts w:ascii="宋体" w:hAnsi="宋体" w:eastAsia="宋体"/>
                <w:sz w:val="16"/>
              </w:rPr>
              <w:t>中共克孜勒苏柯尔克孜自治州委员会机要保密局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F8E8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92B4D9">
            <w:pPr>
              <w:jc w:val="center"/>
            </w:pPr>
            <w:r>
              <w:rPr>
                <w:rFonts w:ascii="宋体" w:hAnsi="宋体" w:eastAsia="宋体"/>
                <w:sz w:val="16"/>
              </w:rPr>
              <w:t>中共克孜勒苏柯尔克孜自治州委员会机要保密局</w:t>
            </w:r>
          </w:p>
        </w:tc>
      </w:tr>
      <w:tr w14:paraId="62AB8F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9B874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CA81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D501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3AEC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A797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F755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BD82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C61A4">
            <w:pPr>
              <w:jc w:val="center"/>
            </w:pPr>
            <w:r>
              <w:rPr>
                <w:rFonts w:ascii="宋体" w:hAnsi="宋体" w:eastAsia="宋体"/>
                <w:sz w:val="16"/>
              </w:rPr>
              <w:t>得分</w:t>
            </w:r>
          </w:p>
        </w:tc>
      </w:tr>
      <w:tr w14:paraId="7DB75E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02D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059C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604C9">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9CD2E">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D8170">
            <w:pPr>
              <w:jc w:val="center"/>
            </w:pPr>
            <w:r>
              <w:rPr>
                <w:rFonts w:ascii="宋体" w:hAnsi="宋体" w:eastAsia="宋体"/>
                <w:sz w:val="16"/>
              </w:rPr>
              <w:t>2.49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07F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23416">
            <w:pPr>
              <w:jc w:val="center"/>
            </w:pPr>
            <w:r>
              <w:rPr>
                <w:rFonts w:ascii="宋体" w:hAnsi="宋体" w:eastAsia="宋体"/>
                <w:sz w:val="16"/>
              </w:rPr>
              <w:t>83.0%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C93AE">
            <w:pPr>
              <w:jc w:val="center"/>
            </w:pPr>
            <w:r>
              <w:rPr>
                <w:rFonts w:ascii="宋体" w:hAnsi="宋体" w:eastAsia="宋体"/>
                <w:sz w:val="16"/>
              </w:rPr>
              <w:t>5.75分</w:t>
            </w:r>
          </w:p>
        </w:tc>
      </w:tr>
      <w:tr w14:paraId="7A19D4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EBB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C62B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941AC">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4289A">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43C46">
            <w:pPr>
              <w:jc w:val="center"/>
            </w:pPr>
            <w:r>
              <w:rPr>
                <w:rFonts w:ascii="宋体" w:hAnsi="宋体" w:eastAsia="宋体"/>
                <w:sz w:val="16"/>
              </w:rPr>
              <w:t>2.49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47DF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23F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88465">
            <w:pPr>
              <w:jc w:val="center"/>
            </w:pPr>
            <w:r>
              <w:rPr>
                <w:rFonts w:ascii="宋体" w:hAnsi="宋体" w:eastAsia="宋体"/>
                <w:sz w:val="16"/>
              </w:rPr>
              <w:t>—</w:t>
            </w:r>
          </w:p>
        </w:tc>
      </w:tr>
      <w:tr w14:paraId="0AE0BF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817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CB40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A27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37A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34B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642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05C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518A1">
            <w:pPr>
              <w:jc w:val="center"/>
            </w:pPr>
            <w:r>
              <w:rPr>
                <w:rFonts w:ascii="宋体" w:hAnsi="宋体" w:eastAsia="宋体"/>
                <w:sz w:val="16"/>
              </w:rPr>
              <w:t>—</w:t>
            </w:r>
          </w:p>
        </w:tc>
      </w:tr>
      <w:tr w14:paraId="35572D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41FF2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2D11D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31E454">
            <w:pPr>
              <w:jc w:val="center"/>
            </w:pPr>
            <w:r>
              <w:rPr>
                <w:rFonts w:ascii="宋体" w:hAnsi="宋体" w:eastAsia="宋体"/>
                <w:sz w:val="16"/>
              </w:rPr>
              <w:t>实际完成情况</w:t>
            </w:r>
          </w:p>
        </w:tc>
      </w:tr>
      <w:tr w14:paraId="5B83A5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355E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848AE4">
            <w:pPr>
              <w:jc w:val="both"/>
            </w:pPr>
            <w:r>
              <w:rPr>
                <w:rFonts w:ascii="宋体" w:hAnsi="宋体" w:eastAsia="宋体"/>
                <w:sz w:val="16"/>
              </w:rPr>
              <w:t>该项目资金3万元，本级追加3万元，主要用于开展党建活动和制作宣传牌；通过该项目实施，加强党组织的建设，巩固党的执政理念，党员接受有效教育，提升思想意识水平。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458C83">
            <w:pPr>
              <w:jc w:val="both"/>
            </w:pPr>
            <w:r>
              <w:rPr>
                <w:rFonts w:ascii="宋体" w:hAnsi="宋体" w:eastAsia="宋体"/>
                <w:sz w:val="16"/>
              </w:rPr>
              <w:t>截至2024年12月31日，已完成：开展党建活动1次，制作宣传牌15个；通过该项目实施，加强党组织的建设，巩固党的执政理念，党员接受有效教育，提升思想意识水平。</w:t>
            </w:r>
          </w:p>
        </w:tc>
      </w:tr>
      <w:tr w14:paraId="32D76C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310F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3A8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3894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EF2E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7F44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45BE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C88F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9CF0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0B3E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4335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5931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732C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8484D">
            <w:pPr>
              <w:jc w:val="center"/>
            </w:pPr>
            <w:r>
              <w:rPr>
                <w:rFonts w:ascii="宋体" w:hAnsi="宋体" w:eastAsia="宋体"/>
                <w:sz w:val="16"/>
              </w:rPr>
              <w:t>偏差原因分析及改进措施</w:t>
            </w:r>
          </w:p>
        </w:tc>
      </w:tr>
      <w:tr w14:paraId="397ED8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7AE3D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6B0BB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87F51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56926">
            <w:pPr>
              <w:jc w:val="center"/>
            </w:pPr>
            <w:r>
              <w:rPr>
                <w:rFonts w:ascii="宋体" w:hAnsi="宋体" w:eastAsia="宋体"/>
                <w:sz w:val="16"/>
              </w:rPr>
              <w:t>活动开展次数（次）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675E5">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001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BBF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592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FC9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DB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79E7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9E1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69E18">
            <w:pPr>
              <w:jc w:val="center"/>
            </w:pPr>
          </w:p>
        </w:tc>
      </w:tr>
      <w:tr w14:paraId="79ECF7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550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B25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FBA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259BB">
            <w:pPr>
              <w:jc w:val="center"/>
            </w:pPr>
            <w:r>
              <w:rPr>
                <w:rFonts w:ascii="宋体" w:hAnsi="宋体" w:eastAsia="宋体"/>
                <w:sz w:val="16"/>
              </w:rPr>
              <w:t>宣传牌制作（个）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964E1">
            <w:pPr>
              <w:jc w:val="center"/>
            </w:pPr>
            <w:r>
              <w:rPr>
                <w:rFonts w:ascii="宋体" w:hAnsi="宋体" w:eastAsia="宋体"/>
                <w:sz w:val="16"/>
              </w:rPr>
              <w:t>&gt;=15个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C0A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053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6B3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1BA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F42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A05EB">
            <w:pPr>
              <w:jc w:val="center"/>
            </w:pPr>
            <w:r>
              <w:rPr>
                <w:rFonts w:ascii="宋体" w:hAnsi="宋体" w:eastAsia="宋体"/>
                <w:sz w:val="16"/>
              </w:rPr>
              <w: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90E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DB36A">
            <w:pPr>
              <w:jc w:val="center"/>
            </w:pPr>
          </w:p>
        </w:tc>
      </w:tr>
      <w:tr w14:paraId="4592BF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B8B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58F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6A79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7DB37">
            <w:pPr>
              <w:jc w:val="center"/>
            </w:pPr>
            <w:r>
              <w:rPr>
                <w:rFonts w:ascii="宋体" w:hAnsi="宋体" w:eastAsia="宋体"/>
                <w:sz w:val="16"/>
              </w:rPr>
              <w:t>宣传材料验收合格率（%）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4B3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E5E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F4B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A0A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71C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A24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317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5CC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F6DB9">
            <w:pPr>
              <w:jc w:val="center"/>
            </w:pPr>
          </w:p>
        </w:tc>
      </w:tr>
      <w:tr w14:paraId="32F7CA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9DC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848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1B9F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48073">
            <w:pPr>
              <w:jc w:val="center"/>
            </w:pPr>
            <w:r>
              <w:rPr>
                <w:rFonts w:ascii="宋体" w:hAnsi="宋体" w:eastAsia="宋体"/>
                <w:sz w:val="16"/>
              </w:rPr>
              <w:t>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C73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1F8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40B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134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D60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91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656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B1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09973">
            <w:pPr>
              <w:jc w:val="center"/>
            </w:pPr>
          </w:p>
        </w:tc>
      </w:tr>
      <w:tr w14:paraId="7B7B16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7FF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43F4E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ADCCA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42D96">
            <w:pPr>
              <w:jc w:val="center"/>
            </w:pPr>
            <w:r>
              <w:rPr>
                <w:rFonts w:ascii="宋体" w:hAnsi="宋体" w:eastAsia="宋体"/>
                <w:sz w:val="16"/>
              </w:rPr>
              <w:t>采购宣传牌费用（元）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E07DB">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869F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3C2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FCF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FAC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A11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9CAE1">
            <w:pPr>
              <w:jc w:val="center"/>
            </w:pPr>
            <w:r>
              <w:rPr>
                <w:rFonts w:ascii="宋体" w:hAnsi="宋体" w:eastAsia="宋体"/>
                <w:sz w:val="16"/>
              </w:rPr>
              <w:t>=1.39万元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B6BB5">
            <w:pPr>
              <w:jc w:val="center"/>
            </w:pPr>
            <w:r>
              <w:rPr>
                <w:rFonts w:ascii="宋体" w:hAnsi="宋体" w:eastAsia="宋体"/>
                <w:sz w:val="16"/>
              </w:rPr>
              <w:t>8.17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749FB">
            <w:pPr>
              <w:jc w:val="center"/>
            </w:pPr>
            <w:r>
              <w:rPr>
                <w:rFonts w:ascii="宋体" w:hAnsi="宋体" w:eastAsia="宋体"/>
                <w:sz w:val="16"/>
              </w:rPr>
              <w:t>偏差原因：因宣传牌已全部覆盖单位宣传墙无需再采购，改进措施：提前做好计划，让广告商做好策划方案。</w:t>
            </w:r>
          </w:p>
        </w:tc>
      </w:tr>
      <w:tr w14:paraId="38CB4D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EDA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78E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EE0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1C8C3">
            <w:pPr>
              <w:jc w:val="center"/>
            </w:pPr>
            <w:r>
              <w:rPr>
                <w:rFonts w:ascii="宋体" w:hAnsi="宋体" w:eastAsia="宋体"/>
                <w:sz w:val="16"/>
              </w:rPr>
              <w:t>组织党建活动费用（万元）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6FBB6">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79C2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AA9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263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17B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86C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43372">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30386">
            <w:pPr>
              <w:jc w:val="center"/>
            </w:pPr>
            <w:r>
              <w:rPr>
                <w:rFonts w:ascii="宋体" w:hAnsi="宋体" w:eastAsia="宋体"/>
                <w:sz w:val="16"/>
              </w:rPr>
              <w:t>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2E7CC">
            <w:pPr>
              <w:jc w:val="center"/>
            </w:pPr>
            <w:r>
              <w:rPr>
                <w:rFonts w:ascii="宋体" w:hAnsi="宋体" w:eastAsia="宋体"/>
                <w:sz w:val="16"/>
              </w:rPr>
              <w:t>偏差原因：活动组织项目较少，部分因天气原因无法进行。改进措施：提前谋划，做好活动策划方案。</w:t>
            </w:r>
          </w:p>
        </w:tc>
      </w:tr>
      <w:tr w14:paraId="164A20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E08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73A3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4A4B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1B023">
            <w:pPr>
              <w:jc w:val="center"/>
            </w:pPr>
            <w:r>
              <w:rPr>
                <w:rFonts w:ascii="宋体" w:hAnsi="宋体" w:eastAsia="宋体"/>
                <w:sz w:val="16"/>
              </w:rPr>
              <w:t>提高思想认识度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2C0C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919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EDD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AC42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834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110D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6464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81FE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E93DF">
            <w:pPr>
              <w:jc w:val="center"/>
            </w:pPr>
          </w:p>
        </w:tc>
      </w:tr>
      <w:tr w14:paraId="292F30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4C0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BDF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C25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01367">
            <w:pPr>
              <w:jc w:val="center"/>
            </w:pPr>
            <w:r>
              <w:rPr>
                <w:rFonts w:ascii="宋体" w:hAnsi="宋体" w:eastAsia="宋体"/>
                <w:sz w:val="16"/>
              </w:rPr>
              <w:t>党员满意度（%）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4E81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1B1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C12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BB3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B0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E717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6E9B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EB1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FC353">
            <w:pPr>
              <w:jc w:val="center"/>
            </w:pPr>
          </w:p>
        </w:tc>
      </w:tr>
      <w:tr w14:paraId="0F8D1A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39D7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E0A1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B0C4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3BCABF">
            <w:pPr>
              <w:jc w:val="center"/>
            </w:pPr>
            <w:r>
              <w:rPr>
                <w:rFonts w:ascii="宋体" w:hAnsi="宋体" w:eastAsia="宋体"/>
                <w:sz w:val="16"/>
              </w:rPr>
              <w:t>87.25分</w:t>
            </w:r>
          </w:p>
        </w:tc>
      </w:tr>
    </w:tbl>
    <w:p w14:paraId="0CA006DC">
      <w:r>
        <w:br w:type="page"/>
      </w:r>
    </w:p>
    <w:p w14:paraId="28D45D24">
      <w:pPr>
        <w:spacing w:line="640" w:lineRule="exact"/>
        <w:ind w:firstLine="640"/>
        <w:jc w:val="both"/>
        <w:outlineLvl w:val="2"/>
      </w:pPr>
      <w:r>
        <w:rPr>
          <w:rFonts w:ascii="黑体" w:hAnsi="黑体" w:eastAsia="黑体"/>
          <w:sz w:val="32"/>
        </w:rPr>
        <w:t>十二、其他需说明的事项</w:t>
      </w:r>
    </w:p>
    <w:p w14:paraId="38B2F516">
      <w:pPr>
        <w:spacing w:line="580" w:lineRule="exact"/>
        <w:ind w:firstLine="640"/>
        <w:jc w:val="both"/>
      </w:pPr>
      <w:r>
        <w:rPr>
          <w:rFonts w:ascii="仿宋_GB2312" w:hAnsi="仿宋_GB2312" w:eastAsia="仿宋_GB2312"/>
          <w:b w:val="0"/>
          <w:sz w:val="32"/>
        </w:rPr>
        <w:t>本年度本单位整体绩效自评表不予公开。</w:t>
      </w:r>
    </w:p>
    <w:p w14:paraId="4DF1C960">
      <w:r>
        <w:br w:type="page"/>
      </w:r>
    </w:p>
    <w:p w14:paraId="53EF0035">
      <w:pPr>
        <w:spacing w:line="240" w:lineRule="auto"/>
        <w:jc w:val="center"/>
        <w:outlineLvl w:val="1"/>
      </w:pPr>
      <w:r>
        <w:rPr>
          <w:rFonts w:ascii="黑体" w:hAnsi="黑体" w:eastAsia="黑体"/>
          <w:sz w:val="32"/>
        </w:rPr>
        <w:t>第三部分 专业名词解释</w:t>
      </w:r>
    </w:p>
    <w:p w14:paraId="5B09720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6C13E2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9CC4CF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F38A1F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6C60E5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BEAFDC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D113B0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E33BCF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4E7021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C997CB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43A9D4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867311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5C246D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20E153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F4AB5F2">
      <w:r>
        <w:br w:type="page"/>
      </w:r>
    </w:p>
    <w:p w14:paraId="4F3FAF6B">
      <w:pPr>
        <w:spacing w:line="240" w:lineRule="auto"/>
        <w:jc w:val="center"/>
        <w:outlineLvl w:val="1"/>
      </w:pPr>
      <w:r>
        <w:rPr>
          <w:rFonts w:ascii="黑体" w:hAnsi="黑体" w:eastAsia="黑体"/>
          <w:sz w:val="32"/>
        </w:rPr>
        <w:t>第四部分 部门决算报表（见附表）</w:t>
      </w:r>
    </w:p>
    <w:p w14:paraId="27B16E78">
      <w:pPr>
        <w:spacing w:line="240" w:lineRule="auto"/>
        <w:ind w:firstLine="640"/>
        <w:jc w:val="both"/>
      </w:pPr>
      <w:r>
        <w:rPr>
          <w:rFonts w:ascii="仿宋_GB2312" w:hAnsi="仿宋_GB2312" w:eastAsia="仿宋_GB2312"/>
          <w:b w:val="0"/>
          <w:sz w:val="32"/>
        </w:rPr>
        <w:t>一、《收入支出决算总表》</w:t>
      </w:r>
    </w:p>
    <w:p w14:paraId="3D9D4DE5">
      <w:pPr>
        <w:spacing w:line="240" w:lineRule="auto"/>
        <w:ind w:firstLine="640"/>
        <w:jc w:val="both"/>
      </w:pPr>
      <w:r>
        <w:rPr>
          <w:rFonts w:ascii="仿宋_GB2312" w:hAnsi="仿宋_GB2312" w:eastAsia="仿宋_GB2312"/>
          <w:b w:val="0"/>
          <w:sz w:val="32"/>
        </w:rPr>
        <w:t>二、《收入决算表》</w:t>
      </w:r>
    </w:p>
    <w:p w14:paraId="3F060547">
      <w:pPr>
        <w:spacing w:line="240" w:lineRule="auto"/>
        <w:ind w:firstLine="640"/>
        <w:jc w:val="both"/>
      </w:pPr>
      <w:r>
        <w:rPr>
          <w:rFonts w:ascii="仿宋_GB2312" w:hAnsi="仿宋_GB2312" w:eastAsia="仿宋_GB2312"/>
          <w:b w:val="0"/>
          <w:sz w:val="32"/>
        </w:rPr>
        <w:t>三、《支出决算表》</w:t>
      </w:r>
    </w:p>
    <w:p w14:paraId="7A8CFF81">
      <w:pPr>
        <w:spacing w:line="240" w:lineRule="auto"/>
        <w:ind w:firstLine="640"/>
        <w:jc w:val="both"/>
      </w:pPr>
      <w:r>
        <w:rPr>
          <w:rFonts w:ascii="仿宋_GB2312" w:hAnsi="仿宋_GB2312" w:eastAsia="仿宋_GB2312"/>
          <w:b w:val="0"/>
          <w:sz w:val="32"/>
        </w:rPr>
        <w:t>四、《财政拨款收入支出决算总表》</w:t>
      </w:r>
    </w:p>
    <w:p w14:paraId="7FD4F6DC">
      <w:pPr>
        <w:spacing w:line="240" w:lineRule="auto"/>
        <w:ind w:firstLine="640"/>
        <w:jc w:val="both"/>
      </w:pPr>
      <w:r>
        <w:rPr>
          <w:rFonts w:ascii="仿宋_GB2312" w:hAnsi="仿宋_GB2312" w:eastAsia="仿宋_GB2312"/>
          <w:b w:val="0"/>
          <w:sz w:val="32"/>
        </w:rPr>
        <w:t>五、《一般公共预算财政拨款支出决算表》</w:t>
      </w:r>
    </w:p>
    <w:p w14:paraId="4FB52735">
      <w:pPr>
        <w:spacing w:line="240" w:lineRule="auto"/>
        <w:ind w:firstLine="640"/>
        <w:jc w:val="both"/>
      </w:pPr>
      <w:r>
        <w:rPr>
          <w:rFonts w:ascii="仿宋_GB2312" w:hAnsi="仿宋_GB2312" w:eastAsia="仿宋_GB2312"/>
          <w:b w:val="0"/>
          <w:sz w:val="32"/>
        </w:rPr>
        <w:t>六、《一般公共预算财政拨款基本支出决算表》</w:t>
      </w:r>
    </w:p>
    <w:p w14:paraId="530116C8">
      <w:pPr>
        <w:spacing w:line="240" w:lineRule="auto"/>
        <w:ind w:firstLine="640"/>
        <w:jc w:val="both"/>
      </w:pPr>
      <w:r>
        <w:rPr>
          <w:rFonts w:ascii="仿宋_GB2312" w:hAnsi="仿宋_GB2312" w:eastAsia="仿宋_GB2312"/>
          <w:b w:val="0"/>
          <w:sz w:val="32"/>
        </w:rPr>
        <w:t>七、《政府性基金预算财政拨款收入支出决算表》</w:t>
      </w:r>
    </w:p>
    <w:p w14:paraId="2A94C42A">
      <w:pPr>
        <w:spacing w:line="240" w:lineRule="auto"/>
        <w:ind w:firstLine="640"/>
        <w:jc w:val="both"/>
      </w:pPr>
      <w:r>
        <w:rPr>
          <w:rFonts w:ascii="仿宋_GB2312" w:hAnsi="仿宋_GB2312" w:eastAsia="仿宋_GB2312"/>
          <w:b w:val="0"/>
          <w:sz w:val="32"/>
        </w:rPr>
        <w:t>八、《国有资本经营预算财政拨款收入支出决算表》</w:t>
      </w:r>
    </w:p>
    <w:p w14:paraId="44DED103">
      <w:pPr>
        <w:spacing w:line="240" w:lineRule="auto"/>
        <w:ind w:firstLine="640"/>
        <w:jc w:val="both"/>
      </w:pPr>
      <w:r>
        <w:rPr>
          <w:rFonts w:ascii="仿宋_GB2312" w:hAnsi="仿宋_GB2312" w:eastAsia="仿宋_GB2312"/>
          <w:b w:val="0"/>
          <w:sz w:val="32"/>
        </w:rPr>
        <w:t>九、《财政拨款“三公”经费支出决算表》</w:t>
      </w:r>
    </w:p>
    <w:p w14:paraId="0A098A05">
      <w:pPr>
        <w:spacing w:line="240" w:lineRule="auto"/>
        <w:ind w:firstLine="640"/>
        <w:jc w:val="both"/>
      </w:pPr>
    </w:p>
    <w:p w14:paraId="17DFF9ED">
      <w:pPr>
        <w:spacing w:line="240" w:lineRule="auto"/>
        <w:ind w:firstLine="640"/>
        <w:jc w:val="both"/>
      </w:pPr>
    </w:p>
    <w:p w14:paraId="2FD7C136">
      <w:pPr>
        <w:spacing w:line="240" w:lineRule="auto"/>
        <w:ind w:firstLine="640"/>
        <w:jc w:val="both"/>
      </w:pPr>
    </w:p>
    <w:p w14:paraId="4700839A">
      <w:pPr>
        <w:spacing w:line="240" w:lineRule="auto"/>
        <w:ind w:firstLine="640"/>
        <w:jc w:val="both"/>
      </w:pPr>
    </w:p>
    <w:p w14:paraId="025CB27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2B41070-A3A1-4562-BDAC-F7B629DC677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_GB2312"/>
    <w:panose1 w:val="020B0604020202020204"/>
    <w:charset w:val="86"/>
    <w:family w:val="modern"/>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embedRegular r:id="rId2" w:fontKey="{97B0E990-AA1F-438F-8B0E-349938A7376B}"/>
  </w:font>
  <w:font w:name="楷体_GB2312">
    <w:panose1 w:val="02010609030101010101"/>
    <w:charset w:val="86"/>
    <w:family w:val="auto"/>
    <w:pitch w:val="default"/>
    <w:sig w:usb0="00000001" w:usb1="080E0000" w:usb2="00000000" w:usb3="00000000" w:csb0="00040000" w:csb1="00000000"/>
    <w:embedRegular r:id="rId3" w:fontKey="{DA97599A-118F-475A-A585-24877E3676A8}"/>
  </w:font>
  <w:font w:name="方正小标宋_GBK">
    <w:panose1 w:val="02000000000000000000"/>
    <w:charset w:val="86"/>
    <w:family w:val="script"/>
    <w:pitch w:val="default"/>
    <w:sig w:usb0="A00002BF" w:usb1="38CF7CFA" w:usb2="00082016" w:usb3="00000000" w:csb0="00040001" w:csb1="00000000"/>
    <w:embedRegular r:id="rId4" w:fontKey="{8234CCC8-4CD4-48E8-9144-36D8E3DD05A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CA91965"/>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D736532"/>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8859AD"/>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4654</Words>
  <Characters>5329</Characters>
  <Lines>0</Lines>
  <Paragraphs>0</Paragraphs>
  <TotalTime>7</TotalTime>
  <ScaleCrop>false</ScaleCrop>
  <LinksUpToDate>false</LinksUpToDate>
  <CharactersWithSpaces>5340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2025-09-02T02:49:31Z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eyJoZGlkIjoiNTBiYjFiYzY0OWM2ODlhYjA1NDAwODJkOGMwZGNkYTMiLCJ1c2VySWQiOiIyNTk4NTcxMjUifQ==</vt:lpwstr>
  </property>
</Properties>
</file>