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乌恰县人民法院2024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A3ACDDE">
      <w:r>
        <w:br w:type="page"/>
      </w:r>
    </w:p>
    <w:p w14:paraId="57DE8718">
      <w:pPr>
        <w:spacing w:line="640" w:lineRule="exact"/>
        <w:jc w:val="center"/>
        <w:outlineLvl w:val="1"/>
      </w:pPr>
      <w:r>
        <w:rPr>
          <w:rFonts w:ascii="黑体" w:hAnsi="黑体" w:eastAsia="黑体"/>
          <w:sz w:val="32"/>
        </w:rPr>
        <w:t>第一部分 单位概况</w:t>
      </w:r>
    </w:p>
    <w:p w14:paraId="5F299190">
      <w:pPr>
        <w:spacing w:line="640" w:lineRule="exact"/>
        <w:ind w:firstLine="640"/>
        <w:jc w:val="both"/>
        <w:outlineLvl w:val="2"/>
      </w:pPr>
      <w:r>
        <w:rPr>
          <w:rFonts w:ascii="黑体" w:hAnsi="黑体" w:eastAsia="黑体"/>
          <w:sz w:val="32"/>
        </w:rPr>
        <w:t>一、主要职能</w:t>
      </w:r>
    </w:p>
    <w:p w14:paraId="6640425E">
      <w:pPr>
        <w:spacing w:line="580" w:lineRule="exact"/>
        <w:ind w:firstLine="640"/>
        <w:jc w:val="both"/>
      </w:pPr>
      <w:r>
        <w:rPr>
          <w:rFonts w:ascii="仿宋_GB2312" w:hAnsi="仿宋_GB2312" w:eastAsia="仿宋_GB2312"/>
          <w:sz w:val="32"/>
        </w:rPr>
        <w:t>（一）审理法律规定由本院管辖、上级人民法院指定管辖的刑事、民商事和行政等第一审案件。</w:t>
      </w:r>
    </w:p>
    <w:p w14:paraId="2809EBB5">
      <w:pPr>
        <w:spacing w:line="580" w:lineRule="exact"/>
        <w:ind w:firstLine="640"/>
        <w:jc w:val="both"/>
      </w:pPr>
      <w:r>
        <w:rPr>
          <w:rFonts w:ascii="仿宋_GB2312" w:hAnsi="仿宋_GB2312" w:eastAsia="仿宋_GB2312"/>
          <w:sz w:val="32"/>
        </w:rPr>
        <w:t>（二）依照法律监督程序，对符合法律规定需要再审的案件，裁定再审；审理上级人民法院指令再审的案件；审理发回重审的案件。</w:t>
      </w:r>
    </w:p>
    <w:p w14:paraId="740F5751">
      <w:pPr>
        <w:spacing w:line="580" w:lineRule="exact"/>
        <w:ind w:firstLine="640"/>
        <w:jc w:val="both"/>
      </w:pPr>
      <w:r>
        <w:rPr>
          <w:rFonts w:ascii="仿宋_GB2312" w:hAnsi="仿宋_GB2312" w:eastAsia="仿宋_GB2312"/>
          <w:sz w:val="32"/>
        </w:rPr>
        <w:t>（三）依法决定国家赔偿。</w:t>
      </w:r>
    </w:p>
    <w:p w14:paraId="392FF203">
      <w:pPr>
        <w:spacing w:line="580" w:lineRule="exact"/>
        <w:ind w:firstLine="640"/>
        <w:jc w:val="both"/>
      </w:pPr>
      <w:r>
        <w:rPr>
          <w:rFonts w:ascii="仿宋_GB2312" w:hAnsi="仿宋_GB2312" w:eastAsia="仿宋_GB2312"/>
          <w:sz w:val="32"/>
        </w:rPr>
        <w:t>（四）依法行使司法执行权和司法决定权，执行本院已经发生法律效力的判决、裁定、调解书及法律规定由人民法院执行的其他法律文书；执行其他法院委托执行的案件以及法律规定的由基层法院执行的案件。</w:t>
      </w:r>
    </w:p>
    <w:p w14:paraId="270448CB">
      <w:pPr>
        <w:spacing w:line="580" w:lineRule="exact"/>
        <w:ind w:firstLine="640"/>
        <w:jc w:val="both"/>
      </w:pPr>
      <w:r>
        <w:rPr>
          <w:rFonts w:ascii="仿宋_GB2312" w:hAnsi="仿宋_GB2312" w:eastAsia="仿宋_GB2312"/>
          <w:sz w:val="32"/>
        </w:rPr>
        <w:t>（五）依法对受理的民事、商事案件，组织当事人进行诉前调解，</w:t>
      </w:r>
      <w:bookmarkStart w:id="0" w:name="_GoBack"/>
      <w:r>
        <w:rPr>
          <w:rFonts w:ascii="仿宋_GB2312" w:hAnsi="仿宋_GB2312" w:eastAsia="仿宋_GB2312"/>
          <w:sz w:val="32"/>
        </w:rPr>
        <w:t>化解</w:t>
      </w:r>
      <w:bookmarkEnd w:id="0"/>
      <w:r>
        <w:rPr>
          <w:rFonts w:ascii="仿宋_GB2312" w:hAnsi="仿宋_GB2312" w:eastAsia="仿宋_GB2312"/>
          <w:sz w:val="32"/>
        </w:rPr>
        <w:t>矛盾纠纷。</w:t>
      </w:r>
    </w:p>
    <w:p w14:paraId="5DE43FD2">
      <w:pPr>
        <w:spacing w:line="580" w:lineRule="exact"/>
        <w:ind w:firstLine="640"/>
        <w:jc w:val="both"/>
      </w:pPr>
      <w:r>
        <w:rPr>
          <w:rFonts w:ascii="仿宋_GB2312" w:hAnsi="仿宋_GB2312" w:eastAsia="仿宋_GB2312"/>
          <w:sz w:val="32"/>
        </w:rPr>
        <w:t>（六）指导本辖区人民调解委员会的工作。</w:t>
      </w:r>
    </w:p>
    <w:p w14:paraId="44C6B8D1">
      <w:pPr>
        <w:spacing w:line="580" w:lineRule="exact"/>
        <w:ind w:firstLine="640"/>
        <w:jc w:val="both"/>
      </w:pPr>
      <w:r>
        <w:rPr>
          <w:rFonts w:ascii="仿宋_GB2312" w:hAnsi="仿宋_GB2312" w:eastAsia="仿宋_GB2312"/>
          <w:sz w:val="32"/>
        </w:rPr>
        <w:t>（七）调查研究审判执行工作中的法律政策问题，参与有关法律、法规、规章、条例等草案的讨论并提出意见；针对案件审理中发现的问题提出司法建议。</w:t>
      </w:r>
    </w:p>
    <w:p w14:paraId="44A3A541">
      <w:pPr>
        <w:spacing w:line="580" w:lineRule="exact"/>
        <w:ind w:firstLine="640"/>
        <w:jc w:val="both"/>
      </w:pPr>
      <w:r>
        <w:rPr>
          <w:rFonts w:ascii="仿宋_GB2312" w:hAnsi="仿宋_GB2312" w:eastAsia="仿宋_GB2312"/>
          <w:sz w:val="32"/>
        </w:rPr>
        <w:t>（八）负责本院的思想政治、机关党建、组织人事、党风廉政、教育培训等工作，按照管理权限管理本院工作人员。</w:t>
      </w:r>
    </w:p>
    <w:p w14:paraId="1AE924A0">
      <w:pPr>
        <w:spacing w:line="580" w:lineRule="exact"/>
        <w:ind w:firstLine="640"/>
        <w:jc w:val="both"/>
      </w:pPr>
      <w:r>
        <w:rPr>
          <w:rFonts w:ascii="仿宋_GB2312" w:hAnsi="仿宋_GB2312" w:eastAsia="仿宋_GB2312"/>
          <w:sz w:val="32"/>
        </w:rPr>
        <w:t>（九）负责本院的司法行政、办公现代化、司法技术等工作，管理本院的有关经费和物资装备。</w:t>
      </w:r>
    </w:p>
    <w:p w14:paraId="107C949D">
      <w:pPr>
        <w:spacing w:line="580" w:lineRule="exact"/>
        <w:ind w:firstLine="640"/>
        <w:jc w:val="both"/>
      </w:pPr>
      <w:r>
        <w:rPr>
          <w:rFonts w:ascii="仿宋_GB2312" w:hAnsi="仿宋_GB2312" w:eastAsia="仿宋_GB2312"/>
          <w:sz w:val="32"/>
        </w:rPr>
        <w:t>（十）负责本院的司法警察工作。</w:t>
      </w:r>
    </w:p>
    <w:p w14:paraId="28C05C9D">
      <w:pPr>
        <w:spacing w:line="580" w:lineRule="exact"/>
        <w:ind w:firstLine="640"/>
        <w:jc w:val="both"/>
      </w:pPr>
      <w:r>
        <w:rPr>
          <w:rFonts w:ascii="仿宋_GB2312" w:hAnsi="仿宋_GB2312" w:eastAsia="仿宋_GB2312"/>
          <w:sz w:val="32"/>
        </w:rPr>
        <w:t>（十一）负责本院的审务督察、纪检监督业务等内部监督工作。</w:t>
      </w:r>
    </w:p>
    <w:p w14:paraId="38C69D1C">
      <w:pPr>
        <w:spacing w:line="580" w:lineRule="exact"/>
        <w:ind w:firstLine="640"/>
        <w:jc w:val="both"/>
      </w:pPr>
      <w:r>
        <w:rPr>
          <w:rFonts w:ascii="仿宋_GB2312" w:hAnsi="仿宋_GB2312" w:eastAsia="仿宋_GB2312"/>
          <w:sz w:val="32"/>
        </w:rPr>
        <w:t>（十二）全面领导人民法庭工作。</w:t>
      </w:r>
    </w:p>
    <w:p w14:paraId="19D30761">
      <w:pPr>
        <w:spacing w:line="580" w:lineRule="exact"/>
        <w:ind w:firstLine="640"/>
        <w:jc w:val="both"/>
      </w:pPr>
      <w:r>
        <w:rPr>
          <w:rFonts w:ascii="仿宋_GB2312" w:hAnsi="仿宋_GB2312" w:eastAsia="仿宋_GB2312"/>
          <w:sz w:val="32"/>
        </w:rPr>
        <w:t>（十三）做好人大代表、政协委员联络工作，对当地人民代表大会及其常务委员会负责并报告工作。</w:t>
      </w:r>
    </w:p>
    <w:p w14:paraId="2A2D9A80">
      <w:pPr>
        <w:spacing w:line="580" w:lineRule="exact"/>
        <w:ind w:firstLine="640"/>
        <w:jc w:val="both"/>
      </w:pPr>
      <w:r>
        <w:rPr>
          <w:rFonts w:ascii="仿宋_GB2312" w:hAnsi="仿宋_GB2312" w:eastAsia="仿宋_GB2312"/>
          <w:sz w:val="32"/>
        </w:rPr>
        <w:t>（十四）完成上级法院和当地党委、人大交办的其他工作。</w:t>
      </w:r>
    </w:p>
    <w:p w14:paraId="49A1E2DD">
      <w:pPr>
        <w:spacing w:line="580" w:lineRule="exact"/>
        <w:ind w:firstLine="640"/>
        <w:jc w:val="both"/>
      </w:pPr>
      <w:r>
        <w:rPr>
          <w:rFonts w:ascii="仿宋_GB2312" w:hAnsi="仿宋_GB2312" w:eastAsia="仿宋_GB2312"/>
          <w:sz w:val="32"/>
        </w:rPr>
        <w:t>（十五）承办其他应由本院负责的工作。</w:t>
      </w:r>
    </w:p>
    <w:p w14:paraId="02496215">
      <w:pPr>
        <w:spacing w:line="640" w:lineRule="exact"/>
        <w:ind w:firstLine="640"/>
        <w:jc w:val="both"/>
        <w:outlineLvl w:val="2"/>
      </w:pPr>
      <w:r>
        <w:rPr>
          <w:rFonts w:ascii="黑体" w:hAnsi="黑体" w:eastAsia="黑体"/>
          <w:sz w:val="32"/>
        </w:rPr>
        <w:t>二、机构设置及人员情况</w:t>
      </w:r>
    </w:p>
    <w:p w14:paraId="07DABFEF">
      <w:pPr>
        <w:spacing w:line="580" w:lineRule="exact"/>
        <w:ind w:firstLine="640"/>
        <w:jc w:val="both"/>
      </w:pPr>
      <w:r>
        <w:rPr>
          <w:rFonts w:ascii="仿宋_GB2312" w:hAnsi="仿宋_GB2312" w:eastAsia="仿宋_GB2312"/>
          <w:sz w:val="32"/>
        </w:rPr>
        <w:t>乌恰县人民法院2024年度，实有人数109人，其中：在职人员78人，增加18人；离休人员0人，增加0人；退休人员31人,增加4人。</w:t>
      </w:r>
    </w:p>
    <w:p w14:paraId="4F2BDD6C">
      <w:pPr>
        <w:spacing w:line="580" w:lineRule="exact"/>
        <w:ind w:firstLine="640"/>
        <w:jc w:val="both"/>
      </w:pPr>
      <w:r>
        <w:rPr>
          <w:rFonts w:ascii="仿宋_GB2312" w:hAnsi="仿宋_GB2312" w:eastAsia="仿宋_GB2312"/>
          <w:sz w:val="32"/>
        </w:rPr>
        <w:t>乌恰县人民法院无下属预算单位，下设8个科室，分别是：综合办公室、政治部、立案庭、民事审判庭、刑事审判庭、行政庭、审判管理办公室、执行局。</w:t>
      </w:r>
    </w:p>
    <w:p w14:paraId="04499FE3">
      <w:r>
        <w:br w:type="page"/>
      </w:r>
    </w:p>
    <w:p w14:paraId="780B6894">
      <w:pPr>
        <w:spacing w:line="240" w:lineRule="auto"/>
        <w:jc w:val="center"/>
        <w:outlineLvl w:val="1"/>
      </w:pPr>
      <w:r>
        <w:rPr>
          <w:rFonts w:ascii="黑体" w:hAnsi="黑体" w:eastAsia="黑体"/>
          <w:sz w:val="32"/>
        </w:rPr>
        <w:t>第二部分 部门决算情况说明</w:t>
      </w:r>
    </w:p>
    <w:p w14:paraId="2F146EBD">
      <w:pPr>
        <w:spacing w:line="640" w:lineRule="exact"/>
        <w:ind w:firstLine="640"/>
        <w:jc w:val="both"/>
        <w:outlineLvl w:val="2"/>
      </w:pPr>
      <w:r>
        <w:rPr>
          <w:rFonts w:ascii="黑体" w:hAnsi="黑体" w:eastAsia="黑体"/>
          <w:sz w:val="32"/>
        </w:rPr>
        <w:t>一、收入支出决算总体情况说明</w:t>
      </w:r>
    </w:p>
    <w:p w14:paraId="365918D7">
      <w:pPr>
        <w:spacing w:line="580" w:lineRule="exact"/>
        <w:ind w:firstLine="640"/>
        <w:jc w:val="both"/>
      </w:pPr>
      <w:r>
        <w:rPr>
          <w:rFonts w:ascii="仿宋_GB2312" w:hAnsi="仿宋_GB2312" w:eastAsia="仿宋_GB2312"/>
          <w:b/>
          <w:sz w:val="32"/>
        </w:rPr>
        <w:t>2024年度收入总计2,179.91万元，</w:t>
      </w:r>
      <w:r>
        <w:rPr>
          <w:rFonts w:ascii="仿宋_GB2312" w:hAnsi="仿宋_GB2312" w:eastAsia="仿宋_GB2312"/>
          <w:b w:val="0"/>
          <w:sz w:val="32"/>
        </w:rPr>
        <w:t>其中：本年收入合计2,130.34万元，使用非财政拨款结余（含专用结余）0.00万元，年初结转和结余49.57万元。</w:t>
      </w:r>
    </w:p>
    <w:p w14:paraId="13D54051">
      <w:pPr>
        <w:spacing w:line="580" w:lineRule="exact"/>
        <w:ind w:firstLine="640"/>
        <w:jc w:val="both"/>
      </w:pPr>
      <w:r>
        <w:rPr>
          <w:rFonts w:ascii="仿宋_GB2312" w:hAnsi="仿宋_GB2312" w:eastAsia="仿宋_GB2312"/>
          <w:b/>
          <w:sz w:val="32"/>
        </w:rPr>
        <w:t>2024年度支出总计2,179.91万元，</w:t>
      </w:r>
      <w:r>
        <w:rPr>
          <w:rFonts w:ascii="仿宋_GB2312" w:hAnsi="仿宋_GB2312" w:eastAsia="仿宋_GB2312"/>
          <w:b w:val="0"/>
          <w:sz w:val="32"/>
        </w:rPr>
        <w:t>其中：本年支出合计2,142.74万元，结余分配0.00万元，年末结转和结余37.18万元。</w:t>
      </w:r>
    </w:p>
    <w:p w14:paraId="6F9B0790">
      <w:pPr>
        <w:spacing w:line="580" w:lineRule="exact"/>
        <w:ind w:firstLine="640"/>
        <w:jc w:val="both"/>
      </w:pPr>
      <w:r>
        <w:rPr>
          <w:rFonts w:ascii="仿宋_GB2312" w:hAnsi="仿宋_GB2312" w:eastAsia="仿宋_GB2312"/>
          <w:b w:val="0"/>
          <w:sz w:val="32"/>
        </w:rPr>
        <w:t>收入支出总体与上年相比，减少278.24万元，下降11.32%，主要原因是：本年度专项工作经费较上年减少。</w:t>
      </w:r>
    </w:p>
    <w:p w14:paraId="43C550CC">
      <w:pPr>
        <w:spacing w:line="640" w:lineRule="exact"/>
        <w:ind w:firstLine="640"/>
        <w:jc w:val="both"/>
        <w:outlineLvl w:val="2"/>
      </w:pPr>
      <w:r>
        <w:rPr>
          <w:rFonts w:ascii="黑体" w:hAnsi="黑体" w:eastAsia="黑体"/>
          <w:sz w:val="32"/>
        </w:rPr>
        <w:t>二、收入决算情况说明</w:t>
      </w:r>
    </w:p>
    <w:p w14:paraId="76E7330A">
      <w:pPr>
        <w:spacing w:line="580" w:lineRule="exact"/>
        <w:ind w:firstLine="640"/>
        <w:jc w:val="both"/>
      </w:pPr>
      <w:r>
        <w:rPr>
          <w:rFonts w:ascii="仿宋_GB2312" w:hAnsi="仿宋_GB2312" w:eastAsia="仿宋_GB2312"/>
          <w:b/>
          <w:sz w:val="32"/>
        </w:rPr>
        <w:t>本年收入2,130.34万元，</w:t>
      </w:r>
      <w:r>
        <w:rPr>
          <w:rFonts w:ascii="仿宋_GB2312" w:hAnsi="仿宋_GB2312" w:eastAsia="仿宋_GB2312"/>
          <w:b w:val="0"/>
          <w:sz w:val="32"/>
        </w:rPr>
        <w:t>其中：财政拨款收入2,075.44万元，占97.42%；上级补助收入0.00万元，占0.00%；事业收入0.00万元，占0.00%；经营收入0.00万元，占0.00%；附属单位上缴收入0.00万元，占0.00%；其他收入54.90万元，占2.58%。</w:t>
      </w:r>
    </w:p>
    <w:p w14:paraId="50F113BB">
      <w:pPr>
        <w:spacing w:line="640" w:lineRule="exact"/>
        <w:ind w:firstLine="640"/>
        <w:jc w:val="both"/>
        <w:outlineLvl w:val="2"/>
      </w:pPr>
      <w:r>
        <w:rPr>
          <w:rFonts w:ascii="黑体" w:hAnsi="黑体" w:eastAsia="黑体"/>
          <w:sz w:val="32"/>
        </w:rPr>
        <w:t>三、支出决算情况说明</w:t>
      </w:r>
    </w:p>
    <w:p w14:paraId="0DBDD441">
      <w:pPr>
        <w:spacing w:line="580" w:lineRule="exact"/>
        <w:ind w:firstLine="640"/>
        <w:jc w:val="both"/>
      </w:pPr>
      <w:r>
        <w:rPr>
          <w:rFonts w:ascii="仿宋_GB2312" w:hAnsi="仿宋_GB2312" w:eastAsia="仿宋_GB2312"/>
          <w:b/>
          <w:sz w:val="32"/>
        </w:rPr>
        <w:t>本年支出2,142.74万元，</w:t>
      </w:r>
      <w:r>
        <w:rPr>
          <w:rFonts w:ascii="仿宋_GB2312" w:hAnsi="仿宋_GB2312" w:eastAsia="仿宋_GB2312"/>
          <w:b w:val="0"/>
          <w:sz w:val="32"/>
        </w:rPr>
        <w:t>其中：基本支出1,759.63万元，占82.12%；项目支出383.11万元，占17.88%；上缴上级支出0.00万元，占0.00%；经营支出0.00万元，占0.00%；对附属单位补助支出0.00万元，占0.00%。</w:t>
      </w:r>
    </w:p>
    <w:p w14:paraId="06B67169">
      <w:pPr>
        <w:spacing w:line="640" w:lineRule="exact"/>
        <w:ind w:firstLine="640"/>
        <w:jc w:val="both"/>
        <w:outlineLvl w:val="2"/>
      </w:pPr>
      <w:r>
        <w:rPr>
          <w:rFonts w:ascii="黑体" w:hAnsi="黑体" w:eastAsia="黑体"/>
          <w:sz w:val="32"/>
        </w:rPr>
        <w:t>四、财政拨款收入支出决算总体情况说明</w:t>
      </w:r>
    </w:p>
    <w:p w14:paraId="43F376AB">
      <w:pPr>
        <w:spacing w:line="580" w:lineRule="exact"/>
        <w:ind w:firstLine="640"/>
        <w:jc w:val="both"/>
      </w:pPr>
      <w:r>
        <w:rPr>
          <w:rFonts w:ascii="仿宋_GB2312" w:hAnsi="仿宋_GB2312" w:eastAsia="仿宋_GB2312"/>
          <w:b/>
          <w:sz w:val="32"/>
        </w:rPr>
        <w:t>2024年度财政拨款收入总计2,075.44万元，</w:t>
      </w:r>
      <w:r>
        <w:rPr>
          <w:rFonts w:ascii="仿宋_GB2312" w:hAnsi="仿宋_GB2312" w:eastAsia="仿宋_GB2312"/>
          <w:b w:val="0"/>
          <w:sz w:val="32"/>
        </w:rPr>
        <w:t>其中：年初财政拨款结转和结余0.00万元，本年财政拨款收入2,075.44万元。</w:t>
      </w:r>
      <w:r>
        <w:rPr>
          <w:rFonts w:ascii="仿宋_GB2312" w:hAnsi="仿宋_GB2312" w:eastAsia="仿宋_GB2312"/>
          <w:b/>
          <w:sz w:val="32"/>
        </w:rPr>
        <w:t>财政拨款支出总计2,075.44万元，</w:t>
      </w:r>
      <w:r>
        <w:rPr>
          <w:rFonts w:ascii="仿宋_GB2312" w:hAnsi="仿宋_GB2312" w:eastAsia="仿宋_GB2312"/>
          <w:b w:val="0"/>
          <w:sz w:val="32"/>
        </w:rPr>
        <w:t>其中：年末财政拨款结转和结余0.00万元，本年财政拨款支出2,075.44万元。</w:t>
      </w:r>
    </w:p>
    <w:p w14:paraId="0997AB3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减少301.19万元，下降12.67%，主要原因是：本年度专项工作经费较上年减少。</w:t>
      </w:r>
      <w:r>
        <w:rPr>
          <w:rFonts w:ascii="仿宋_GB2312" w:hAnsi="仿宋_GB2312" w:eastAsia="仿宋_GB2312"/>
          <w:b/>
          <w:sz w:val="32"/>
        </w:rPr>
        <w:t>与年初预算相比，</w:t>
      </w:r>
      <w:r>
        <w:rPr>
          <w:rFonts w:ascii="仿宋_GB2312" w:hAnsi="仿宋_GB2312" w:eastAsia="仿宋_GB2312"/>
          <w:b w:val="0"/>
          <w:sz w:val="32"/>
        </w:rPr>
        <w:t>年初预算数1,702.96万元，决算数2,075.44万元，预决算差异率21.87%，主要原因是：</w:t>
      </w:r>
      <w:r>
        <w:rPr>
          <w:rFonts w:hint="eastAsia" w:ascii="仿宋_GB2312" w:hAnsi="仿宋_GB2312" w:eastAsia="仿宋_GB2312"/>
          <w:b w:val="0"/>
          <w:sz w:val="32"/>
          <w:lang w:val="en-US" w:eastAsia="zh-CN"/>
        </w:rPr>
        <w:t>本年在职人员增加，年中追加人员经费及在职人员工资、社保、公积金等调增部分资金，导致预决算产生差异</w:t>
      </w:r>
      <w:r>
        <w:rPr>
          <w:rFonts w:ascii="仿宋_GB2312" w:hAnsi="仿宋_GB2312" w:eastAsia="仿宋_GB2312"/>
          <w:b w:val="0"/>
          <w:sz w:val="32"/>
        </w:rPr>
        <w:t>。</w:t>
      </w:r>
    </w:p>
    <w:p w14:paraId="24898D87">
      <w:pPr>
        <w:spacing w:line="640" w:lineRule="exact"/>
        <w:ind w:firstLine="640"/>
        <w:jc w:val="both"/>
        <w:outlineLvl w:val="2"/>
      </w:pPr>
      <w:r>
        <w:rPr>
          <w:rFonts w:ascii="黑体" w:hAnsi="黑体" w:eastAsia="黑体"/>
          <w:sz w:val="32"/>
        </w:rPr>
        <w:t>五、一般公共预算财政拨款支出决算情况说明</w:t>
      </w:r>
    </w:p>
    <w:p w14:paraId="1E309E76">
      <w:pPr>
        <w:spacing w:line="640" w:lineRule="exact"/>
        <w:ind w:firstLine="640"/>
        <w:jc w:val="both"/>
        <w:outlineLvl w:val="3"/>
      </w:pPr>
      <w:r>
        <w:rPr>
          <w:rFonts w:ascii="楷体_GB2312" w:hAnsi="楷体_GB2312" w:eastAsia="楷体_GB2312"/>
          <w:b/>
          <w:sz w:val="32"/>
        </w:rPr>
        <w:t>（一）一般公共预算财政拨款支出决算总体情况</w:t>
      </w:r>
    </w:p>
    <w:p w14:paraId="140E730F">
      <w:pPr>
        <w:spacing w:line="580" w:lineRule="exact"/>
        <w:ind w:firstLine="640"/>
        <w:jc w:val="both"/>
      </w:pPr>
      <w:r>
        <w:rPr>
          <w:rFonts w:ascii="仿宋_GB2312" w:hAnsi="仿宋_GB2312" w:eastAsia="仿宋_GB2312"/>
          <w:b/>
          <w:sz w:val="32"/>
        </w:rPr>
        <w:t>2024年度一般公共预算财政拨款支出2,075.44万元，</w:t>
      </w:r>
      <w:r>
        <w:rPr>
          <w:rFonts w:ascii="仿宋_GB2312" w:hAnsi="仿宋_GB2312" w:eastAsia="仿宋_GB2312"/>
          <w:b w:val="0"/>
          <w:sz w:val="32"/>
        </w:rPr>
        <w:t>占本年支出合计的96.86%。</w:t>
      </w:r>
      <w:r>
        <w:rPr>
          <w:rFonts w:ascii="仿宋_GB2312" w:hAnsi="仿宋_GB2312" w:eastAsia="仿宋_GB2312"/>
          <w:b/>
          <w:sz w:val="32"/>
        </w:rPr>
        <w:t>与上年相比，</w:t>
      </w:r>
      <w:r>
        <w:rPr>
          <w:rFonts w:ascii="仿宋_GB2312" w:hAnsi="仿宋_GB2312" w:eastAsia="仿宋_GB2312"/>
          <w:b w:val="0"/>
          <w:sz w:val="32"/>
        </w:rPr>
        <w:t>减少301.19万元，下降12.67%，主要原因是：本年度专项工作经费较上年减少。</w:t>
      </w:r>
      <w:r>
        <w:rPr>
          <w:rFonts w:ascii="仿宋_GB2312" w:hAnsi="仿宋_GB2312" w:eastAsia="仿宋_GB2312"/>
          <w:b/>
          <w:sz w:val="32"/>
        </w:rPr>
        <w:t>与年初预算相比,</w:t>
      </w:r>
      <w:r>
        <w:rPr>
          <w:rFonts w:ascii="仿宋_GB2312" w:hAnsi="仿宋_GB2312" w:eastAsia="仿宋_GB2312"/>
          <w:b w:val="0"/>
          <w:sz w:val="32"/>
        </w:rPr>
        <w:t>年初预算数1,702.96万元，决算数2,075.44万元，预决算差异率21.87%，主要原因是：</w:t>
      </w:r>
      <w:r>
        <w:rPr>
          <w:rFonts w:hint="eastAsia" w:ascii="仿宋_GB2312" w:hAnsi="仿宋_GB2312" w:eastAsia="仿宋_GB2312"/>
          <w:b w:val="0"/>
          <w:sz w:val="32"/>
          <w:lang w:val="en-US" w:eastAsia="zh-CN"/>
        </w:rPr>
        <w:t>本年在职人员增加，年中追加人员经费及在职人员工资、社保、公积金等调增部分资金，导致预决算产生差异</w:t>
      </w:r>
      <w:r>
        <w:rPr>
          <w:rFonts w:ascii="仿宋_GB2312" w:hAnsi="仿宋_GB2312" w:eastAsia="仿宋_GB2312"/>
          <w:b w:val="0"/>
          <w:sz w:val="32"/>
        </w:rPr>
        <w:t>。</w:t>
      </w:r>
    </w:p>
    <w:p w14:paraId="1B4AB177">
      <w:pPr>
        <w:spacing w:line="640" w:lineRule="exact"/>
        <w:ind w:firstLine="640"/>
        <w:jc w:val="both"/>
        <w:outlineLvl w:val="3"/>
      </w:pPr>
      <w:r>
        <w:rPr>
          <w:rFonts w:ascii="楷体_GB2312" w:hAnsi="楷体_GB2312" w:eastAsia="楷体_GB2312"/>
          <w:b/>
          <w:sz w:val="32"/>
        </w:rPr>
        <w:t>（二）一般公共预算财政拨款支出决算结构情况</w:t>
      </w:r>
    </w:p>
    <w:p w14:paraId="141A2845">
      <w:pPr>
        <w:spacing w:line="580" w:lineRule="exact"/>
        <w:ind w:firstLine="640"/>
        <w:jc w:val="both"/>
      </w:pPr>
      <w:r>
        <w:rPr>
          <w:rFonts w:ascii="仿宋_GB2312" w:hAnsi="仿宋_GB2312" w:eastAsia="仿宋_GB2312"/>
          <w:b w:val="0"/>
          <w:sz w:val="32"/>
        </w:rPr>
        <w:t>1.一般公共服务支出(类)13.52万元,占0.65%。</w:t>
      </w:r>
    </w:p>
    <w:p w14:paraId="4B72296C">
      <w:pPr>
        <w:spacing w:line="580" w:lineRule="exact"/>
        <w:ind w:firstLine="640"/>
        <w:jc w:val="both"/>
      </w:pPr>
      <w:r>
        <w:rPr>
          <w:rFonts w:ascii="仿宋_GB2312" w:hAnsi="仿宋_GB2312" w:eastAsia="仿宋_GB2312"/>
          <w:b w:val="0"/>
          <w:sz w:val="32"/>
        </w:rPr>
        <w:t>2.公共安全支出(类)1,834.33万元,占88.38%。</w:t>
      </w:r>
    </w:p>
    <w:p w14:paraId="536DA4F6">
      <w:pPr>
        <w:spacing w:line="580" w:lineRule="exact"/>
        <w:ind w:firstLine="640"/>
        <w:jc w:val="both"/>
      </w:pPr>
      <w:r>
        <w:rPr>
          <w:rFonts w:ascii="仿宋_GB2312" w:hAnsi="仿宋_GB2312" w:eastAsia="仿宋_GB2312"/>
          <w:b w:val="0"/>
          <w:sz w:val="32"/>
        </w:rPr>
        <w:t>3.社会保障和就业支出(类)227.58万元,占10.97%。</w:t>
      </w:r>
    </w:p>
    <w:p w14:paraId="58693C54">
      <w:pPr>
        <w:spacing w:line="640" w:lineRule="exact"/>
        <w:ind w:firstLine="640"/>
        <w:jc w:val="both"/>
        <w:outlineLvl w:val="3"/>
      </w:pPr>
      <w:r>
        <w:rPr>
          <w:rFonts w:ascii="楷体_GB2312" w:hAnsi="楷体_GB2312" w:eastAsia="楷体_GB2312"/>
          <w:b/>
          <w:sz w:val="32"/>
        </w:rPr>
        <w:t>（三）一般公共预算财政拨款支出决算具体情况</w:t>
      </w:r>
    </w:p>
    <w:p w14:paraId="0F72181C">
      <w:pPr>
        <w:spacing w:line="580" w:lineRule="exact"/>
        <w:ind w:firstLine="640"/>
        <w:jc w:val="both"/>
      </w:pPr>
      <w:r>
        <w:rPr>
          <w:rFonts w:ascii="仿宋_GB2312" w:hAnsi="仿宋_GB2312" w:eastAsia="仿宋_GB2312"/>
          <w:b w:val="0"/>
          <w:sz w:val="32"/>
        </w:rPr>
        <w:t>1.一般公共服务支出(类)组织事务(款)其他组织事务支出(项):支出决算数为13.52万元，比上年决算增加0.17万元，增长1.27%,主要原因是：本年度为民办实事经费较上年度增加。</w:t>
      </w:r>
    </w:p>
    <w:p w14:paraId="1E183DC9">
      <w:pPr>
        <w:spacing w:line="580" w:lineRule="exact"/>
        <w:ind w:firstLine="640"/>
        <w:jc w:val="both"/>
      </w:pPr>
      <w:r>
        <w:rPr>
          <w:rFonts w:ascii="仿宋_GB2312" w:hAnsi="仿宋_GB2312" w:eastAsia="仿宋_GB2312"/>
          <w:b w:val="0"/>
          <w:sz w:val="32"/>
        </w:rPr>
        <w:t>2.公共安全支出(类)法院(款)行政运行(项):支出决算数为1,240.71万元，比上年决算增加29.88万元，增长2.47%,主要原因是：本年人员工资</w:t>
      </w:r>
      <w:r>
        <w:rPr>
          <w:rFonts w:hint="eastAsia" w:ascii="仿宋_GB2312" w:hAnsi="仿宋_GB2312" w:eastAsia="仿宋_GB2312"/>
          <w:b w:val="0"/>
          <w:sz w:val="32"/>
          <w:lang w:val="en-US" w:eastAsia="zh-CN"/>
        </w:rPr>
        <w:t>调增</w:t>
      </w:r>
      <w:r>
        <w:rPr>
          <w:rFonts w:ascii="仿宋_GB2312" w:hAnsi="仿宋_GB2312" w:eastAsia="仿宋_GB2312"/>
          <w:b w:val="0"/>
          <w:sz w:val="32"/>
        </w:rPr>
        <w:t>，相关人员经费增加。</w:t>
      </w:r>
    </w:p>
    <w:p w14:paraId="7357F465">
      <w:pPr>
        <w:spacing w:line="580" w:lineRule="exact"/>
        <w:ind w:firstLine="640"/>
        <w:jc w:val="both"/>
      </w:pPr>
      <w:r>
        <w:rPr>
          <w:rFonts w:ascii="仿宋_GB2312" w:hAnsi="仿宋_GB2312" w:eastAsia="仿宋_GB2312"/>
          <w:b w:val="0"/>
          <w:sz w:val="32"/>
        </w:rPr>
        <w:t>3.公共安全支出(类)法院(款)一般行政管理事务(项):支出决算数为24.54万元，比上年决算减少190.46万元，下降88.59%,主要原因是：本年度司法体制改革绩效</w:t>
      </w:r>
      <w:r>
        <w:rPr>
          <w:rFonts w:hint="eastAsia" w:ascii="仿宋_GB2312" w:hAnsi="仿宋_GB2312" w:eastAsia="仿宋_GB2312"/>
          <w:b w:val="0"/>
          <w:sz w:val="32"/>
          <w:lang w:val="en-US" w:eastAsia="zh-CN"/>
        </w:rPr>
        <w:t>资金</w:t>
      </w:r>
      <w:r>
        <w:rPr>
          <w:rFonts w:ascii="仿宋_GB2312" w:hAnsi="仿宋_GB2312" w:eastAsia="仿宋_GB2312"/>
          <w:b w:val="0"/>
          <w:sz w:val="32"/>
        </w:rPr>
        <w:t>减少。</w:t>
      </w:r>
    </w:p>
    <w:p w14:paraId="083DCD46">
      <w:pPr>
        <w:spacing w:line="580" w:lineRule="exact"/>
        <w:ind w:firstLine="640"/>
        <w:jc w:val="both"/>
      </w:pPr>
      <w:r>
        <w:rPr>
          <w:rFonts w:ascii="仿宋_GB2312" w:hAnsi="仿宋_GB2312" w:eastAsia="仿宋_GB2312"/>
          <w:b w:val="0"/>
          <w:sz w:val="32"/>
        </w:rPr>
        <w:t>4.公共安全支出(类)法院(款)事业运行(项):支出决算数为291.34万元，比上年决算增加204.51万元，增长235.53%,主要原因是：本年在职</w:t>
      </w:r>
      <w:r>
        <w:rPr>
          <w:rFonts w:hint="eastAsia" w:ascii="仿宋_GB2312" w:hAnsi="仿宋_GB2312" w:eastAsia="仿宋_GB2312"/>
          <w:b w:val="0"/>
          <w:sz w:val="32"/>
          <w:lang w:val="en-US" w:eastAsia="zh-CN"/>
        </w:rPr>
        <w:t>人员增加</w:t>
      </w:r>
      <w:r>
        <w:rPr>
          <w:rFonts w:ascii="仿宋_GB2312" w:hAnsi="仿宋_GB2312" w:eastAsia="仿宋_GB2312"/>
          <w:b w:val="0"/>
          <w:sz w:val="32"/>
        </w:rPr>
        <w:t>，人员工资</w:t>
      </w:r>
      <w:r>
        <w:rPr>
          <w:rFonts w:hint="eastAsia" w:ascii="仿宋_GB2312" w:hAnsi="仿宋_GB2312" w:eastAsia="仿宋_GB2312"/>
          <w:b w:val="0"/>
          <w:sz w:val="32"/>
          <w:lang w:val="en-US" w:eastAsia="zh-CN"/>
        </w:rPr>
        <w:t>调增</w:t>
      </w:r>
      <w:r>
        <w:rPr>
          <w:rFonts w:ascii="仿宋_GB2312" w:hAnsi="仿宋_GB2312" w:eastAsia="仿宋_GB2312"/>
          <w:b w:val="0"/>
          <w:sz w:val="32"/>
        </w:rPr>
        <w:t>，相关人员经费增加。</w:t>
      </w:r>
    </w:p>
    <w:p w14:paraId="7C1BB55B">
      <w:pPr>
        <w:spacing w:line="580" w:lineRule="exact"/>
        <w:ind w:firstLine="640"/>
        <w:jc w:val="both"/>
      </w:pPr>
      <w:r>
        <w:rPr>
          <w:rFonts w:ascii="仿宋_GB2312" w:hAnsi="仿宋_GB2312" w:eastAsia="仿宋_GB2312"/>
          <w:b w:val="0"/>
          <w:sz w:val="32"/>
        </w:rPr>
        <w:t>5.公共安全支出(类)法院(款)其他法院支出(项):支出决算数为277.75万元，比上年决算减少386.04万元，下降58.16%,主要原因是：本年度专项工作经费较上年减少。</w:t>
      </w:r>
    </w:p>
    <w:p w14:paraId="65AACC09">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6.社会保障和就业支出(类)行政事业单位养老支出(款)行政单位离退休(项):支出决算数为39.95万元，比上年决算减少8.38万元，下降17.34%,主要原因是：</w:t>
      </w:r>
      <w:r>
        <w:rPr>
          <w:rFonts w:hint="eastAsia" w:ascii="仿宋_GB2312" w:hAnsi="仿宋_GB2312" w:eastAsia="仿宋_GB2312"/>
          <w:b w:val="0"/>
          <w:sz w:val="32"/>
          <w:lang w:val="en-US" w:eastAsia="zh-CN"/>
        </w:rPr>
        <w:t>上年补发退休人员基础绩效，本年无补发情况，导致离退休经费减少</w:t>
      </w:r>
      <w:r>
        <w:rPr>
          <w:rFonts w:ascii="仿宋_GB2312" w:hAnsi="仿宋_GB2312" w:eastAsia="仿宋_GB2312"/>
          <w:b w:val="0"/>
          <w:sz w:val="32"/>
        </w:rPr>
        <w:t>。</w:t>
      </w:r>
    </w:p>
    <w:p w14:paraId="20BB7C9E">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176.62万元，比上年决算增加42.13万元，增长31.33%,主要原因是：本年在职人数增加，人员工资基数调增，养老缴费基数上涨，相应支出增加。</w:t>
      </w:r>
    </w:p>
    <w:p w14:paraId="28511497">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8.社会保障和就业支出(类)行政事业单位养老支出(款)机关事业单位职业年金缴费支出(项):支出决算数为11.01万元，比上年决算增加7.00万元，增长174.56%,主要原因是：本年</w:t>
      </w:r>
      <w:r>
        <w:rPr>
          <w:rFonts w:hint="eastAsia" w:ascii="仿宋_GB2312" w:hAnsi="仿宋_GB2312" w:eastAsia="仿宋_GB2312"/>
          <w:b w:val="0"/>
          <w:sz w:val="32"/>
          <w:lang w:val="en-US" w:eastAsia="zh-CN"/>
        </w:rPr>
        <w:t>新增退休人员</w:t>
      </w:r>
      <w:r>
        <w:rPr>
          <w:rFonts w:ascii="仿宋_GB2312" w:hAnsi="仿宋_GB2312" w:eastAsia="仿宋_GB2312"/>
          <w:b w:val="0"/>
          <w:sz w:val="32"/>
        </w:rPr>
        <w:t>，职业年金</w:t>
      </w:r>
      <w:r>
        <w:rPr>
          <w:rFonts w:hint="eastAsia" w:ascii="仿宋_GB2312" w:hAnsi="仿宋_GB2312" w:eastAsia="仿宋_GB2312"/>
          <w:b w:val="0"/>
          <w:sz w:val="32"/>
          <w:lang w:val="en-US" w:eastAsia="zh-CN"/>
        </w:rPr>
        <w:t>缴费</w:t>
      </w:r>
      <w:r>
        <w:rPr>
          <w:rFonts w:ascii="仿宋_GB2312" w:hAnsi="仿宋_GB2312" w:eastAsia="仿宋_GB2312"/>
          <w:b w:val="0"/>
          <w:sz w:val="32"/>
        </w:rPr>
        <w:t>增加。</w:t>
      </w:r>
    </w:p>
    <w:p w14:paraId="49227551">
      <w:pPr>
        <w:spacing w:line="640" w:lineRule="exact"/>
        <w:ind w:firstLine="640"/>
        <w:jc w:val="both"/>
        <w:outlineLvl w:val="2"/>
      </w:pPr>
      <w:r>
        <w:rPr>
          <w:rFonts w:ascii="黑体" w:hAnsi="黑体" w:eastAsia="黑体"/>
          <w:sz w:val="32"/>
        </w:rPr>
        <w:t>六、一般公共预算财政拨款基本支出决算情况说明</w:t>
      </w:r>
    </w:p>
    <w:p w14:paraId="13D6A77C">
      <w:pPr>
        <w:spacing w:line="580" w:lineRule="exact"/>
        <w:ind w:firstLine="640"/>
        <w:jc w:val="both"/>
      </w:pPr>
      <w:r>
        <w:rPr>
          <w:rFonts w:ascii="仿宋_GB2312" w:hAnsi="仿宋_GB2312" w:eastAsia="仿宋_GB2312"/>
          <w:b w:val="0"/>
          <w:sz w:val="32"/>
        </w:rPr>
        <w:t>2024年度一般公共预算财政拨款基本支出1,759.63万元，其中：</w:t>
      </w:r>
      <w:r>
        <w:rPr>
          <w:rFonts w:ascii="仿宋_GB2312" w:hAnsi="仿宋_GB2312" w:eastAsia="仿宋_GB2312"/>
          <w:b/>
          <w:sz w:val="32"/>
        </w:rPr>
        <w:t>人员经费1,698.87万元，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包括：基本工资、津贴补贴、奖金、机关事业单位基本养老保险缴费、职业年金缴费、职工基本医疗保险缴费、其他社会保障缴费、住房公积金、退休费、奖励金、其他对个人和家庭的补助。</w:t>
      </w:r>
    </w:p>
    <w:p w14:paraId="497CFF39">
      <w:pPr>
        <w:spacing w:line="580" w:lineRule="exact"/>
        <w:ind w:firstLine="640"/>
        <w:jc w:val="both"/>
      </w:pPr>
      <w:r>
        <w:rPr>
          <w:rFonts w:ascii="仿宋_GB2312" w:hAnsi="仿宋_GB2312" w:eastAsia="仿宋_GB2312"/>
          <w:b/>
          <w:sz w:val="32"/>
        </w:rPr>
        <w:t>公用经费60.76万元，</w:t>
      </w:r>
      <w:r>
        <w:rPr>
          <w:rFonts w:ascii="仿宋_GB2312" w:hAnsi="仿宋_GB2312" w:eastAsia="仿宋_GB2312"/>
          <w:b w:val="0"/>
          <w:sz w:val="32"/>
        </w:rPr>
        <w:t>包括：办公费、印刷费、水费、电费、邮电费、取暖费、维修（护）费、工会经费、福利费、其他商品和服务支出。</w:t>
      </w:r>
    </w:p>
    <w:p w14:paraId="52D4DE2A">
      <w:pPr>
        <w:spacing w:line="640" w:lineRule="exact"/>
        <w:ind w:firstLine="640"/>
        <w:jc w:val="both"/>
        <w:outlineLvl w:val="2"/>
      </w:pPr>
      <w:r>
        <w:rPr>
          <w:rFonts w:ascii="黑体" w:hAnsi="黑体" w:eastAsia="黑体"/>
          <w:sz w:val="32"/>
        </w:rPr>
        <w:t>七、政府性基金预算财政拨款收入支出决算情况说明</w:t>
      </w:r>
    </w:p>
    <w:p w14:paraId="4788C0C0">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7B0F79E">
      <w:pPr>
        <w:spacing w:line="640" w:lineRule="exact"/>
        <w:ind w:firstLine="640"/>
        <w:jc w:val="both"/>
        <w:outlineLvl w:val="2"/>
      </w:pPr>
      <w:r>
        <w:rPr>
          <w:rFonts w:ascii="黑体" w:hAnsi="黑体" w:eastAsia="黑体"/>
          <w:sz w:val="32"/>
        </w:rPr>
        <w:t>八、国有资本经营预算财政拨款收入支出决算情况说明</w:t>
      </w:r>
    </w:p>
    <w:p w14:paraId="3F3B690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9180BA7">
      <w:pPr>
        <w:spacing w:line="640" w:lineRule="exact"/>
        <w:ind w:firstLine="640"/>
        <w:jc w:val="both"/>
        <w:outlineLvl w:val="2"/>
      </w:pPr>
      <w:r>
        <w:rPr>
          <w:rFonts w:ascii="黑体" w:hAnsi="黑体" w:eastAsia="黑体"/>
          <w:sz w:val="32"/>
        </w:rPr>
        <w:t>九、财政拨款“三公”经费支出决算情况说明</w:t>
      </w:r>
    </w:p>
    <w:p w14:paraId="741FEED3">
      <w:pPr>
        <w:spacing w:line="580" w:lineRule="exact"/>
        <w:ind w:firstLine="640"/>
        <w:jc w:val="both"/>
      </w:pPr>
      <w:r>
        <w:rPr>
          <w:rFonts w:ascii="仿宋_GB2312" w:hAnsi="仿宋_GB2312" w:eastAsia="仿宋_GB2312"/>
          <w:b/>
          <w:sz w:val="32"/>
        </w:rPr>
        <w:t>2024年度财政拨款“三公”经费支出55.92万元，</w:t>
      </w:r>
      <w:r>
        <w:rPr>
          <w:rFonts w:ascii="仿宋_GB2312" w:hAnsi="仿宋_GB2312" w:eastAsia="仿宋_GB2312"/>
          <w:b w:val="0"/>
          <w:sz w:val="32"/>
        </w:rPr>
        <w:t>比上年增加21.61万元，增长62.98%，主要原因是：本年度新购置2辆车，相关经费增加。其中：因公出国（境）费支出0.00万元，占0.00%，比上年增加0.00万元，增长0.00%，主要原因是：2023年与2024年均未安排因公出国（境）费支出。公务用车购置及运行维护费支出55.92万元，占100.00%，比上年增加22.36万元，增长66.63%，主要原因是：本年度新购置2辆车，相关经费增加。公务接待费支出0.00万元，占0.00%，比上年减少0.75万元，下降100.00%，主要原因是：本年未安排公务接待工作，导致公务接待费较上年减少。</w:t>
      </w:r>
    </w:p>
    <w:p w14:paraId="298B2DDA">
      <w:pPr>
        <w:spacing w:line="580" w:lineRule="exact"/>
        <w:ind w:firstLine="640"/>
        <w:jc w:val="both"/>
      </w:pPr>
      <w:r>
        <w:rPr>
          <w:rFonts w:ascii="仿宋_GB2312" w:hAnsi="仿宋_GB2312" w:eastAsia="仿宋_GB2312"/>
          <w:b/>
          <w:sz w:val="32"/>
        </w:rPr>
        <w:t>具体情况如下：</w:t>
      </w:r>
    </w:p>
    <w:p w14:paraId="26D98AE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08F0481">
      <w:pPr>
        <w:spacing w:line="580" w:lineRule="exact"/>
        <w:ind w:firstLine="640"/>
        <w:jc w:val="both"/>
      </w:pPr>
      <w:r>
        <w:rPr>
          <w:rFonts w:ascii="仿宋_GB2312" w:hAnsi="仿宋_GB2312" w:eastAsia="仿宋_GB2312"/>
          <w:b w:val="0"/>
          <w:sz w:val="32"/>
        </w:rPr>
        <w:t>公务用车购置及运行维护费55.92万元，其中：公务用车购置费35.96万元，公务用车运行维护费19.96万元。公务用车运行维护费开支内容包括维修费、保险费、加油费、过路过桥费。公务用车购置数2辆，公务用车保有量13辆。国有资产占用情况中固定资产车辆13辆，与公务用车保有量差异原因是：本单位固定资产车辆与公务用车保有量一致无差异。</w:t>
      </w:r>
    </w:p>
    <w:p w14:paraId="3E71D33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394374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55.92万元，决算数55.92万元，预决算差异率0.00%，主要原因是：严格按照预算执行，预决算无差异。其中：因公出国（境）费全年预算数0.00万元，决算数0.00万元，预决算差异率0.00%，主要原因是：本单位无因公出国（境）费。公务用车购置费全年预算数35.96万元，决算数35.96万元，预决算差异率0.00%，主要原因是：严格按照预算执行，预决算无差异。公务用车运行维护费全年预算数19.96万元，决算数19.96万元，预决算差异率0.00%，主要原因是：严格按照预算执行，预决算无差异。公务接待费全年预算数0.00万元，决算数0.00万元，预决算差异率0.00%，主要原因是：本单位无公务接待费。</w:t>
      </w:r>
    </w:p>
    <w:p w14:paraId="1627374D">
      <w:pPr>
        <w:spacing w:line="640" w:lineRule="exact"/>
        <w:ind w:firstLine="640"/>
        <w:jc w:val="both"/>
        <w:outlineLvl w:val="2"/>
      </w:pPr>
      <w:r>
        <w:rPr>
          <w:rFonts w:ascii="黑体" w:hAnsi="黑体" w:eastAsia="黑体"/>
          <w:sz w:val="32"/>
        </w:rPr>
        <w:t>十、其他重要事项的情况说明</w:t>
      </w:r>
    </w:p>
    <w:p w14:paraId="4EE59145">
      <w:pPr>
        <w:spacing w:line="640" w:lineRule="exact"/>
        <w:ind w:firstLine="640"/>
        <w:jc w:val="both"/>
        <w:outlineLvl w:val="3"/>
      </w:pPr>
      <w:r>
        <w:rPr>
          <w:rFonts w:ascii="楷体_GB2312" w:hAnsi="楷体_GB2312" w:eastAsia="楷体_GB2312"/>
          <w:b/>
          <w:sz w:val="32"/>
        </w:rPr>
        <w:t>（一）机关运行经费及公用经费支出情况</w:t>
      </w:r>
    </w:p>
    <w:p w14:paraId="1F88A810">
      <w:pPr>
        <w:spacing w:line="580" w:lineRule="exact"/>
        <w:ind w:firstLine="640"/>
        <w:jc w:val="both"/>
      </w:pPr>
      <w:r>
        <w:rPr>
          <w:rFonts w:ascii="仿宋_GB2312" w:hAnsi="仿宋_GB2312" w:eastAsia="仿宋_GB2312"/>
          <w:b w:val="0"/>
          <w:sz w:val="32"/>
        </w:rPr>
        <w:t>2024年度乌恰县人民法院（行政单位和参照公务员法管理事业单位）机关运行经费支出60.76万元，比上年增加15.46万元，增长34.13%，主要原因是：本年业务量增加，公用经费增加。</w:t>
      </w:r>
    </w:p>
    <w:p w14:paraId="315264CC">
      <w:pPr>
        <w:spacing w:line="640" w:lineRule="exact"/>
        <w:ind w:firstLine="640"/>
        <w:jc w:val="both"/>
        <w:outlineLvl w:val="3"/>
      </w:pPr>
      <w:r>
        <w:rPr>
          <w:rFonts w:ascii="楷体_GB2312" w:hAnsi="楷体_GB2312" w:eastAsia="楷体_GB2312"/>
          <w:b/>
          <w:sz w:val="32"/>
        </w:rPr>
        <w:t>（二）政府采购情况</w:t>
      </w:r>
    </w:p>
    <w:p w14:paraId="5E704E3D">
      <w:pPr>
        <w:spacing w:line="580" w:lineRule="exact"/>
        <w:ind w:firstLine="640"/>
        <w:jc w:val="both"/>
      </w:pPr>
      <w:r>
        <w:rPr>
          <w:rFonts w:ascii="仿宋_GB2312" w:hAnsi="仿宋_GB2312" w:eastAsia="仿宋_GB2312"/>
          <w:b w:val="0"/>
          <w:sz w:val="32"/>
        </w:rPr>
        <w:t>2024年度政府采购支出总额192.61万元，其中：政府采购货物支出192.61万元、政府采购工程支出0.00万元、政府采购服务支出0.00万元。</w:t>
      </w:r>
    </w:p>
    <w:p w14:paraId="62BAD3F0">
      <w:pPr>
        <w:spacing w:line="580" w:lineRule="exact"/>
        <w:ind w:firstLine="640"/>
        <w:jc w:val="both"/>
      </w:pPr>
      <w:r>
        <w:rPr>
          <w:rFonts w:ascii="仿宋_GB2312" w:hAnsi="仿宋_GB2312" w:eastAsia="仿宋_GB2312"/>
          <w:b w:val="0"/>
          <w:sz w:val="32"/>
        </w:rPr>
        <w:t>授予中小企业合同金额192.61万元，占政府采购支出总额的100.00%，其中：授予小微企业合同金额192.61万元，占政府采购支出总额的100.00%。</w:t>
      </w:r>
    </w:p>
    <w:p w14:paraId="0F3F95C4">
      <w:pPr>
        <w:spacing w:line="640" w:lineRule="exact"/>
        <w:ind w:firstLine="640"/>
        <w:jc w:val="both"/>
        <w:outlineLvl w:val="3"/>
      </w:pPr>
      <w:r>
        <w:rPr>
          <w:rFonts w:ascii="楷体_GB2312" w:hAnsi="楷体_GB2312" w:eastAsia="楷体_GB2312"/>
          <w:b/>
          <w:sz w:val="32"/>
        </w:rPr>
        <w:t>（三）国有资产占用情况说明</w:t>
      </w:r>
    </w:p>
    <w:p w14:paraId="422689A5">
      <w:pPr>
        <w:spacing w:line="580" w:lineRule="exact"/>
        <w:ind w:firstLine="640"/>
        <w:jc w:val="both"/>
      </w:pPr>
      <w:r>
        <w:rPr>
          <w:rFonts w:ascii="仿宋_GB2312" w:hAnsi="仿宋_GB2312" w:eastAsia="仿宋_GB2312"/>
          <w:b w:val="0"/>
          <w:sz w:val="32"/>
        </w:rPr>
        <w:t>截至2024年12月31日，房屋9,336.59平方米，价值1,955.61万元。车辆13辆，价值227.81万元，其中：副部（省）级及以上领导用车0辆、主要负责人用车0辆、机要通信用车0辆、应急保障用车0辆、执法执勤用车13辆、特种专业技术用车0辆、离退休干部服务用车0辆、其他用车0辆，其他用车主要是：本单位无其他用车。单价100万元（含）以上设备（不含车辆）1台（套）。</w:t>
      </w:r>
    </w:p>
    <w:p w14:paraId="56A71E0F">
      <w:pPr>
        <w:spacing w:line="640" w:lineRule="exact"/>
        <w:ind w:firstLine="640"/>
        <w:jc w:val="both"/>
        <w:outlineLvl w:val="2"/>
      </w:pPr>
      <w:r>
        <w:rPr>
          <w:rFonts w:ascii="黑体" w:hAnsi="黑体" w:eastAsia="黑体"/>
          <w:sz w:val="32"/>
        </w:rPr>
        <w:t>十一、预算绩效的情况说明</w:t>
      </w:r>
    </w:p>
    <w:p w14:paraId="1BFB552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2,179.91万元，实际执行总额2,142.74万元；预算绩效评价项目3个，全年预算数111.41万元，全年执行数80.82万元。预算绩效管理取得的成效：一是为加强预算管理，规范财务行为，已制定各项管理制度，有效保障了高效履行工作职能，二是加强了制度建设，打牢绩效管理工作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，对于指标的编制还不够完善。评价工作还存在自我审定的局限性，影响评价质量。下一步改进措施：一是加大预算绩效评价公开力度；二是不仅各类预算支出项目的绩效目标需要公开；三是还应进一步较为详细</w:t>
      </w:r>
      <w:r>
        <w:rPr>
          <w:rFonts w:hint="eastAsia" w:ascii="仿宋_GB2312" w:hAnsi="仿宋_GB2312" w:eastAsia="仿宋_GB2312"/>
          <w:b w:val="0"/>
          <w:sz w:val="32"/>
          <w:lang w:eastAsia="zh-CN"/>
        </w:rPr>
        <w:t>地</w:t>
      </w:r>
      <w:r>
        <w:rPr>
          <w:rFonts w:ascii="仿宋_GB2312" w:hAnsi="仿宋_GB2312" w:eastAsia="仿宋_GB2312"/>
          <w:b w:val="0"/>
          <w:sz w:val="32"/>
        </w:rPr>
        <w:t>公开预算绩效评价结果及后续的追踪问责机制，避免出现各预算单位“自说自话”问题，实现信息透明、共享。具体附整体支出绩效自评表，项目支出绩效自评表和评价报告。</w:t>
      </w:r>
    </w:p>
    <w:p w14:paraId="6B5D61C2">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41EDA8AC">
        <w:tblPrEx>
          <w:tblCellMar>
            <w:top w:w="0" w:type="dxa"/>
            <w:left w:w="108" w:type="dxa"/>
            <w:bottom w:w="0" w:type="dxa"/>
            <w:right w:w="108" w:type="dxa"/>
          </w:tblCellMar>
        </w:tblPrEx>
        <w:tc>
          <w:tcPr>
            <w:tcW w:w="8840" w:type="dxa"/>
            <w:gridSpan w:val="8"/>
            <w:vAlign w:val="center"/>
          </w:tcPr>
          <w:p w14:paraId="5137AFF3">
            <w:pPr>
              <w:jc w:val="center"/>
            </w:pPr>
            <w:r>
              <w:rPr>
                <w:rFonts w:ascii="宋体" w:hAnsi="宋体" w:eastAsia="宋体"/>
                <w:sz w:val="24"/>
              </w:rPr>
              <w:t>单位整体支出绩效自评表</w:t>
            </w:r>
          </w:p>
        </w:tc>
      </w:tr>
      <w:tr w14:paraId="184E1512">
        <w:tblPrEx>
          <w:tblCellMar>
            <w:top w:w="0" w:type="dxa"/>
            <w:left w:w="108" w:type="dxa"/>
            <w:bottom w:w="0" w:type="dxa"/>
            <w:right w:w="108" w:type="dxa"/>
          </w:tblCellMar>
        </w:tblPrEx>
        <w:tc>
          <w:tcPr>
            <w:tcW w:w="8840" w:type="dxa"/>
            <w:gridSpan w:val="8"/>
            <w:vAlign w:val="center"/>
          </w:tcPr>
          <w:p w14:paraId="22F58F5A">
            <w:pPr>
              <w:jc w:val="center"/>
            </w:pPr>
            <w:r>
              <w:rPr>
                <w:rFonts w:ascii="宋体" w:hAnsi="宋体" w:eastAsia="宋体"/>
                <w:sz w:val="24"/>
              </w:rPr>
              <w:t>（2024年度）</w:t>
            </w:r>
          </w:p>
        </w:tc>
      </w:tr>
      <w:tr w14:paraId="0100ADF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113D33">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15E216">
            <w:pPr>
              <w:jc w:val="center"/>
            </w:pPr>
            <w:r>
              <w:rPr>
                <w:rFonts w:ascii="宋体" w:hAnsi="宋体" w:eastAsia="宋体"/>
                <w:sz w:val="16"/>
              </w:rPr>
              <w:t>乌恰县人民法院</w:t>
            </w:r>
          </w:p>
        </w:tc>
      </w:tr>
      <w:tr w14:paraId="0E9464E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7B97F8">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6EE263">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C49B0B">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827C2B">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A46C5B">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C11D11">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6BC60A">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85C220">
            <w:pPr>
              <w:jc w:val="center"/>
            </w:pPr>
            <w:r>
              <w:rPr>
                <w:rFonts w:ascii="宋体" w:hAnsi="宋体" w:eastAsia="宋体"/>
                <w:sz w:val="16"/>
              </w:rPr>
              <w:t>得分</w:t>
            </w:r>
          </w:p>
        </w:tc>
      </w:tr>
      <w:tr w14:paraId="3D6594E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CE47B1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CE6841">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3B4DF0">
            <w:pPr>
              <w:jc w:val="center"/>
            </w:pPr>
            <w:r>
              <w:rPr>
                <w:rFonts w:ascii="宋体" w:hAnsi="宋体" w:eastAsia="宋体"/>
                <w:sz w:val="16"/>
              </w:rPr>
              <w:t>1,799.29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6668BA">
            <w:pPr>
              <w:jc w:val="center"/>
            </w:pPr>
            <w:r>
              <w:rPr>
                <w:rFonts w:ascii="宋体" w:hAnsi="宋体" w:eastAsia="宋体"/>
                <w:sz w:val="16"/>
              </w:rPr>
              <w:t>2,179.91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641A0C">
            <w:pPr>
              <w:jc w:val="center"/>
            </w:pPr>
            <w:r>
              <w:rPr>
                <w:rFonts w:ascii="宋体" w:hAnsi="宋体" w:eastAsia="宋体"/>
                <w:sz w:val="16"/>
              </w:rPr>
              <w:t>2,142.74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A47FB8">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0CAAC6">
            <w:pPr>
              <w:jc w:val="center"/>
            </w:pPr>
            <w:r>
              <w:rPr>
                <w:rFonts w:ascii="宋体" w:hAnsi="宋体" w:eastAsia="宋体"/>
                <w:sz w:val="16"/>
              </w:rPr>
              <w:t>98.29%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4866F7">
            <w:pPr>
              <w:jc w:val="center"/>
              <w:rPr>
                <w:rFonts w:hint="eastAsia" w:eastAsia="宋体"/>
                <w:lang w:eastAsia="zh-CN"/>
              </w:rPr>
            </w:pPr>
            <w:r>
              <w:rPr>
                <w:rFonts w:ascii="宋体" w:hAnsi="宋体" w:eastAsia="宋体"/>
                <w:sz w:val="16"/>
              </w:rPr>
              <w:t>9</w:t>
            </w:r>
            <w:r>
              <w:rPr>
                <w:rFonts w:hint="eastAsia" w:ascii="宋体" w:hAnsi="宋体"/>
                <w:sz w:val="16"/>
                <w:lang w:eastAsia="zh-CN"/>
              </w:rPr>
              <w:t>.</w:t>
            </w:r>
            <w:r>
              <w:rPr>
                <w:rFonts w:ascii="宋体" w:hAnsi="宋体" w:eastAsia="宋体"/>
                <w:sz w:val="16"/>
              </w:rPr>
              <w:t>8</w:t>
            </w:r>
            <w:r>
              <w:rPr>
                <w:rFonts w:hint="eastAsia" w:ascii="宋体" w:hAnsi="宋体"/>
                <w:sz w:val="16"/>
                <w:lang w:val="en-US" w:eastAsia="zh-CN"/>
              </w:rPr>
              <w:t>3</w:t>
            </w:r>
          </w:p>
        </w:tc>
      </w:tr>
      <w:tr w14:paraId="1AA2569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EDBA6C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5AE518">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087D70">
            <w:pPr>
              <w:jc w:val="center"/>
            </w:pPr>
            <w:r>
              <w:rPr>
                <w:rFonts w:ascii="宋体" w:hAnsi="宋体" w:eastAsia="宋体"/>
                <w:sz w:val="16"/>
              </w:rPr>
              <w:t>245.40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F9B1EB">
            <w:pPr>
              <w:jc w:val="center"/>
            </w:pPr>
            <w:r>
              <w:rPr>
                <w:rFonts w:ascii="宋体" w:hAnsi="宋体" w:eastAsia="宋体"/>
                <w:sz w:val="16"/>
              </w:rPr>
              <w:t>352.98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5BA4E0">
            <w:pPr>
              <w:jc w:val="center"/>
            </w:pPr>
            <w:r>
              <w:rPr>
                <w:rFonts w:ascii="宋体" w:hAnsi="宋体" w:eastAsia="宋体"/>
                <w:sz w:val="16"/>
              </w:rPr>
              <w:t>315.81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2CDA3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2F88D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AD5995">
            <w:pPr>
              <w:jc w:val="center"/>
            </w:pPr>
            <w:r>
              <w:rPr>
                <w:rFonts w:ascii="宋体" w:hAnsi="宋体" w:eastAsia="宋体"/>
                <w:sz w:val="16"/>
              </w:rPr>
              <w:t>—</w:t>
            </w:r>
          </w:p>
        </w:tc>
      </w:tr>
      <w:tr w14:paraId="6C39507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3542EF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B4883E">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ECA893">
            <w:pPr>
              <w:jc w:val="center"/>
            </w:pPr>
            <w:r>
              <w:rPr>
                <w:rFonts w:ascii="宋体" w:hAnsi="宋体" w:eastAsia="宋体"/>
                <w:sz w:val="16"/>
              </w:rPr>
              <w:t>1,457.55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E40521">
            <w:pPr>
              <w:jc w:val="center"/>
            </w:pPr>
            <w:r>
              <w:rPr>
                <w:rFonts w:ascii="宋体" w:hAnsi="宋体" w:eastAsia="宋体"/>
                <w:sz w:val="16"/>
              </w:rPr>
              <w:t>1,759.63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BC5D7C">
            <w:pPr>
              <w:jc w:val="center"/>
            </w:pPr>
            <w:r>
              <w:rPr>
                <w:rFonts w:ascii="宋体" w:hAnsi="宋体" w:eastAsia="宋体"/>
                <w:sz w:val="16"/>
              </w:rPr>
              <w:t>1,759.63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43210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ACA5E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178897">
            <w:pPr>
              <w:jc w:val="center"/>
            </w:pPr>
            <w:r>
              <w:rPr>
                <w:rFonts w:ascii="宋体" w:hAnsi="宋体" w:eastAsia="宋体"/>
                <w:sz w:val="16"/>
              </w:rPr>
              <w:t>—</w:t>
            </w:r>
          </w:p>
        </w:tc>
      </w:tr>
      <w:tr w14:paraId="53A1CFB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CA8E5C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F4D3A0">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C949BB">
            <w:pPr>
              <w:jc w:val="center"/>
            </w:pPr>
            <w:r>
              <w:rPr>
                <w:rFonts w:ascii="宋体" w:hAnsi="宋体" w:eastAsia="宋体"/>
                <w:sz w:val="16"/>
              </w:rPr>
              <w:t>96.34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657661">
            <w:pPr>
              <w:jc w:val="center"/>
            </w:pPr>
            <w:r>
              <w:rPr>
                <w:rFonts w:ascii="宋体" w:hAnsi="宋体" w:eastAsia="宋体"/>
                <w:sz w:val="16"/>
              </w:rPr>
              <w:t>67.30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B7F3D6">
            <w:pPr>
              <w:jc w:val="center"/>
            </w:pPr>
            <w:r>
              <w:rPr>
                <w:rFonts w:ascii="宋体" w:hAnsi="宋体" w:eastAsia="宋体"/>
                <w:sz w:val="16"/>
              </w:rPr>
              <w:t>67.30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9352F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522DB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3A2B64">
            <w:pPr>
              <w:jc w:val="center"/>
            </w:pPr>
            <w:r>
              <w:rPr>
                <w:rFonts w:ascii="宋体" w:hAnsi="宋体" w:eastAsia="宋体"/>
                <w:sz w:val="16"/>
              </w:rPr>
              <w:t>—</w:t>
            </w:r>
          </w:p>
        </w:tc>
      </w:tr>
      <w:tr w14:paraId="53B1033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0607A3">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B18FC0">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E6609F">
            <w:pPr>
              <w:jc w:val="center"/>
            </w:pPr>
            <w:r>
              <w:rPr>
                <w:rFonts w:ascii="宋体" w:hAnsi="宋体" w:eastAsia="宋体"/>
                <w:sz w:val="16"/>
              </w:rPr>
              <w:t>实际完成情况</w:t>
            </w:r>
          </w:p>
        </w:tc>
      </w:tr>
      <w:tr w14:paraId="6D622C4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100DCAE"/>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FE48C06">
            <w:pPr>
              <w:jc w:val="both"/>
            </w:pPr>
            <w:r>
              <w:rPr>
                <w:rFonts w:ascii="宋体" w:hAnsi="宋体" w:eastAsia="宋体"/>
                <w:sz w:val="16"/>
              </w:rPr>
              <w:t>1.把维护国家安全贯穿法院工作各方面全过程，严惩危害国家安全犯罪，坚决维护国家政治安全，全年受理案件数量不少于2000件。</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2.坚持以人民安全为宗旨，依法惩治各类违法犯罪，切实维护国家政治安全、社会稳定和人民安宁。全年案件办结率不低于90%。</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3.着力解决人民群众“急难愁盼”，依法办案、依规办案，守司法为民初心，担公正司法使命，让司法服务有力度、有是非、有温度。</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4.保障在职人员、聘用制书记员、退休人员等工资，支付社保、医疗，公积金等共1391.13万元。</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5.公用经费保障本院日常运行共66.43万元</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00A8D1E">
            <w:pPr>
              <w:jc w:val="both"/>
            </w:pPr>
            <w:r>
              <w:rPr>
                <w:rFonts w:ascii="宋体" w:hAnsi="宋体" w:eastAsia="宋体"/>
                <w:sz w:val="16"/>
              </w:rPr>
              <w:t>截至2024年12月31日，已完成：1.乌恰县人</w:t>
            </w:r>
            <w:r>
              <w:rPr>
                <w:rFonts w:hint="eastAsia" w:ascii="宋体" w:hAnsi="宋体"/>
                <w:sz w:val="16"/>
                <w:lang w:eastAsia="zh-CN"/>
              </w:rPr>
              <w:t>民法</w:t>
            </w:r>
            <w:r>
              <w:rPr>
                <w:rFonts w:ascii="宋体" w:hAnsi="宋体" w:eastAsia="宋体"/>
                <w:sz w:val="16"/>
              </w:rPr>
              <w:t>院立足新时代司法品牌建设，大力弘扬善打硬仗的工作作风和精益求精的工匠精神，创新信息宣传工作新路径。成立新媒体工作室，制定信息宣传考核、激励办法，开设法官说法栏目，全力打造具有乌恰县人民法院特色的新媒体栏目。2.乌恰县人民法院立足新时代司法品牌建设，大力弘扬善打硬仗的工作作风和</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精益求精的工匠精神，创新信息宣传工作新路径，选派干警兼任辖区中小学法治副校长、法治辅导员，开展送法进学校、进企业、进乡村、进社区集中宣传活动，发放《中华人民共和国宪法》《</w:t>
            </w:r>
            <w:r>
              <w:rPr>
                <w:rFonts w:hint="eastAsia" w:ascii="宋体" w:hAnsi="宋体"/>
                <w:sz w:val="16"/>
                <w:lang w:eastAsia="zh-CN"/>
              </w:rPr>
              <w:t>中华人民共和国反有组织犯罪法</w:t>
            </w:r>
            <w:r>
              <w:rPr>
                <w:rFonts w:ascii="宋体" w:hAnsi="宋体" w:eastAsia="宋体"/>
                <w:sz w:val="16"/>
              </w:rPr>
              <w:t>》等普法宣传材料3000余份，营造出浓厚氛围，凝聚起强大精神力量，持续传播法院“好声音”、宣传司法“正能量”。3.乌恰县人民法院积极响应中央和自治区安排的各类视频培训和现场培训，安排各庭室干警积极参与，视频培训35次，安排干警去自治区法官学院培训15次，提升各部门干警业务能力。4.乌恰县人民法院自觉践行司法为民的根本宗旨以及公平正义的法治理念，坚持党对法院工作的绝对领导，以贯彻落实基层治理“八力”为抓手，进一步强化法治思维，维护公平正义，保持了各项审判业务工作稳中向好的态势。2024年受理各类案件2624件，审执结2279件，结案率86.85%。</w:t>
            </w:r>
          </w:p>
        </w:tc>
      </w:tr>
      <w:tr w14:paraId="696B462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1A6DF1">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4D856B">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343C76">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03BFF8">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BAA213">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7A06CC">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3FFEC2">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9C6736">
            <w:pPr>
              <w:jc w:val="center"/>
            </w:pPr>
            <w:r>
              <w:rPr>
                <w:rFonts w:ascii="宋体" w:hAnsi="宋体" w:eastAsia="宋体"/>
                <w:sz w:val="16"/>
              </w:rPr>
              <w:t>得分</w:t>
            </w:r>
          </w:p>
        </w:tc>
      </w:tr>
      <w:tr w14:paraId="03BB45D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D08978">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562EE1">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04029F">
            <w:pPr>
              <w:jc w:val="center"/>
            </w:pPr>
            <w:r>
              <w:rPr>
                <w:rFonts w:ascii="宋体" w:hAnsi="宋体" w:eastAsia="宋体"/>
                <w:sz w:val="16"/>
              </w:rPr>
              <w:t>案件判决准确率（%）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2A1649">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BB68A5">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D17314">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7ACA7C">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E0306A">
            <w:pPr>
              <w:jc w:val="center"/>
            </w:pPr>
            <w:r>
              <w:rPr>
                <w:rFonts w:ascii="宋体" w:hAnsi="宋体" w:eastAsia="宋体"/>
                <w:sz w:val="16"/>
              </w:rPr>
              <w:t>15</w:t>
            </w:r>
          </w:p>
        </w:tc>
      </w:tr>
      <w:tr w14:paraId="74312CE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26F1B6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74CD8C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3BDA4F">
            <w:pPr>
              <w:jc w:val="center"/>
            </w:pPr>
            <w:r>
              <w:rPr>
                <w:rFonts w:ascii="宋体" w:hAnsi="宋体" w:eastAsia="宋体"/>
                <w:sz w:val="16"/>
              </w:rPr>
              <w:t>案件办结率（%）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B945CE">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641E2E">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18F3B5">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7138C1">
            <w:pPr>
              <w:jc w:val="center"/>
            </w:pPr>
            <w:r>
              <w:rPr>
                <w:rFonts w:ascii="宋体" w:hAnsi="宋体" w:eastAsia="宋体"/>
                <w:sz w:val="16"/>
              </w:rPr>
              <w:t>=86.85%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EEA27B">
            <w:pPr>
              <w:jc w:val="center"/>
            </w:pPr>
            <w:r>
              <w:rPr>
                <w:rFonts w:ascii="宋体" w:hAnsi="宋体" w:eastAsia="宋体"/>
                <w:sz w:val="16"/>
              </w:rPr>
              <w:t>13.68</w:t>
            </w:r>
          </w:p>
        </w:tc>
      </w:tr>
      <w:tr w14:paraId="4E3997D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4CBBEF">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AEAC22">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8E0DAA">
            <w:pPr>
              <w:jc w:val="center"/>
            </w:pPr>
            <w:r>
              <w:rPr>
                <w:rFonts w:ascii="宋体" w:hAnsi="宋体" w:eastAsia="宋体"/>
                <w:sz w:val="16"/>
              </w:rPr>
              <w:t>法律宣传次数（次）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01EB8D">
            <w:pPr>
              <w:jc w:val="center"/>
            </w:pPr>
            <w:r>
              <w:rPr>
                <w:rFonts w:ascii="宋体" w:hAnsi="宋体" w:eastAsia="宋体"/>
                <w:sz w:val="16"/>
              </w:rPr>
              <w:t>&gt;=12次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BEDE76">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2287AA">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8803A6">
            <w:pPr>
              <w:jc w:val="center"/>
            </w:pPr>
            <w:r>
              <w:rPr>
                <w:rFonts w:ascii="宋体" w:hAnsi="宋体" w:eastAsia="宋体"/>
                <w:sz w:val="16"/>
              </w:rPr>
              <w:t>=10次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FB44E6">
            <w:pPr>
              <w:jc w:val="center"/>
            </w:pPr>
            <w:r>
              <w:rPr>
                <w:rFonts w:ascii="宋体" w:hAnsi="宋体" w:eastAsia="宋体"/>
                <w:sz w:val="16"/>
              </w:rPr>
              <w:t>12.49</w:t>
            </w:r>
          </w:p>
        </w:tc>
      </w:tr>
      <w:tr w14:paraId="7D94A79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C64DE2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AAFAA5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02E31F">
            <w:pPr>
              <w:jc w:val="center"/>
            </w:pPr>
            <w:r>
              <w:rPr>
                <w:rFonts w:ascii="宋体" w:hAnsi="宋体" w:eastAsia="宋体"/>
                <w:sz w:val="16"/>
              </w:rPr>
              <w:t>完成干警培训人次（次）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6517C2">
            <w:pPr>
              <w:jc w:val="center"/>
            </w:pPr>
            <w:r>
              <w:rPr>
                <w:rFonts w:ascii="宋体" w:hAnsi="宋体" w:eastAsia="宋体"/>
                <w:sz w:val="16"/>
              </w:rPr>
              <w:t>&gt;=50人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E307C3">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292278">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6BF17D">
            <w:pPr>
              <w:jc w:val="center"/>
            </w:pPr>
            <w:r>
              <w:rPr>
                <w:rFonts w:ascii="宋体" w:hAnsi="宋体" w:eastAsia="宋体"/>
                <w:sz w:val="16"/>
              </w:rPr>
              <w:t>=50人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F0AD3A">
            <w:pPr>
              <w:jc w:val="center"/>
            </w:pPr>
            <w:r>
              <w:rPr>
                <w:rFonts w:ascii="宋体" w:hAnsi="宋体" w:eastAsia="宋体"/>
                <w:sz w:val="16"/>
              </w:rPr>
              <w:t>15</w:t>
            </w:r>
          </w:p>
        </w:tc>
      </w:tr>
      <w:tr w14:paraId="5A50028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0443BD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81E76F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2CACF3">
            <w:pPr>
              <w:jc w:val="center"/>
            </w:pPr>
            <w:r>
              <w:rPr>
                <w:rFonts w:ascii="宋体" w:hAnsi="宋体" w:eastAsia="宋体"/>
                <w:sz w:val="16"/>
              </w:rPr>
              <w:t>民事案件结案数（件）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0ED782">
            <w:pPr>
              <w:jc w:val="center"/>
            </w:pPr>
            <w:r>
              <w:rPr>
                <w:rFonts w:ascii="宋体" w:hAnsi="宋体" w:eastAsia="宋体"/>
                <w:sz w:val="16"/>
              </w:rPr>
              <w:t>&gt;=1000件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6577D3">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D9A829">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621A92">
            <w:pPr>
              <w:jc w:val="center"/>
            </w:pPr>
            <w:r>
              <w:rPr>
                <w:rFonts w:ascii="宋体" w:hAnsi="宋体" w:eastAsia="宋体"/>
                <w:sz w:val="16"/>
              </w:rPr>
              <w:t>=1120件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9BEF93">
            <w:pPr>
              <w:jc w:val="center"/>
            </w:pPr>
            <w:r>
              <w:rPr>
                <w:rFonts w:ascii="宋体" w:hAnsi="宋体" w:eastAsia="宋体"/>
                <w:sz w:val="16"/>
              </w:rPr>
              <w:t>10</w:t>
            </w:r>
          </w:p>
        </w:tc>
      </w:tr>
      <w:tr w14:paraId="5971725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A8F0FD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86B9CE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D34EC8">
            <w:pPr>
              <w:jc w:val="center"/>
            </w:pPr>
            <w:r>
              <w:rPr>
                <w:rFonts w:ascii="宋体" w:hAnsi="宋体" w:eastAsia="宋体"/>
                <w:sz w:val="16"/>
              </w:rPr>
              <w:t>执行案件结案数（件）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7866CE">
            <w:pPr>
              <w:jc w:val="center"/>
            </w:pPr>
            <w:r>
              <w:rPr>
                <w:rFonts w:ascii="宋体" w:hAnsi="宋体" w:eastAsia="宋体"/>
                <w:sz w:val="16"/>
              </w:rPr>
              <w:t>&gt;=900次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B2B7DC">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04710E">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EBEA4D">
            <w:pPr>
              <w:jc w:val="center"/>
            </w:pPr>
            <w:r>
              <w:rPr>
                <w:rFonts w:ascii="宋体" w:hAnsi="宋体" w:eastAsia="宋体"/>
                <w:sz w:val="16"/>
              </w:rPr>
              <w:t>=1001件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E1710B">
            <w:pPr>
              <w:jc w:val="center"/>
            </w:pPr>
            <w:r>
              <w:rPr>
                <w:rFonts w:ascii="宋体" w:hAnsi="宋体" w:eastAsia="宋体"/>
                <w:sz w:val="16"/>
              </w:rPr>
              <w:t>10</w:t>
            </w:r>
          </w:p>
        </w:tc>
      </w:tr>
      <w:tr w14:paraId="3CAF5BB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34AAE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49C21B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14CBC3">
            <w:pPr>
              <w:jc w:val="center"/>
            </w:pPr>
            <w:r>
              <w:rPr>
                <w:rFonts w:ascii="宋体" w:hAnsi="宋体" w:eastAsia="宋体"/>
                <w:sz w:val="16"/>
              </w:rPr>
              <w:t>刑事案件结案数（件）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DA4876">
            <w:pPr>
              <w:jc w:val="center"/>
            </w:pPr>
            <w:r>
              <w:rPr>
                <w:rFonts w:ascii="宋体" w:hAnsi="宋体" w:eastAsia="宋体"/>
                <w:sz w:val="16"/>
              </w:rPr>
              <w:t>&gt;=100件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EEE8CA">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2C575B">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7D242C">
            <w:pPr>
              <w:jc w:val="center"/>
            </w:pPr>
            <w:r>
              <w:rPr>
                <w:rFonts w:ascii="宋体" w:hAnsi="宋体" w:eastAsia="宋体"/>
                <w:sz w:val="16"/>
              </w:rPr>
              <w:t>=87件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35A0CF">
            <w:pPr>
              <w:jc w:val="center"/>
            </w:pPr>
            <w:r>
              <w:rPr>
                <w:rFonts w:ascii="宋体" w:hAnsi="宋体" w:eastAsia="宋体"/>
                <w:sz w:val="16"/>
              </w:rPr>
              <w:t>8.7</w:t>
            </w:r>
          </w:p>
        </w:tc>
      </w:tr>
    </w:tbl>
    <w:p w14:paraId="17A8F7C7">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776"/>
        <w:gridCol w:w="617"/>
        <w:gridCol w:w="618"/>
        <w:gridCol w:w="618"/>
        <w:gridCol w:w="618"/>
        <w:gridCol w:w="618"/>
        <w:gridCol w:w="776"/>
        <w:gridCol w:w="632"/>
        <w:gridCol w:w="600"/>
        <w:gridCol w:w="631"/>
      </w:tblGrid>
      <w:tr w14:paraId="40F898D3">
        <w:tblPrEx>
          <w:tblCellMar>
            <w:top w:w="0" w:type="dxa"/>
            <w:left w:w="108" w:type="dxa"/>
            <w:bottom w:w="0" w:type="dxa"/>
            <w:right w:w="108" w:type="dxa"/>
          </w:tblCellMar>
        </w:tblPrEx>
        <w:tc>
          <w:tcPr>
            <w:tcW w:w="8848" w:type="dxa"/>
            <w:gridSpan w:val="14"/>
            <w:vAlign w:val="center"/>
          </w:tcPr>
          <w:p w14:paraId="3C6FC012">
            <w:pPr>
              <w:jc w:val="center"/>
            </w:pPr>
            <w:r>
              <w:rPr>
                <w:rFonts w:ascii="宋体" w:hAnsi="宋体" w:eastAsia="宋体"/>
                <w:sz w:val="24"/>
              </w:rPr>
              <w:t>项目支出绩效自评表</w:t>
            </w:r>
          </w:p>
        </w:tc>
      </w:tr>
      <w:tr w14:paraId="460A637F">
        <w:tblPrEx>
          <w:tblCellMar>
            <w:top w:w="0" w:type="dxa"/>
            <w:left w:w="108" w:type="dxa"/>
            <w:bottom w:w="0" w:type="dxa"/>
            <w:right w:w="108" w:type="dxa"/>
          </w:tblCellMar>
        </w:tblPrEx>
        <w:tc>
          <w:tcPr>
            <w:tcW w:w="8848" w:type="dxa"/>
            <w:gridSpan w:val="14"/>
            <w:vAlign w:val="center"/>
          </w:tcPr>
          <w:p w14:paraId="37E81FDD">
            <w:pPr>
              <w:jc w:val="center"/>
            </w:pPr>
            <w:r>
              <w:rPr>
                <w:rFonts w:ascii="宋体" w:hAnsi="宋体" w:eastAsia="宋体"/>
                <w:sz w:val="24"/>
              </w:rPr>
              <w:t>(2024年度)</w:t>
            </w:r>
          </w:p>
        </w:tc>
      </w:tr>
      <w:tr w14:paraId="1DABAE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4EDC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200852">
            <w:pPr>
              <w:jc w:val="center"/>
            </w:pPr>
            <w:r>
              <w:rPr>
                <w:rFonts w:ascii="宋体" w:hAnsi="宋体" w:eastAsia="宋体"/>
                <w:sz w:val="16"/>
              </w:rPr>
              <w:t>2023年实有资金结转</w:t>
            </w:r>
          </w:p>
        </w:tc>
      </w:tr>
      <w:tr w14:paraId="4990A0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5D45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1B8F2A">
            <w:pPr>
              <w:jc w:val="center"/>
            </w:pPr>
            <w:r>
              <w:rPr>
                <w:rFonts w:ascii="宋体" w:hAnsi="宋体" w:eastAsia="宋体"/>
                <w:sz w:val="16"/>
              </w:rPr>
              <w:t>乌恰县人民法院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DC90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AC7D23">
            <w:pPr>
              <w:jc w:val="center"/>
            </w:pPr>
            <w:r>
              <w:rPr>
                <w:rFonts w:ascii="宋体" w:hAnsi="宋体" w:eastAsia="宋体"/>
                <w:sz w:val="16"/>
              </w:rPr>
              <w:t>乌恰县人民法院</w:t>
            </w:r>
          </w:p>
        </w:tc>
      </w:tr>
      <w:tr w14:paraId="22D7EC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EFF27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FD93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BB93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1E3A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5B7F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D0B6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B4E2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40CD3">
            <w:pPr>
              <w:jc w:val="center"/>
            </w:pPr>
            <w:r>
              <w:rPr>
                <w:rFonts w:ascii="宋体" w:hAnsi="宋体" w:eastAsia="宋体"/>
                <w:sz w:val="16"/>
              </w:rPr>
              <w:t>得分</w:t>
            </w:r>
          </w:p>
        </w:tc>
      </w:tr>
      <w:tr w14:paraId="4DEF3E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16A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6C91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B36E3">
            <w:pPr>
              <w:jc w:val="center"/>
            </w:pPr>
            <w:r>
              <w:rPr>
                <w:rFonts w:ascii="宋体" w:hAnsi="宋体" w:eastAsia="宋体"/>
                <w:sz w:val="16"/>
              </w:rPr>
              <w:t>51.22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32AAB">
            <w:pPr>
              <w:jc w:val="center"/>
            </w:pPr>
            <w:r>
              <w:rPr>
                <w:rFonts w:ascii="宋体" w:hAnsi="宋体" w:eastAsia="宋体"/>
                <w:sz w:val="16"/>
              </w:rPr>
              <w:t>51.22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2A2BD">
            <w:pPr>
              <w:jc w:val="center"/>
            </w:pPr>
            <w:r>
              <w:rPr>
                <w:rFonts w:ascii="宋体" w:hAnsi="宋体" w:eastAsia="宋体"/>
                <w:sz w:val="16"/>
              </w:rPr>
              <w:t>51.22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6E0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ABA9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E4737">
            <w:pPr>
              <w:jc w:val="center"/>
            </w:pPr>
            <w:r>
              <w:rPr>
                <w:rFonts w:ascii="宋体" w:hAnsi="宋体" w:eastAsia="宋体"/>
                <w:sz w:val="16"/>
              </w:rPr>
              <w:t>10.00分</w:t>
            </w:r>
          </w:p>
        </w:tc>
      </w:tr>
      <w:tr w14:paraId="52FCAA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2F3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6D0A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5BA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069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20F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C03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0AA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2A95C">
            <w:pPr>
              <w:jc w:val="center"/>
            </w:pPr>
            <w:r>
              <w:rPr>
                <w:rFonts w:ascii="宋体" w:hAnsi="宋体" w:eastAsia="宋体"/>
                <w:sz w:val="16"/>
              </w:rPr>
              <w:t>—</w:t>
            </w:r>
          </w:p>
        </w:tc>
      </w:tr>
      <w:tr w14:paraId="45072B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04C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89BF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AD30C">
            <w:pPr>
              <w:jc w:val="center"/>
            </w:pPr>
            <w:r>
              <w:rPr>
                <w:rFonts w:ascii="宋体" w:hAnsi="宋体" w:eastAsia="宋体"/>
                <w:sz w:val="16"/>
              </w:rPr>
              <w:t>51.22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61D11">
            <w:pPr>
              <w:jc w:val="center"/>
            </w:pPr>
            <w:r>
              <w:rPr>
                <w:rFonts w:ascii="宋体" w:hAnsi="宋体" w:eastAsia="宋体"/>
                <w:sz w:val="16"/>
              </w:rPr>
              <w:t>51.22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25681">
            <w:pPr>
              <w:jc w:val="center"/>
            </w:pPr>
            <w:r>
              <w:rPr>
                <w:rFonts w:ascii="宋体" w:hAnsi="宋体" w:eastAsia="宋体"/>
                <w:sz w:val="16"/>
              </w:rPr>
              <w:t>51.22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7CF9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891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C29A2">
            <w:pPr>
              <w:jc w:val="center"/>
            </w:pPr>
            <w:r>
              <w:rPr>
                <w:rFonts w:ascii="宋体" w:hAnsi="宋体" w:eastAsia="宋体"/>
                <w:sz w:val="16"/>
              </w:rPr>
              <w:t>—</w:t>
            </w:r>
          </w:p>
        </w:tc>
      </w:tr>
      <w:tr w14:paraId="43CEE0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6738E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8A00B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E63BC5">
            <w:pPr>
              <w:jc w:val="center"/>
            </w:pPr>
            <w:r>
              <w:rPr>
                <w:rFonts w:ascii="宋体" w:hAnsi="宋体" w:eastAsia="宋体"/>
                <w:sz w:val="16"/>
              </w:rPr>
              <w:t>实际完成情况</w:t>
            </w:r>
          </w:p>
        </w:tc>
      </w:tr>
      <w:tr w14:paraId="53E9AD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1188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0684FF">
            <w:pPr>
              <w:jc w:val="both"/>
            </w:pPr>
            <w:r>
              <w:rPr>
                <w:rFonts w:ascii="宋体" w:hAnsi="宋体" w:eastAsia="宋体"/>
                <w:sz w:val="16"/>
              </w:rPr>
              <w:t>该项目总投资51.22万元，其中：财政资金0万元，其他资金51.22万元，主要用于维修单位和法庭办公楼等、办公设备购置、江苏援疆干部周转房租赁费、食堂开支费用，有利于持续深化法院业务、干部人才、教育培训、法院文化、信息科技和资金项目“六位一体”援助格局，坚持统筹推进，优化援助，通过该项目达到推动双赢共赢，不断加强赣疆两地交融，大力支持乌恰法院事业发展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5EB1E6">
            <w:pPr>
              <w:jc w:val="both"/>
            </w:pPr>
            <w:r>
              <w:rPr>
                <w:rFonts w:ascii="宋体" w:hAnsi="宋体" w:eastAsia="宋体"/>
                <w:sz w:val="16"/>
              </w:rPr>
              <w:t>截至2024年12月31日，保障人员数80人，办案办理数2903件，保障食堂数1个，通过该项目达到推动双赢共赢，大力支持乌恰法院事业发展效果。</w:t>
            </w:r>
          </w:p>
        </w:tc>
      </w:tr>
      <w:tr w14:paraId="3BF679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1C39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2380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C6E4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EB6D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334B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6097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067B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E4F3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7DBE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9903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97AD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3EBA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14A7C">
            <w:pPr>
              <w:jc w:val="center"/>
            </w:pPr>
            <w:r>
              <w:rPr>
                <w:rFonts w:ascii="宋体" w:hAnsi="宋体" w:eastAsia="宋体"/>
                <w:sz w:val="16"/>
              </w:rPr>
              <w:t>偏差原因分析及改进措施</w:t>
            </w:r>
          </w:p>
        </w:tc>
      </w:tr>
      <w:tr w14:paraId="55DD85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71823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69EFF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FE06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19F51">
            <w:pPr>
              <w:jc w:val="center"/>
            </w:pPr>
            <w:r>
              <w:rPr>
                <w:rFonts w:ascii="宋体" w:hAnsi="宋体" w:eastAsia="宋体"/>
                <w:sz w:val="16"/>
              </w:rPr>
              <w:t>保障人员数（人）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4F63B">
            <w:pPr>
              <w:jc w:val="center"/>
            </w:pPr>
            <w:r>
              <w:rPr>
                <w:rFonts w:ascii="宋体" w:hAnsi="宋体" w:eastAsia="宋体"/>
                <w:sz w:val="16"/>
              </w:rPr>
              <w:t>&gt;=80人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C72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56C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4F7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516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7A0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7AD8E">
            <w:pPr>
              <w:jc w:val="center"/>
            </w:pPr>
            <w:r>
              <w:rPr>
                <w:rFonts w:ascii="宋体" w:hAnsi="宋体" w:eastAsia="宋体"/>
                <w:sz w:val="16"/>
              </w:rPr>
              <w: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F045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F55DF">
            <w:pPr>
              <w:jc w:val="center"/>
            </w:pPr>
          </w:p>
        </w:tc>
      </w:tr>
      <w:tr w14:paraId="2D265F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233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624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F64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0C4FB">
            <w:pPr>
              <w:jc w:val="center"/>
            </w:pPr>
            <w:r>
              <w:rPr>
                <w:rFonts w:ascii="宋体" w:hAnsi="宋体" w:eastAsia="宋体"/>
                <w:sz w:val="16"/>
              </w:rPr>
              <w:t>办案办理数（件）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DC477">
            <w:pPr>
              <w:jc w:val="center"/>
            </w:pPr>
            <w:r>
              <w:rPr>
                <w:rFonts w:ascii="宋体" w:hAnsi="宋体" w:eastAsia="宋体"/>
                <w:sz w:val="16"/>
              </w:rPr>
              <w:t>&gt;=1200件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2A9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3D1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F787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7F3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C04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B8AB3">
            <w:pPr>
              <w:jc w:val="center"/>
            </w:pPr>
            <w:r>
              <w:rPr>
                <w:rFonts w:ascii="宋体" w:hAnsi="宋体" w:eastAsia="宋体"/>
                <w:sz w:val="16"/>
              </w:rPr>
              <w:t>=2903件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2EB6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A0DDF">
            <w:pPr>
              <w:jc w:val="center"/>
            </w:pPr>
            <w:r>
              <w:rPr>
                <w:rFonts w:ascii="宋体" w:hAnsi="宋体" w:eastAsia="宋体"/>
                <w:sz w:val="16"/>
              </w:rPr>
              <w:t>偏差原因：项目约束性不够；改进措施：进一步规范绩效目标编制</w:t>
            </w:r>
          </w:p>
        </w:tc>
      </w:tr>
      <w:tr w14:paraId="04B9C9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515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F74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DCD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1A513">
            <w:pPr>
              <w:jc w:val="center"/>
            </w:pPr>
            <w:r>
              <w:rPr>
                <w:rFonts w:ascii="宋体" w:hAnsi="宋体" w:eastAsia="宋体"/>
                <w:sz w:val="16"/>
              </w:rPr>
              <w:t>保障食堂数（个）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6DE4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9C6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9E8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43F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430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48C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71EC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DD69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339EB">
            <w:pPr>
              <w:jc w:val="center"/>
            </w:pPr>
          </w:p>
        </w:tc>
      </w:tr>
      <w:tr w14:paraId="3B2F33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6DE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405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998B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819AC">
            <w:pPr>
              <w:jc w:val="center"/>
            </w:pPr>
            <w:r>
              <w:rPr>
                <w:rFonts w:ascii="宋体" w:hAnsi="宋体" w:eastAsia="宋体"/>
                <w:sz w:val="16"/>
              </w:rPr>
              <w:t>保障食堂运行率（%）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230C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36C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8E8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ADF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A59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B50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D4D5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E288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BF366">
            <w:pPr>
              <w:jc w:val="center"/>
            </w:pPr>
          </w:p>
        </w:tc>
      </w:tr>
      <w:tr w14:paraId="6D19D9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269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8FB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77F2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D07C9">
            <w:pPr>
              <w:jc w:val="center"/>
            </w:pPr>
            <w:r>
              <w:rPr>
                <w:rFonts w:ascii="宋体" w:hAnsi="宋体" w:eastAsia="宋体"/>
                <w:sz w:val="16"/>
              </w:rPr>
              <w:t>案件办结率（%）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9C0C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570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97C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5C1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54A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F6B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8932E">
            <w:pPr>
              <w:jc w:val="center"/>
            </w:pPr>
            <w:r>
              <w:rPr>
                <w:rFonts w:ascii="宋体" w:hAnsi="宋体" w:eastAsia="宋体"/>
                <w:sz w:val="16"/>
              </w:rPr>
              <w:t>=94.52%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46D9C">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2442B">
            <w:pPr>
              <w:jc w:val="center"/>
            </w:pPr>
            <w:r>
              <w:rPr>
                <w:rFonts w:ascii="宋体" w:hAnsi="宋体" w:eastAsia="宋体"/>
                <w:sz w:val="16"/>
              </w:rPr>
              <w:t>偏差原因：项目约束性不够；改进措施：进一步规范绩效目标编制</w:t>
            </w:r>
          </w:p>
        </w:tc>
      </w:tr>
      <w:tr w14:paraId="053F7E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353A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CB643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CC0F0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95537">
            <w:pPr>
              <w:jc w:val="center"/>
            </w:pPr>
            <w:r>
              <w:rPr>
                <w:rFonts w:ascii="宋体" w:hAnsi="宋体" w:eastAsia="宋体"/>
                <w:sz w:val="16"/>
              </w:rPr>
              <w:t>保障食堂资金（万元）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47546">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B438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1DF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BA0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637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D75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F554D">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C5A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DBBBA">
            <w:pPr>
              <w:jc w:val="center"/>
            </w:pPr>
          </w:p>
        </w:tc>
      </w:tr>
      <w:tr w14:paraId="1508BD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B9F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C93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CD0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9F43D">
            <w:pPr>
              <w:jc w:val="center"/>
            </w:pPr>
            <w:r>
              <w:rPr>
                <w:rFonts w:ascii="宋体" w:hAnsi="宋体" w:eastAsia="宋体"/>
                <w:sz w:val="16"/>
              </w:rPr>
              <w:t>保障业务相关资金（万元）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D5A08">
            <w:pPr>
              <w:jc w:val="center"/>
            </w:pPr>
            <w:r>
              <w:rPr>
                <w:rFonts w:ascii="宋体" w:hAnsi="宋体" w:eastAsia="宋体"/>
                <w:sz w:val="16"/>
              </w:rPr>
              <w:t>&lt;=31.22万元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8A91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1B2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664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997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91F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4BB58">
            <w:pPr>
              <w:jc w:val="center"/>
            </w:pPr>
            <w:r>
              <w:rPr>
                <w:rFonts w:ascii="宋体" w:hAnsi="宋体" w:eastAsia="宋体"/>
                <w:sz w:val="16"/>
              </w:rPr>
              <w:t>=31.22万元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CF9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392F9">
            <w:pPr>
              <w:jc w:val="center"/>
            </w:pPr>
          </w:p>
        </w:tc>
      </w:tr>
      <w:tr w14:paraId="6E7F8C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8BE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DBA55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E781F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C062C">
            <w:pPr>
              <w:jc w:val="center"/>
            </w:pPr>
            <w:r>
              <w:rPr>
                <w:rFonts w:ascii="宋体" w:hAnsi="宋体" w:eastAsia="宋体"/>
                <w:sz w:val="16"/>
              </w:rPr>
              <w:t>促进改善办案条件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B0D27">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EE8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FA7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77E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8AF8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6AFD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B50C0">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262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056DE">
            <w:pPr>
              <w:jc w:val="center"/>
            </w:pPr>
          </w:p>
        </w:tc>
      </w:tr>
      <w:tr w14:paraId="7BE530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A85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F07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C2B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EC84F">
            <w:pPr>
              <w:jc w:val="center"/>
            </w:pPr>
            <w:r>
              <w:rPr>
                <w:rFonts w:ascii="宋体" w:hAnsi="宋体" w:eastAsia="宋体"/>
                <w:sz w:val="16"/>
              </w:rPr>
              <w:t>保障社会稳定长治久安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CE331">
            <w:pPr>
              <w:jc w:val="center"/>
            </w:pPr>
            <w:r>
              <w:rPr>
                <w:rFonts w:ascii="宋体" w:hAnsi="宋体" w:eastAsia="宋体"/>
                <w:sz w:val="16"/>
              </w:rPr>
              <w:t>持续影响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05A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A03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25C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425D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AADC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257B6">
            <w:pPr>
              <w:jc w:val="center"/>
            </w:pPr>
            <w:r>
              <w:rPr>
                <w:rFonts w:ascii="宋体" w:hAnsi="宋体" w:eastAsia="宋体"/>
                <w:sz w:val="16"/>
              </w:rPr>
              <w:t>持续影响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23B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8F08C">
            <w:pPr>
              <w:jc w:val="center"/>
            </w:pPr>
          </w:p>
        </w:tc>
      </w:tr>
      <w:tr w14:paraId="7194FE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7C2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8B6F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3A9F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3C6CA">
            <w:pPr>
              <w:jc w:val="center"/>
            </w:pPr>
            <w:r>
              <w:rPr>
                <w:rFonts w:ascii="宋体" w:hAnsi="宋体" w:eastAsia="宋体"/>
                <w:sz w:val="16"/>
              </w:rPr>
              <w:t>保障人员满意度（%）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1F4C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325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35E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730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FCC9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D79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8188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358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2ECF4">
            <w:pPr>
              <w:jc w:val="center"/>
            </w:pPr>
            <w:r>
              <w:rPr>
                <w:rFonts w:ascii="宋体" w:hAnsi="宋体" w:eastAsia="宋体"/>
                <w:sz w:val="16"/>
              </w:rPr>
              <w:t>偏差原因：项目约束性不够；改进措施：进一步规范绩效目标编制</w:t>
            </w:r>
          </w:p>
        </w:tc>
      </w:tr>
      <w:tr w14:paraId="658B44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FC03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B541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A0A2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13A348">
            <w:pPr>
              <w:jc w:val="center"/>
            </w:pPr>
            <w:r>
              <w:rPr>
                <w:rFonts w:ascii="宋体" w:hAnsi="宋体" w:eastAsia="宋体"/>
                <w:sz w:val="16"/>
              </w:rPr>
              <w:t>84.5分</w:t>
            </w:r>
          </w:p>
        </w:tc>
      </w:tr>
    </w:tbl>
    <w:p w14:paraId="27D10510">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30"/>
        <w:gridCol w:w="626"/>
        <w:gridCol w:w="626"/>
        <w:gridCol w:w="626"/>
        <w:gridCol w:w="696"/>
        <w:gridCol w:w="631"/>
        <w:gridCol w:w="617"/>
        <w:gridCol w:w="630"/>
      </w:tblGrid>
      <w:tr w14:paraId="02FFA983">
        <w:tblPrEx>
          <w:tblCellMar>
            <w:top w:w="0" w:type="dxa"/>
            <w:left w:w="108" w:type="dxa"/>
            <w:bottom w:w="0" w:type="dxa"/>
            <w:right w:w="108" w:type="dxa"/>
          </w:tblCellMar>
        </w:tblPrEx>
        <w:tc>
          <w:tcPr>
            <w:tcW w:w="8848" w:type="dxa"/>
            <w:gridSpan w:val="14"/>
            <w:vAlign w:val="center"/>
          </w:tcPr>
          <w:p w14:paraId="07096D6F">
            <w:pPr>
              <w:jc w:val="center"/>
            </w:pPr>
            <w:r>
              <w:rPr>
                <w:rFonts w:ascii="宋体" w:hAnsi="宋体" w:eastAsia="宋体"/>
                <w:sz w:val="24"/>
              </w:rPr>
              <w:t>项目支出绩效自评表</w:t>
            </w:r>
          </w:p>
        </w:tc>
      </w:tr>
      <w:tr w14:paraId="3712B967">
        <w:tblPrEx>
          <w:tblCellMar>
            <w:top w:w="0" w:type="dxa"/>
            <w:left w:w="108" w:type="dxa"/>
            <w:bottom w:w="0" w:type="dxa"/>
            <w:right w:w="108" w:type="dxa"/>
          </w:tblCellMar>
        </w:tblPrEx>
        <w:tc>
          <w:tcPr>
            <w:tcW w:w="8848" w:type="dxa"/>
            <w:gridSpan w:val="14"/>
            <w:vAlign w:val="center"/>
          </w:tcPr>
          <w:p w14:paraId="02B9C17A">
            <w:pPr>
              <w:jc w:val="center"/>
            </w:pPr>
            <w:r>
              <w:rPr>
                <w:rFonts w:ascii="宋体" w:hAnsi="宋体" w:eastAsia="宋体"/>
                <w:sz w:val="24"/>
              </w:rPr>
              <w:t>(2024年度)</w:t>
            </w:r>
          </w:p>
        </w:tc>
      </w:tr>
      <w:tr w14:paraId="6A9AE5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861A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437D8C">
            <w:pPr>
              <w:jc w:val="center"/>
            </w:pPr>
            <w:r>
              <w:rPr>
                <w:rFonts w:ascii="宋体" w:hAnsi="宋体" w:eastAsia="宋体"/>
                <w:sz w:val="16"/>
              </w:rPr>
              <w:t>2024年为民办实事项目</w:t>
            </w:r>
          </w:p>
        </w:tc>
      </w:tr>
      <w:tr w14:paraId="7F8572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89EA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2D531A">
            <w:pPr>
              <w:jc w:val="center"/>
            </w:pPr>
            <w:r>
              <w:rPr>
                <w:rFonts w:ascii="宋体" w:hAnsi="宋体" w:eastAsia="宋体"/>
                <w:sz w:val="16"/>
              </w:rPr>
              <w:t>乌恰县人民法院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3BAF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6DA647">
            <w:pPr>
              <w:jc w:val="center"/>
            </w:pPr>
            <w:r>
              <w:rPr>
                <w:rFonts w:ascii="宋体" w:hAnsi="宋体" w:eastAsia="宋体"/>
                <w:sz w:val="16"/>
              </w:rPr>
              <w:t>乌恰县人民法院</w:t>
            </w:r>
          </w:p>
        </w:tc>
      </w:tr>
      <w:tr w14:paraId="6551C9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78453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ABDD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B0FF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4224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63DF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66A1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667B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4AA40">
            <w:pPr>
              <w:jc w:val="center"/>
            </w:pPr>
            <w:r>
              <w:rPr>
                <w:rFonts w:ascii="宋体" w:hAnsi="宋体" w:eastAsia="宋体"/>
                <w:sz w:val="16"/>
              </w:rPr>
              <w:t>得分</w:t>
            </w:r>
          </w:p>
        </w:tc>
      </w:tr>
      <w:tr w14:paraId="2EB891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B27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116C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71801">
            <w:pPr>
              <w:jc w:val="center"/>
            </w:pPr>
            <w:r>
              <w:rPr>
                <w:rFonts w:ascii="宋体" w:hAnsi="宋体" w:eastAsia="宋体"/>
                <w:sz w:val="16"/>
              </w:rPr>
              <w:t>15.07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60C64">
            <w:pPr>
              <w:jc w:val="center"/>
            </w:pPr>
            <w:r>
              <w:rPr>
                <w:rFonts w:ascii="宋体" w:hAnsi="宋体" w:eastAsia="宋体"/>
                <w:sz w:val="16"/>
              </w:rPr>
              <w:t>15.07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5EB06">
            <w:pPr>
              <w:jc w:val="center"/>
            </w:pPr>
            <w:r>
              <w:rPr>
                <w:rFonts w:ascii="宋体" w:hAnsi="宋体" w:eastAsia="宋体"/>
                <w:sz w:val="16"/>
              </w:rPr>
              <w:t>13.52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B9E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5B9B9">
            <w:pPr>
              <w:jc w:val="center"/>
            </w:pPr>
            <w:r>
              <w:rPr>
                <w:rFonts w:ascii="宋体" w:hAnsi="宋体" w:eastAsia="宋体"/>
                <w:sz w:val="16"/>
              </w:rPr>
              <w:t>89.7%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74406">
            <w:pPr>
              <w:jc w:val="center"/>
            </w:pPr>
            <w:r>
              <w:rPr>
                <w:rFonts w:ascii="宋体" w:hAnsi="宋体" w:eastAsia="宋体"/>
                <w:sz w:val="16"/>
              </w:rPr>
              <w:t>7.43分</w:t>
            </w:r>
          </w:p>
        </w:tc>
      </w:tr>
      <w:tr w14:paraId="1584B1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1C9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6B7C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5AC71">
            <w:pPr>
              <w:jc w:val="center"/>
            </w:pPr>
            <w:r>
              <w:rPr>
                <w:rFonts w:ascii="宋体" w:hAnsi="宋体" w:eastAsia="宋体"/>
                <w:sz w:val="16"/>
              </w:rPr>
              <w:t>15.07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5265B">
            <w:pPr>
              <w:jc w:val="center"/>
            </w:pPr>
            <w:r>
              <w:rPr>
                <w:rFonts w:ascii="宋体" w:hAnsi="宋体" w:eastAsia="宋体"/>
                <w:sz w:val="16"/>
              </w:rPr>
              <w:t>15.07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2D6AD">
            <w:pPr>
              <w:jc w:val="center"/>
            </w:pPr>
            <w:r>
              <w:rPr>
                <w:rFonts w:ascii="宋体" w:hAnsi="宋体" w:eastAsia="宋体"/>
                <w:sz w:val="16"/>
              </w:rPr>
              <w:t>13.52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D83C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31C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87E59">
            <w:pPr>
              <w:jc w:val="center"/>
            </w:pPr>
            <w:r>
              <w:rPr>
                <w:rFonts w:ascii="宋体" w:hAnsi="宋体" w:eastAsia="宋体"/>
                <w:sz w:val="16"/>
              </w:rPr>
              <w:t>—</w:t>
            </w:r>
          </w:p>
        </w:tc>
      </w:tr>
      <w:tr w14:paraId="22C978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3E4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0A42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D7A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EEF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ED0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7DC5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C8B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B878C">
            <w:pPr>
              <w:jc w:val="center"/>
            </w:pPr>
            <w:r>
              <w:rPr>
                <w:rFonts w:ascii="宋体" w:hAnsi="宋体" w:eastAsia="宋体"/>
                <w:sz w:val="16"/>
              </w:rPr>
              <w:t>—</w:t>
            </w:r>
          </w:p>
        </w:tc>
      </w:tr>
      <w:tr w14:paraId="1B49EE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176D4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60247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AD6209">
            <w:pPr>
              <w:jc w:val="center"/>
            </w:pPr>
            <w:r>
              <w:rPr>
                <w:rFonts w:ascii="宋体" w:hAnsi="宋体" w:eastAsia="宋体"/>
                <w:sz w:val="16"/>
              </w:rPr>
              <w:t>实际完成情况</w:t>
            </w:r>
          </w:p>
        </w:tc>
      </w:tr>
      <w:tr w14:paraId="5401B1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72A2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19202B">
            <w:pPr>
              <w:jc w:val="both"/>
            </w:pPr>
            <w:r>
              <w:rPr>
                <w:rFonts w:ascii="宋体" w:hAnsi="宋体" w:eastAsia="宋体"/>
                <w:sz w:val="16"/>
              </w:rPr>
              <w:t>该项目资金投入总额为15.07万元，其中：财政资金15.07万元，其他资金0元，主要用于做好马热加尼库木村驻村工作任务，扎实开展群众工作，为群众送温暖、送服务、积极开展各类活动，实现社会稳定和长治久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33FCBD">
            <w:pPr>
              <w:jc w:val="both"/>
            </w:pPr>
            <w:r>
              <w:rPr>
                <w:rFonts w:ascii="宋体" w:hAnsi="宋体" w:eastAsia="宋体"/>
                <w:sz w:val="16"/>
              </w:rPr>
              <w:t>截至2024年12月31日，已完成购买办公用品次数5次设备购置数1个，通过该项目实施，为群众送温暖、送服务、积极开展各类活动，实现社会稳定和长治久安</w:t>
            </w:r>
          </w:p>
        </w:tc>
      </w:tr>
      <w:tr w14:paraId="1FD65A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A03B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BC1A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3840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5CC5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AAA8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F9CA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0650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CD9E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EAAA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DD48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F250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9DA8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B5838">
            <w:pPr>
              <w:jc w:val="center"/>
            </w:pPr>
            <w:r>
              <w:rPr>
                <w:rFonts w:ascii="宋体" w:hAnsi="宋体" w:eastAsia="宋体"/>
                <w:sz w:val="16"/>
              </w:rPr>
              <w:t>偏差原因分析及改进措施</w:t>
            </w:r>
          </w:p>
        </w:tc>
      </w:tr>
      <w:tr w14:paraId="203E51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13ED0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DD20A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72C89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4B2E0">
            <w:pPr>
              <w:jc w:val="center"/>
            </w:pPr>
            <w:r>
              <w:rPr>
                <w:rFonts w:ascii="宋体" w:hAnsi="宋体" w:eastAsia="宋体"/>
                <w:sz w:val="16"/>
              </w:rPr>
              <w:t>购买办公用品次数(次)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1F2FF">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D59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9B7E8">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082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D3A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837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F167C">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2CF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ED70B">
            <w:pPr>
              <w:jc w:val="center"/>
            </w:pPr>
          </w:p>
        </w:tc>
      </w:tr>
      <w:tr w14:paraId="5F94A7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DB5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14C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C72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233C4">
            <w:pPr>
              <w:jc w:val="center"/>
            </w:pPr>
            <w:r>
              <w:rPr>
                <w:rFonts w:ascii="宋体" w:hAnsi="宋体" w:eastAsia="宋体"/>
                <w:sz w:val="16"/>
              </w:rPr>
              <w:t>设备购置数（个）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C8C80">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459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ACB5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F0F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007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766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46E4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E37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B6FA3">
            <w:pPr>
              <w:jc w:val="center"/>
            </w:pPr>
          </w:p>
        </w:tc>
      </w:tr>
      <w:tr w14:paraId="505356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761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7E5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0C7B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78869">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094B0">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8F9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179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60D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4A3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C0B2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D31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5B3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0D67D">
            <w:pPr>
              <w:jc w:val="center"/>
            </w:pPr>
          </w:p>
        </w:tc>
      </w:tr>
      <w:tr w14:paraId="34F514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CF3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C5F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2856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C6106">
            <w:pPr>
              <w:jc w:val="center"/>
            </w:pPr>
            <w:r>
              <w:rPr>
                <w:rFonts w:ascii="宋体" w:hAnsi="宋体" w:eastAsia="宋体"/>
                <w:sz w:val="16"/>
              </w:rPr>
              <w:t>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CC9B3">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DF6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3EC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6E0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DB8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6CC3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D31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274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DD32E">
            <w:pPr>
              <w:jc w:val="center"/>
            </w:pPr>
          </w:p>
        </w:tc>
      </w:tr>
      <w:tr w14:paraId="75F325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F80C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2C485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9623C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47A33">
            <w:pPr>
              <w:jc w:val="center"/>
            </w:pPr>
            <w:r>
              <w:rPr>
                <w:rFonts w:ascii="宋体" w:hAnsi="宋体" w:eastAsia="宋体"/>
                <w:sz w:val="16"/>
              </w:rPr>
              <w:t>劳务费（万元）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DE010">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AA60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8D2D6">
            <w:pPr>
              <w:jc w:val="center"/>
            </w:pPr>
            <w:r>
              <w:rPr>
                <w:rFonts w:ascii="宋体" w:hAnsi="宋体" w:eastAsia="宋体"/>
                <w:sz w:val="16"/>
              </w:rPr>
              <w:t>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1D5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529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2CE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2940B">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162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67BFE">
            <w:pPr>
              <w:jc w:val="center"/>
            </w:pPr>
          </w:p>
        </w:tc>
      </w:tr>
      <w:tr w14:paraId="7F4472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84C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687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2F3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D319D">
            <w:pPr>
              <w:jc w:val="center"/>
            </w:pPr>
            <w:r>
              <w:rPr>
                <w:rFonts w:ascii="宋体" w:hAnsi="宋体" w:eastAsia="宋体"/>
                <w:sz w:val="16"/>
              </w:rPr>
              <w:t>设备购置（万元）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8949A">
            <w:pPr>
              <w:jc w:val="center"/>
            </w:pPr>
            <w:r>
              <w:rPr>
                <w:rFonts w:ascii="宋体" w:hAnsi="宋体" w:eastAsia="宋体"/>
                <w:sz w:val="16"/>
              </w:rPr>
              <w:t>&lt;=11.57万元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3DAE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CE56D">
            <w:pPr>
              <w:jc w:val="center"/>
            </w:pPr>
            <w:r>
              <w:rPr>
                <w:rFonts w:ascii="宋体" w:hAnsi="宋体" w:eastAsia="宋体"/>
                <w:sz w:val="16"/>
              </w:rPr>
              <w:t>8.32万元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AD4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962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649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5640E">
            <w:pPr>
              <w:jc w:val="center"/>
            </w:pPr>
            <w:r>
              <w:rPr>
                <w:rFonts w:ascii="宋体" w:hAnsi="宋体" w:eastAsia="宋体"/>
                <w:sz w:val="16"/>
              </w:rPr>
              <w:t>=10.02万元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1AED7">
            <w:pPr>
              <w:jc w:val="center"/>
            </w:pPr>
            <w:r>
              <w:rPr>
                <w:rFonts w:ascii="宋体" w:hAnsi="宋体" w:eastAsia="宋体"/>
                <w:sz w:val="16"/>
              </w:rPr>
              <w:t>6.65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576A1">
            <w:pPr>
              <w:jc w:val="center"/>
            </w:pPr>
            <w:r>
              <w:rPr>
                <w:rFonts w:ascii="宋体" w:hAnsi="宋体" w:eastAsia="宋体"/>
                <w:sz w:val="16"/>
              </w:rPr>
              <w:t>偏差原因：项目预算约束性不够。改进措施：进一步规范绩效目标编制</w:t>
            </w:r>
          </w:p>
        </w:tc>
      </w:tr>
      <w:tr w14:paraId="2CBBC6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841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AC6E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28BE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8926F">
            <w:pPr>
              <w:jc w:val="center"/>
            </w:pPr>
            <w:r>
              <w:rPr>
                <w:rFonts w:ascii="宋体" w:hAnsi="宋体" w:eastAsia="宋体"/>
                <w:sz w:val="16"/>
              </w:rPr>
              <w:t>保障社会长治久安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C882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882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B27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6930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C6B5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E0B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A24B4">
            <w:pPr>
              <w:jc w:val="center"/>
            </w:pPr>
            <w:r>
              <w:rPr>
                <w:rFonts w:ascii="宋体" w:hAnsi="宋体" w:eastAsia="宋体"/>
                <w:sz w:val="16"/>
              </w:rPr>
              <w:t>持续保障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0D86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2E578">
            <w:pPr>
              <w:jc w:val="center"/>
            </w:pPr>
          </w:p>
        </w:tc>
      </w:tr>
      <w:tr w14:paraId="2BD44B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DF0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487F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6A88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D1958">
            <w:pPr>
              <w:jc w:val="center"/>
            </w:pPr>
            <w:r>
              <w:rPr>
                <w:rFonts w:ascii="宋体" w:hAnsi="宋体" w:eastAsia="宋体"/>
                <w:sz w:val="16"/>
              </w:rPr>
              <w:t>保障人员满意度（%）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85422">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46C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44C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7A9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D4F4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9373B">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3937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2FE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95A10">
            <w:pPr>
              <w:jc w:val="center"/>
            </w:pPr>
            <w:r>
              <w:rPr>
                <w:rFonts w:ascii="宋体" w:hAnsi="宋体" w:eastAsia="宋体"/>
                <w:sz w:val="16"/>
              </w:rPr>
              <w:t>偏差原因：项目预算约束性不够。改进措施：进一步规范绩效目标编制</w:t>
            </w:r>
          </w:p>
        </w:tc>
      </w:tr>
      <w:tr w14:paraId="36030E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822C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E58E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EA60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0A34C3">
            <w:pPr>
              <w:jc w:val="center"/>
            </w:pPr>
            <w:r>
              <w:rPr>
                <w:rFonts w:ascii="宋体" w:hAnsi="宋体" w:eastAsia="宋体"/>
                <w:sz w:val="16"/>
              </w:rPr>
              <w:t>94.08分</w:t>
            </w:r>
          </w:p>
        </w:tc>
      </w:tr>
    </w:tbl>
    <w:p w14:paraId="67BDBFF2">
      <w:r>
        <w:br w:type="page"/>
      </w:r>
    </w:p>
    <w:tbl>
      <w:tblPr>
        <w:tblStyle w:val="9"/>
        <w:tblW w:w="0" w:type="auto"/>
        <w:tblInd w:w="0" w:type="dxa"/>
        <w:tblLayout w:type="autofit"/>
        <w:tblCellMar>
          <w:top w:w="0" w:type="dxa"/>
          <w:left w:w="108" w:type="dxa"/>
          <w:bottom w:w="0" w:type="dxa"/>
          <w:right w:w="108" w:type="dxa"/>
        </w:tblCellMar>
      </w:tblPr>
      <w:tblGrid>
        <w:gridCol w:w="627"/>
        <w:gridCol w:w="618"/>
        <w:gridCol w:w="618"/>
        <w:gridCol w:w="696"/>
        <w:gridCol w:w="776"/>
        <w:gridCol w:w="618"/>
        <w:gridCol w:w="618"/>
        <w:gridCol w:w="618"/>
        <w:gridCol w:w="618"/>
        <w:gridCol w:w="618"/>
        <w:gridCol w:w="776"/>
        <w:gridCol w:w="631"/>
        <w:gridCol w:w="600"/>
        <w:gridCol w:w="628"/>
      </w:tblGrid>
      <w:tr w14:paraId="2A1254E7">
        <w:tblPrEx>
          <w:tblCellMar>
            <w:top w:w="0" w:type="dxa"/>
            <w:left w:w="108" w:type="dxa"/>
            <w:bottom w:w="0" w:type="dxa"/>
            <w:right w:w="108" w:type="dxa"/>
          </w:tblCellMar>
        </w:tblPrEx>
        <w:tc>
          <w:tcPr>
            <w:tcW w:w="8848" w:type="dxa"/>
            <w:gridSpan w:val="14"/>
            <w:vAlign w:val="center"/>
          </w:tcPr>
          <w:p w14:paraId="089BE7A6">
            <w:pPr>
              <w:jc w:val="center"/>
            </w:pPr>
            <w:r>
              <w:rPr>
                <w:rFonts w:ascii="宋体" w:hAnsi="宋体" w:eastAsia="宋体"/>
                <w:sz w:val="24"/>
              </w:rPr>
              <w:t>项目支出绩效自评表</w:t>
            </w:r>
          </w:p>
        </w:tc>
      </w:tr>
      <w:tr w14:paraId="3463FF9A">
        <w:tblPrEx>
          <w:tblCellMar>
            <w:top w:w="0" w:type="dxa"/>
            <w:left w:w="108" w:type="dxa"/>
            <w:bottom w:w="0" w:type="dxa"/>
            <w:right w:w="108" w:type="dxa"/>
          </w:tblCellMar>
        </w:tblPrEx>
        <w:tc>
          <w:tcPr>
            <w:tcW w:w="8848" w:type="dxa"/>
            <w:gridSpan w:val="14"/>
            <w:vAlign w:val="center"/>
          </w:tcPr>
          <w:p w14:paraId="52AADDA0">
            <w:pPr>
              <w:jc w:val="center"/>
            </w:pPr>
            <w:r>
              <w:rPr>
                <w:rFonts w:ascii="宋体" w:hAnsi="宋体" w:eastAsia="宋体"/>
                <w:sz w:val="24"/>
              </w:rPr>
              <w:t>(2024年度)</w:t>
            </w:r>
          </w:p>
        </w:tc>
      </w:tr>
      <w:tr w14:paraId="53B250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662B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2F1851">
            <w:pPr>
              <w:jc w:val="center"/>
            </w:pPr>
            <w:r>
              <w:rPr>
                <w:rFonts w:ascii="宋体" w:hAnsi="宋体" w:eastAsia="宋体"/>
                <w:sz w:val="16"/>
              </w:rPr>
              <w:t>其他收入安排支出</w:t>
            </w:r>
          </w:p>
        </w:tc>
      </w:tr>
      <w:tr w14:paraId="7BFE53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7E0E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D7A842">
            <w:pPr>
              <w:jc w:val="center"/>
            </w:pPr>
            <w:r>
              <w:rPr>
                <w:rFonts w:ascii="宋体" w:hAnsi="宋体" w:eastAsia="宋体"/>
                <w:sz w:val="16"/>
              </w:rPr>
              <w:t>乌恰县人民法院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2BE8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25D689">
            <w:pPr>
              <w:jc w:val="center"/>
            </w:pPr>
            <w:r>
              <w:rPr>
                <w:rFonts w:ascii="宋体" w:hAnsi="宋体" w:eastAsia="宋体"/>
                <w:sz w:val="16"/>
              </w:rPr>
              <w:t>乌恰县人民法院</w:t>
            </w:r>
          </w:p>
        </w:tc>
      </w:tr>
      <w:tr w14:paraId="2EB767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B724A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F0C4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5D1B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778B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DC7A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7DB0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3787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C5BC5">
            <w:pPr>
              <w:jc w:val="center"/>
            </w:pPr>
            <w:r>
              <w:rPr>
                <w:rFonts w:ascii="宋体" w:hAnsi="宋体" w:eastAsia="宋体"/>
                <w:sz w:val="16"/>
              </w:rPr>
              <w:t>得分</w:t>
            </w:r>
          </w:p>
        </w:tc>
      </w:tr>
      <w:tr w14:paraId="50DD4F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2EF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BE42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65D4C">
            <w:pPr>
              <w:jc w:val="center"/>
            </w:pPr>
            <w:r>
              <w:rPr>
                <w:rFonts w:ascii="宋体" w:hAnsi="宋体" w:eastAsia="宋体"/>
                <w:sz w:val="16"/>
              </w:rPr>
              <w:t>45.12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BE2AB">
            <w:pPr>
              <w:jc w:val="center"/>
            </w:pPr>
            <w:r>
              <w:rPr>
                <w:rFonts w:ascii="宋体" w:hAnsi="宋体" w:eastAsia="宋体"/>
                <w:sz w:val="16"/>
              </w:rPr>
              <w:t>45.12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7960F">
            <w:pPr>
              <w:jc w:val="center"/>
            </w:pPr>
            <w:r>
              <w:rPr>
                <w:rFonts w:ascii="宋体" w:hAnsi="宋体" w:eastAsia="宋体"/>
                <w:sz w:val="16"/>
              </w:rPr>
              <w:t>16.08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4A7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1C980">
            <w:pPr>
              <w:jc w:val="center"/>
            </w:pPr>
            <w:r>
              <w:rPr>
                <w:rFonts w:ascii="宋体" w:hAnsi="宋体" w:eastAsia="宋体"/>
                <w:sz w:val="16"/>
              </w:rPr>
              <w:t>35.6%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BC247">
            <w:pPr>
              <w:jc w:val="center"/>
            </w:pPr>
            <w:r>
              <w:rPr>
                <w:rFonts w:ascii="宋体" w:hAnsi="宋体" w:eastAsia="宋体"/>
                <w:sz w:val="16"/>
              </w:rPr>
              <w:t>0.00分</w:t>
            </w:r>
          </w:p>
        </w:tc>
      </w:tr>
      <w:tr w14:paraId="645926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5CA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8483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976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33F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88B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89D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C86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4F4B">
            <w:pPr>
              <w:jc w:val="center"/>
            </w:pPr>
            <w:r>
              <w:rPr>
                <w:rFonts w:ascii="宋体" w:hAnsi="宋体" w:eastAsia="宋体"/>
                <w:sz w:val="16"/>
              </w:rPr>
              <w:t>—</w:t>
            </w:r>
          </w:p>
        </w:tc>
      </w:tr>
      <w:tr w14:paraId="5F28BA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AE0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1859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D91BE">
            <w:pPr>
              <w:jc w:val="center"/>
            </w:pPr>
            <w:r>
              <w:rPr>
                <w:rFonts w:ascii="宋体" w:hAnsi="宋体" w:eastAsia="宋体"/>
                <w:sz w:val="16"/>
              </w:rPr>
              <w:t>45.12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CA0F3">
            <w:pPr>
              <w:jc w:val="center"/>
            </w:pPr>
            <w:r>
              <w:rPr>
                <w:rFonts w:ascii="宋体" w:hAnsi="宋体" w:eastAsia="宋体"/>
                <w:sz w:val="16"/>
              </w:rPr>
              <w:t>45.12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1977C">
            <w:pPr>
              <w:jc w:val="center"/>
            </w:pPr>
            <w:r>
              <w:rPr>
                <w:rFonts w:ascii="宋体" w:hAnsi="宋体" w:eastAsia="宋体"/>
                <w:sz w:val="16"/>
              </w:rPr>
              <w:t>16.08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CCA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0A7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7B8F5">
            <w:pPr>
              <w:jc w:val="center"/>
            </w:pPr>
            <w:r>
              <w:rPr>
                <w:rFonts w:ascii="宋体" w:hAnsi="宋体" w:eastAsia="宋体"/>
                <w:sz w:val="16"/>
              </w:rPr>
              <w:t>—</w:t>
            </w:r>
          </w:p>
        </w:tc>
      </w:tr>
      <w:tr w14:paraId="6538D6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63EE1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DA63F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CD31FC">
            <w:pPr>
              <w:jc w:val="center"/>
            </w:pPr>
            <w:r>
              <w:rPr>
                <w:rFonts w:ascii="宋体" w:hAnsi="宋体" w:eastAsia="宋体"/>
                <w:sz w:val="16"/>
              </w:rPr>
              <w:t>实际完成情况</w:t>
            </w:r>
          </w:p>
        </w:tc>
      </w:tr>
      <w:tr w14:paraId="31E5E4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9537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B28D33">
            <w:pPr>
              <w:jc w:val="both"/>
            </w:pPr>
            <w:r>
              <w:rPr>
                <w:rFonts w:ascii="宋体" w:hAnsi="宋体" w:eastAsia="宋体"/>
                <w:sz w:val="16"/>
              </w:rPr>
              <w:t>该项目总投资45.12万元，其中：财政资金0万元，其他资金45.12万元，主要用于维修单位和法庭办公楼等、办公设备购置、江苏援疆干部周转房租赁费、食堂开支费用，有利于持续深化法院业务、干部人才、教育培训、法院文化、信息科技和资金项目“六位一体”援助格局，坚持统筹推进，优化援助，通过该项目达到推动双赢共赢，不断加强赣疆两地交融，大力支持乌恰法院事业发展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FC082C">
            <w:pPr>
              <w:jc w:val="both"/>
            </w:pPr>
            <w:r>
              <w:rPr>
                <w:rFonts w:ascii="宋体" w:hAnsi="宋体" w:eastAsia="宋体"/>
                <w:sz w:val="16"/>
              </w:rPr>
              <w:t>截至2024年12月31日，保障人员数80人，案件办理数2903件，保障食堂数1个；通过该项目达到推动双赢共赢，大力支持乌恰法院事业发展效果。</w:t>
            </w:r>
          </w:p>
        </w:tc>
      </w:tr>
      <w:tr w14:paraId="07FCCF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4785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0432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DB9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BB3F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5FA1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7171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6602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882B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63AC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E04D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8F4E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E8B4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71B8A">
            <w:pPr>
              <w:jc w:val="center"/>
            </w:pPr>
            <w:r>
              <w:rPr>
                <w:rFonts w:ascii="宋体" w:hAnsi="宋体" w:eastAsia="宋体"/>
                <w:sz w:val="16"/>
              </w:rPr>
              <w:t>偏差原因分析及改进措施</w:t>
            </w:r>
          </w:p>
        </w:tc>
      </w:tr>
      <w:tr w14:paraId="42BC00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3A570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73809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B5CFF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12C33">
            <w:pPr>
              <w:jc w:val="center"/>
            </w:pPr>
            <w:r>
              <w:rPr>
                <w:rFonts w:ascii="宋体" w:hAnsi="宋体" w:eastAsia="宋体"/>
                <w:sz w:val="16"/>
              </w:rPr>
              <w:t>保障人员数（人）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7F049">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222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DC8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96B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1F4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68C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B9C23">
            <w:pPr>
              <w:jc w:val="center"/>
            </w:pPr>
            <w:r>
              <w:rPr>
                <w:rFonts w:ascii="宋体" w:hAnsi="宋体" w:eastAsia="宋体"/>
                <w:sz w:val="16"/>
              </w:rPr>
              <w: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373E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6608D">
            <w:pPr>
              <w:jc w:val="center"/>
            </w:pPr>
          </w:p>
        </w:tc>
      </w:tr>
      <w:tr w14:paraId="28A355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670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4B5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068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E6BDC">
            <w:pPr>
              <w:jc w:val="center"/>
            </w:pPr>
            <w:r>
              <w:rPr>
                <w:rFonts w:ascii="宋体" w:hAnsi="宋体" w:eastAsia="宋体"/>
                <w:sz w:val="16"/>
              </w:rPr>
              <w:t>案件办理数（件）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6FE39">
            <w:pPr>
              <w:jc w:val="center"/>
            </w:pPr>
            <w:r>
              <w:rPr>
                <w:rFonts w:ascii="宋体" w:hAnsi="宋体" w:eastAsia="宋体"/>
                <w:sz w:val="16"/>
              </w:rPr>
              <w:t>&gt;=1200件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FB8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25C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FC96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33A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462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D113E">
            <w:pPr>
              <w:jc w:val="center"/>
            </w:pPr>
            <w:r>
              <w:rPr>
                <w:rFonts w:ascii="宋体" w:hAnsi="宋体" w:eastAsia="宋体"/>
                <w:sz w:val="16"/>
              </w:rPr>
              <w:t>=2903件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AFB0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8C667">
            <w:pPr>
              <w:jc w:val="center"/>
            </w:pPr>
            <w:r>
              <w:rPr>
                <w:rFonts w:ascii="宋体" w:hAnsi="宋体" w:eastAsia="宋体"/>
                <w:sz w:val="16"/>
              </w:rPr>
              <w:t>偏差原因：项目预算约束性不够。改进措施：进一步规范绩效目标编制</w:t>
            </w:r>
          </w:p>
        </w:tc>
      </w:tr>
      <w:tr w14:paraId="5009CD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4F8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536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2AF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166ED">
            <w:pPr>
              <w:jc w:val="center"/>
            </w:pPr>
            <w:r>
              <w:rPr>
                <w:rFonts w:ascii="宋体" w:hAnsi="宋体" w:eastAsia="宋体"/>
                <w:sz w:val="16"/>
              </w:rPr>
              <w:t>保障食堂数（个）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C11A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6AA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3B4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5892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7C1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86F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5D6C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0DE9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84AC7">
            <w:pPr>
              <w:jc w:val="center"/>
            </w:pPr>
          </w:p>
        </w:tc>
      </w:tr>
      <w:tr w14:paraId="78678A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702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305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BA1F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C3F30">
            <w:pPr>
              <w:jc w:val="center"/>
            </w:pPr>
            <w:r>
              <w:rPr>
                <w:rFonts w:ascii="宋体" w:hAnsi="宋体" w:eastAsia="宋体"/>
                <w:sz w:val="16"/>
              </w:rPr>
              <w:t>保障食堂运行率（%）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2CBE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DFD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E3A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8B0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853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43A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37B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027F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F2F48">
            <w:pPr>
              <w:jc w:val="center"/>
            </w:pPr>
          </w:p>
        </w:tc>
      </w:tr>
      <w:tr w14:paraId="14E014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629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70D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5821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E81EF">
            <w:pPr>
              <w:jc w:val="center"/>
            </w:pPr>
            <w:r>
              <w:rPr>
                <w:rFonts w:ascii="宋体" w:hAnsi="宋体" w:eastAsia="宋体"/>
                <w:sz w:val="16"/>
              </w:rPr>
              <w:t>案件办结率（%）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C385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73A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4ED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F0F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4E1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6D7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874DD">
            <w:pPr>
              <w:jc w:val="center"/>
            </w:pPr>
            <w:r>
              <w:rPr>
                <w:rFonts w:ascii="宋体" w:hAnsi="宋体" w:eastAsia="宋体"/>
                <w:sz w:val="16"/>
              </w:rPr>
              <w:t>=94.52%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5FF2A">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21AC5">
            <w:pPr>
              <w:jc w:val="center"/>
            </w:pPr>
            <w:r>
              <w:rPr>
                <w:rFonts w:ascii="宋体" w:hAnsi="宋体" w:eastAsia="宋体"/>
                <w:sz w:val="16"/>
              </w:rPr>
              <w:t>偏差原因：项目预算约束性不够。改进措施：进一步规范绩效目标编制</w:t>
            </w:r>
          </w:p>
        </w:tc>
      </w:tr>
      <w:tr w14:paraId="260FDE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A09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B9286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036BC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C76FC">
            <w:pPr>
              <w:jc w:val="center"/>
            </w:pPr>
            <w:r>
              <w:rPr>
                <w:rFonts w:ascii="宋体" w:hAnsi="宋体" w:eastAsia="宋体"/>
                <w:sz w:val="16"/>
              </w:rPr>
              <w:t>保障人员资金（万元）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C7AF2">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2273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B2D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39BC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5C6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7AA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970B1">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757D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1E9BF">
            <w:pPr>
              <w:jc w:val="center"/>
            </w:pPr>
            <w:r>
              <w:rPr>
                <w:rFonts w:ascii="宋体" w:hAnsi="宋体" w:eastAsia="宋体"/>
                <w:sz w:val="16"/>
              </w:rPr>
              <w:t>偏差原因：项目预算约束性不够。改进措施：进一步规范绩效目标编制</w:t>
            </w:r>
          </w:p>
        </w:tc>
      </w:tr>
      <w:tr w14:paraId="7DEFA5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29E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8BC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8C0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53D36">
            <w:pPr>
              <w:jc w:val="center"/>
            </w:pPr>
            <w:r>
              <w:rPr>
                <w:rFonts w:ascii="宋体" w:hAnsi="宋体" w:eastAsia="宋体"/>
                <w:sz w:val="16"/>
              </w:rPr>
              <w:t>保障食堂资金（万元）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B95DB">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6C3D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141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298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F45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E23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9E150">
            <w:pPr>
              <w:jc w:val="center"/>
            </w:pPr>
            <w:r>
              <w:rPr>
                <w:rFonts w:ascii="宋体" w:hAnsi="宋体" w:eastAsia="宋体"/>
                <w:sz w:val="16"/>
              </w:rPr>
              <w:t>=2.15万元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66A2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BE1C9">
            <w:pPr>
              <w:jc w:val="center"/>
            </w:pPr>
            <w:r>
              <w:rPr>
                <w:rFonts w:ascii="宋体" w:hAnsi="宋体" w:eastAsia="宋体"/>
                <w:sz w:val="16"/>
              </w:rPr>
              <w:t>偏差原因：项目预算约束性不够。改进措施：进一步规范绩效目标编制</w:t>
            </w:r>
          </w:p>
        </w:tc>
      </w:tr>
      <w:tr w14:paraId="746C79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C9C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6E2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DA4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A22B0">
            <w:pPr>
              <w:jc w:val="center"/>
            </w:pPr>
            <w:r>
              <w:rPr>
                <w:rFonts w:ascii="宋体" w:hAnsi="宋体" w:eastAsia="宋体"/>
                <w:sz w:val="16"/>
              </w:rPr>
              <w:t>保障业务相关资金（万元）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019FB">
            <w:pPr>
              <w:jc w:val="center"/>
            </w:pPr>
            <w:r>
              <w:rPr>
                <w:rFonts w:ascii="宋体" w:hAnsi="宋体" w:eastAsia="宋体"/>
                <w:sz w:val="16"/>
              </w:rPr>
              <w:t>&lt;=15.12万元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9503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8FE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09E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071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DF1A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21B97">
            <w:pPr>
              <w:jc w:val="center"/>
            </w:pPr>
            <w:r>
              <w:rPr>
                <w:rFonts w:ascii="宋体" w:hAnsi="宋体" w:eastAsia="宋体"/>
                <w:sz w:val="16"/>
              </w:rPr>
              <w:t>=13.93万元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6CCEA">
            <w:pPr>
              <w:jc w:val="center"/>
            </w:pPr>
            <w:r>
              <w:rPr>
                <w:rFonts w:ascii="宋体" w:hAnsi="宋体" w:eastAsia="宋体"/>
                <w:sz w:val="16"/>
              </w:rPr>
              <w:t>8.03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093D6">
            <w:pPr>
              <w:jc w:val="center"/>
            </w:pPr>
            <w:r>
              <w:rPr>
                <w:rFonts w:ascii="宋体" w:hAnsi="宋体" w:eastAsia="宋体"/>
                <w:sz w:val="16"/>
              </w:rPr>
              <w:t>偏差原因：项目预算约束性不够。改进措施：进一步规范绩效目标编制</w:t>
            </w:r>
          </w:p>
        </w:tc>
      </w:tr>
      <w:tr w14:paraId="0B4DFD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8A4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974DB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CC0B4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194FD">
            <w:pPr>
              <w:jc w:val="center"/>
            </w:pPr>
            <w:r>
              <w:rPr>
                <w:rFonts w:ascii="宋体" w:hAnsi="宋体" w:eastAsia="宋体"/>
                <w:sz w:val="16"/>
              </w:rPr>
              <w:t>促进改善办案条件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424EF">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4A7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56E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0F0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BBC0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EBBB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95762">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E329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96B6A">
            <w:pPr>
              <w:jc w:val="center"/>
            </w:pPr>
            <w:r>
              <w:rPr>
                <w:rFonts w:ascii="宋体" w:hAnsi="宋体" w:eastAsia="宋体"/>
                <w:sz w:val="16"/>
              </w:rPr>
              <w:t>偏差原因：项目预算约束性不够。改进措施：进一步规范绩效目标编制</w:t>
            </w:r>
          </w:p>
        </w:tc>
      </w:tr>
      <w:tr w14:paraId="08D021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D00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B44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1DE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BBA82">
            <w:pPr>
              <w:jc w:val="center"/>
            </w:pPr>
            <w:r>
              <w:rPr>
                <w:rFonts w:ascii="宋体" w:hAnsi="宋体" w:eastAsia="宋体"/>
                <w:sz w:val="16"/>
              </w:rPr>
              <w:t>保障社会稳定长治久安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33B3D">
            <w:pPr>
              <w:jc w:val="center"/>
            </w:pPr>
            <w:r>
              <w:rPr>
                <w:rFonts w:ascii="宋体" w:hAnsi="宋体" w:eastAsia="宋体"/>
                <w:sz w:val="16"/>
              </w:rPr>
              <w:t>持续影响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682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F55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94D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F739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33A9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6A807">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E2B0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74F9C">
            <w:pPr>
              <w:jc w:val="center"/>
            </w:pPr>
            <w:r>
              <w:rPr>
                <w:rFonts w:ascii="宋体" w:hAnsi="宋体" w:eastAsia="宋体"/>
                <w:sz w:val="16"/>
              </w:rPr>
              <w:t>偏差原因：项目预算约束性不够。改进措施：进一步规范绩效目标编制</w:t>
            </w:r>
          </w:p>
        </w:tc>
      </w:tr>
      <w:tr w14:paraId="2C9C4B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1C9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3117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53EA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38B6D">
            <w:pPr>
              <w:jc w:val="center"/>
            </w:pPr>
            <w:r>
              <w:rPr>
                <w:rFonts w:ascii="宋体" w:hAnsi="宋体" w:eastAsia="宋体"/>
                <w:sz w:val="16"/>
              </w:rPr>
              <w:t>保障人员满意度（%）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96A4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2F0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B36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9C7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E78E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ADF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AE40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273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A5D0C">
            <w:pPr>
              <w:jc w:val="center"/>
            </w:pPr>
            <w:r>
              <w:rPr>
                <w:rFonts w:ascii="宋体" w:hAnsi="宋体" w:eastAsia="宋体"/>
                <w:sz w:val="16"/>
              </w:rPr>
              <w:t>偏差原因：项目预算约束性不够。改进措施：进一步规范绩效目标编制</w:t>
            </w:r>
          </w:p>
        </w:tc>
      </w:tr>
      <w:tr w14:paraId="5BF3AB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AD0D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0FE6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5167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3981C3">
            <w:pPr>
              <w:jc w:val="center"/>
            </w:pPr>
            <w:r>
              <w:rPr>
                <w:rFonts w:ascii="宋体" w:hAnsi="宋体" w:eastAsia="宋体"/>
                <w:sz w:val="16"/>
              </w:rPr>
              <w:t>42.53分</w:t>
            </w:r>
          </w:p>
        </w:tc>
      </w:tr>
    </w:tbl>
    <w:p w14:paraId="5BE2D3D3">
      <w:r>
        <w:br w:type="page"/>
      </w:r>
    </w:p>
    <w:p w14:paraId="350463D3">
      <w:pPr>
        <w:spacing w:line="640" w:lineRule="exact"/>
        <w:ind w:firstLine="640"/>
        <w:jc w:val="both"/>
        <w:outlineLvl w:val="2"/>
      </w:pPr>
      <w:r>
        <w:rPr>
          <w:rFonts w:ascii="黑体" w:hAnsi="黑体" w:eastAsia="黑体"/>
          <w:sz w:val="32"/>
        </w:rPr>
        <w:t>十二、其他需说明的事项</w:t>
      </w:r>
    </w:p>
    <w:p w14:paraId="2AA17D6D">
      <w:pPr>
        <w:spacing w:line="580" w:lineRule="exact"/>
        <w:ind w:firstLine="640"/>
        <w:jc w:val="both"/>
      </w:pPr>
      <w:r>
        <w:rPr>
          <w:rFonts w:ascii="仿宋_GB2312" w:hAnsi="仿宋_GB2312" w:eastAsia="仿宋_GB2312"/>
          <w:b w:val="0"/>
          <w:sz w:val="32"/>
        </w:rPr>
        <w:t>本单位无其他需说明的事项。</w:t>
      </w:r>
    </w:p>
    <w:p w14:paraId="7E65D80D">
      <w:r>
        <w:br w:type="page"/>
      </w:r>
    </w:p>
    <w:p w14:paraId="0015157D">
      <w:pPr>
        <w:spacing w:line="240" w:lineRule="auto"/>
        <w:jc w:val="center"/>
        <w:outlineLvl w:val="1"/>
      </w:pPr>
      <w:r>
        <w:rPr>
          <w:rFonts w:ascii="黑体" w:hAnsi="黑体" w:eastAsia="黑体"/>
          <w:sz w:val="32"/>
        </w:rPr>
        <w:t>第三部分 专业名词解释</w:t>
      </w:r>
    </w:p>
    <w:p w14:paraId="3D3D1C5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FC7A06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5D9CBF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46324A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2A5DF1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0ED399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8ABC74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A4FB29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CDBD6E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3B1CD4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70BB7C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73FC34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208D41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C34258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AFEA36A">
      <w:r>
        <w:br w:type="page"/>
      </w:r>
    </w:p>
    <w:p w14:paraId="4CF33620">
      <w:pPr>
        <w:spacing w:line="240" w:lineRule="auto"/>
        <w:jc w:val="center"/>
        <w:outlineLvl w:val="1"/>
      </w:pPr>
      <w:r>
        <w:rPr>
          <w:rFonts w:ascii="黑体" w:hAnsi="黑体" w:eastAsia="黑体"/>
          <w:sz w:val="32"/>
        </w:rPr>
        <w:t>第四部分 部门决算报表（见附表）</w:t>
      </w:r>
    </w:p>
    <w:p w14:paraId="2C47E6C3">
      <w:pPr>
        <w:spacing w:line="240" w:lineRule="auto"/>
        <w:ind w:firstLine="640"/>
        <w:jc w:val="both"/>
      </w:pPr>
      <w:r>
        <w:rPr>
          <w:rFonts w:ascii="仿宋_GB2312" w:hAnsi="仿宋_GB2312" w:eastAsia="仿宋_GB2312"/>
          <w:b w:val="0"/>
          <w:sz w:val="32"/>
        </w:rPr>
        <w:t>一、《收入支出决算总表》</w:t>
      </w:r>
    </w:p>
    <w:p w14:paraId="5348DDA1">
      <w:pPr>
        <w:spacing w:line="240" w:lineRule="auto"/>
        <w:ind w:firstLine="640"/>
        <w:jc w:val="both"/>
      </w:pPr>
      <w:r>
        <w:rPr>
          <w:rFonts w:ascii="仿宋_GB2312" w:hAnsi="仿宋_GB2312" w:eastAsia="仿宋_GB2312"/>
          <w:b w:val="0"/>
          <w:sz w:val="32"/>
        </w:rPr>
        <w:t>二、《收入决算表》</w:t>
      </w:r>
    </w:p>
    <w:p w14:paraId="542BBF94">
      <w:pPr>
        <w:spacing w:line="240" w:lineRule="auto"/>
        <w:ind w:firstLine="640"/>
        <w:jc w:val="both"/>
      </w:pPr>
      <w:r>
        <w:rPr>
          <w:rFonts w:ascii="仿宋_GB2312" w:hAnsi="仿宋_GB2312" w:eastAsia="仿宋_GB2312"/>
          <w:b w:val="0"/>
          <w:sz w:val="32"/>
        </w:rPr>
        <w:t>三、《支出决算表》</w:t>
      </w:r>
    </w:p>
    <w:p w14:paraId="16A11C30">
      <w:pPr>
        <w:spacing w:line="240" w:lineRule="auto"/>
        <w:ind w:firstLine="640"/>
        <w:jc w:val="both"/>
      </w:pPr>
      <w:r>
        <w:rPr>
          <w:rFonts w:ascii="仿宋_GB2312" w:hAnsi="仿宋_GB2312" w:eastAsia="仿宋_GB2312"/>
          <w:b w:val="0"/>
          <w:sz w:val="32"/>
        </w:rPr>
        <w:t>四、《财政拨款收入支出决算总表》</w:t>
      </w:r>
    </w:p>
    <w:p w14:paraId="59B01B28">
      <w:pPr>
        <w:spacing w:line="240" w:lineRule="auto"/>
        <w:ind w:firstLine="640"/>
        <w:jc w:val="both"/>
      </w:pPr>
      <w:r>
        <w:rPr>
          <w:rFonts w:ascii="仿宋_GB2312" w:hAnsi="仿宋_GB2312" w:eastAsia="仿宋_GB2312"/>
          <w:b w:val="0"/>
          <w:sz w:val="32"/>
        </w:rPr>
        <w:t>五、《一般公共预算财政拨款支出决算表》</w:t>
      </w:r>
    </w:p>
    <w:p w14:paraId="0F7C3F1A">
      <w:pPr>
        <w:spacing w:line="240" w:lineRule="auto"/>
        <w:ind w:firstLine="640"/>
        <w:jc w:val="both"/>
      </w:pPr>
      <w:r>
        <w:rPr>
          <w:rFonts w:ascii="仿宋_GB2312" w:hAnsi="仿宋_GB2312" w:eastAsia="仿宋_GB2312"/>
          <w:b w:val="0"/>
          <w:sz w:val="32"/>
        </w:rPr>
        <w:t>六、《一般公共预算财政拨款基本支出决算表》</w:t>
      </w:r>
    </w:p>
    <w:p w14:paraId="79FB9EA2">
      <w:pPr>
        <w:spacing w:line="240" w:lineRule="auto"/>
        <w:ind w:firstLine="640"/>
        <w:jc w:val="both"/>
      </w:pPr>
      <w:r>
        <w:rPr>
          <w:rFonts w:ascii="仿宋_GB2312" w:hAnsi="仿宋_GB2312" w:eastAsia="仿宋_GB2312"/>
          <w:b w:val="0"/>
          <w:sz w:val="32"/>
        </w:rPr>
        <w:t>七、《政府性基金预算财政拨款收入支出决算表》</w:t>
      </w:r>
    </w:p>
    <w:p w14:paraId="26E022B7">
      <w:pPr>
        <w:spacing w:line="240" w:lineRule="auto"/>
        <w:ind w:firstLine="640"/>
        <w:jc w:val="both"/>
      </w:pPr>
      <w:r>
        <w:rPr>
          <w:rFonts w:ascii="仿宋_GB2312" w:hAnsi="仿宋_GB2312" w:eastAsia="仿宋_GB2312"/>
          <w:b w:val="0"/>
          <w:sz w:val="32"/>
        </w:rPr>
        <w:t>八、《国有资本经营预算财政拨款收入支出决算表》</w:t>
      </w:r>
    </w:p>
    <w:p w14:paraId="7E6BDAF4">
      <w:pPr>
        <w:spacing w:line="240" w:lineRule="auto"/>
        <w:ind w:firstLine="640"/>
        <w:jc w:val="both"/>
      </w:pPr>
      <w:r>
        <w:rPr>
          <w:rFonts w:ascii="仿宋_GB2312" w:hAnsi="仿宋_GB2312" w:eastAsia="仿宋_GB2312"/>
          <w:b w:val="0"/>
          <w:sz w:val="32"/>
        </w:rPr>
        <w:t>九、《财政拨款“三公”经费支出决算表》</w:t>
      </w:r>
    </w:p>
    <w:p w14:paraId="1278121B">
      <w:pPr>
        <w:spacing w:line="240" w:lineRule="auto"/>
        <w:ind w:firstLine="640"/>
        <w:jc w:val="both"/>
      </w:pPr>
    </w:p>
    <w:p w14:paraId="5F3B4C8A">
      <w:pPr>
        <w:spacing w:line="240" w:lineRule="auto"/>
        <w:ind w:firstLine="640"/>
        <w:jc w:val="both"/>
      </w:pPr>
    </w:p>
    <w:p w14:paraId="3EC5B93B">
      <w:pPr>
        <w:spacing w:line="240" w:lineRule="auto"/>
        <w:ind w:firstLine="640"/>
        <w:jc w:val="both"/>
      </w:pPr>
    </w:p>
    <w:p w14:paraId="24BC14E6">
      <w:pPr>
        <w:spacing w:line="240" w:lineRule="auto"/>
        <w:ind w:firstLine="640"/>
        <w:jc w:val="both"/>
      </w:pPr>
    </w:p>
    <w:p w14:paraId="209B388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8DD9D73-A030-49DC-9429-0BAFD528727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9251D8AE-5A99-46EA-A876-0877D104C647}"/>
  </w:font>
  <w:font w:name="仿宋_GB2312">
    <w:panose1 w:val="02010609030101010101"/>
    <w:charset w:val="86"/>
    <w:family w:val="modern"/>
    <w:pitch w:val="default"/>
    <w:sig w:usb0="00000001" w:usb1="080E0000" w:usb2="00000000" w:usb3="00000000" w:csb0="00040000" w:csb1="00000000"/>
    <w:embedRegular r:id="rId3" w:fontKey="{BBF00214-D77B-4DE0-9C12-15F10965404A}"/>
  </w:font>
  <w:font w:name="楷体_GB2312">
    <w:panose1 w:val="02010609030101010101"/>
    <w:charset w:val="86"/>
    <w:family w:val="auto"/>
    <w:pitch w:val="default"/>
    <w:sig w:usb0="00000001" w:usb1="080E0000" w:usb2="00000000" w:usb3="00000000" w:csb0="00040000" w:csb1="00000000"/>
    <w:embedRegular r:id="rId4" w:fontKey="{C82BCD97-127D-471B-9CA3-894A241B126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6213B5"/>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22C1200"/>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4811</Words>
  <Characters>5547</Characters>
  <Lines>0</Lines>
  <Paragraphs>0</Paragraphs>
  <TotalTime>3</TotalTime>
  <ScaleCrop>false</ScaleCrop>
  <LinksUpToDate>false</LinksUpToDate>
  <CharactersWithSpaces>5555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2025-09-02T05:01:55Z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