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阿克陶县人民检察院2024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BE3256">
      <w:r>
        <w:br w:type="page"/>
      </w:r>
    </w:p>
    <w:p w14:paraId="235E30E2">
      <w:pPr>
        <w:spacing w:line="640" w:lineRule="exact"/>
        <w:jc w:val="center"/>
        <w:outlineLvl w:val="1"/>
      </w:pPr>
      <w:r>
        <w:rPr>
          <w:rFonts w:ascii="黑体" w:hAnsi="黑体" w:eastAsia="黑体"/>
          <w:sz w:val="32"/>
        </w:rPr>
        <w:t>第一部分 单位概况</w:t>
      </w:r>
    </w:p>
    <w:p w14:paraId="7A39BB78">
      <w:pPr>
        <w:spacing w:line="640" w:lineRule="exact"/>
        <w:ind w:firstLine="640"/>
        <w:jc w:val="both"/>
        <w:outlineLvl w:val="2"/>
      </w:pPr>
      <w:r>
        <w:rPr>
          <w:rFonts w:ascii="黑体" w:hAnsi="黑体" w:eastAsia="黑体"/>
          <w:sz w:val="32"/>
        </w:rPr>
        <w:t>一、主要职能</w:t>
      </w:r>
    </w:p>
    <w:p w14:paraId="4E3ADE26">
      <w:pPr>
        <w:spacing w:line="580" w:lineRule="exact"/>
        <w:ind w:firstLine="640"/>
        <w:jc w:val="both"/>
      </w:pPr>
      <w:r>
        <w:rPr>
          <w:rFonts w:ascii="仿宋_GB2312" w:hAnsi="仿宋_GB2312" w:eastAsia="仿宋_GB2312"/>
          <w:sz w:val="32"/>
        </w:rPr>
        <w:t>本单位主要职能SM不予公开。</w:t>
      </w:r>
    </w:p>
    <w:p w14:paraId="4338CF32">
      <w:pPr>
        <w:spacing w:line="640" w:lineRule="exact"/>
        <w:ind w:firstLine="640"/>
        <w:jc w:val="both"/>
        <w:outlineLvl w:val="2"/>
      </w:pPr>
      <w:r>
        <w:rPr>
          <w:rFonts w:ascii="黑体" w:hAnsi="黑体" w:eastAsia="黑体"/>
          <w:sz w:val="32"/>
        </w:rPr>
        <w:t>二、机构设置及人员情况</w:t>
      </w:r>
    </w:p>
    <w:p w14:paraId="76DB0102">
      <w:pPr>
        <w:spacing w:line="580" w:lineRule="exact"/>
        <w:ind w:firstLine="640"/>
        <w:jc w:val="both"/>
      </w:pPr>
      <w:r>
        <w:rPr>
          <w:rFonts w:ascii="仿宋_GB2312" w:hAnsi="仿宋_GB2312" w:eastAsia="仿宋_GB2312"/>
          <w:sz w:val="32"/>
        </w:rPr>
        <w:t>本单位机构设置及人员情况SM不予公开。</w:t>
      </w:r>
    </w:p>
    <w:p w14:paraId="18040F75">
      <w:r>
        <w:br w:type="page"/>
      </w:r>
    </w:p>
    <w:p w14:paraId="45EECA3F">
      <w:pPr>
        <w:spacing w:line="240" w:lineRule="auto"/>
        <w:jc w:val="center"/>
        <w:outlineLvl w:val="1"/>
      </w:pPr>
      <w:r>
        <w:rPr>
          <w:rFonts w:ascii="黑体" w:hAnsi="黑体" w:eastAsia="黑体"/>
          <w:sz w:val="32"/>
        </w:rPr>
        <w:t>第二部分 部门决算情况说明</w:t>
      </w:r>
    </w:p>
    <w:p w14:paraId="234ADDA5">
      <w:pPr>
        <w:spacing w:line="640" w:lineRule="exact"/>
        <w:ind w:firstLine="640"/>
        <w:jc w:val="both"/>
        <w:outlineLvl w:val="2"/>
      </w:pPr>
      <w:r>
        <w:rPr>
          <w:rFonts w:ascii="黑体" w:hAnsi="黑体" w:eastAsia="黑体"/>
          <w:sz w:val="32"/>
        </w:rPr>
        <w:t>一、收入支出决算总体情况说明</w:t>
      </w:r>
    </w:p>
    <w:p w14:paraId="6382C3C3">
      <w:pPr>
        <w:spacing w:line="580" w:lineRule="exact"/>
        <w:ind w:firstLine="640"/>
        <w:jc w:val="both"/>
      </w:pPr>
      <w:r>
        <w:rPr>
          <w:rFonts w:ascii="仿宋_GB2312" w:hAnsi="仿宋_GB2312" w:eastAsia="仿宋_GB2312"/>
          <w:b/>
          <w:sz w:val="32"/>
        </w:rPr>
        <w:t>2024年度收入总计1,683.41万元，</w:t>
      </w:r>
      <w:r>
        <w:rPr>
          <w:rFonts w:ascii="仿宋_GB2312" w:hAnsi="仿宋_GB2312" w:eastAsia="仿宋_GB2312"/>
          <w:b w:val="0"/>
          <w:sz w:val="32"/>
        </w:rPr>
        <w:t>其中：本年收入合计1,599.16万元，使用非财政拨款结余（含专用结余）0.00万元，年初结转和结余84.25万元。</w:t>
      </w:r>
    </w:p>
    <w:p w14:paraId="10A7AEC2">
      <w:pPr>
        <w:spacing w:line="580" w:lineRule="exact"/>
        <w:ind w:firstLine="640"/>
        <w:jc w:val="both"/>
      </w:pPr>
      <w:r>
        <w:rPr>
          <w:rFonts w:ascii="仿宋_GB2312" w:hAnsi="仿宋_GB2312" w:eastAsia="仿宋_GB2312"/>
          <w:b/>
          <w:sz w:val="32"/>
        </w:rPr>
        <w:t>2024年度支出总计1,683.41万元，</w:t>
      </w:r>
      <w:r>
        <w:rPr>
          <w:rFonts w:ascii="仿宋_GB2312" w:hAnsi="仿宋_GB2312" w:eastAsia="仿宋_GB2312"/>
          <w:b w:val="0"/>
          <w:sz w:val="32"/>
        </w:rPr>
        <w:t>其中：本年支出合计1,629.78万元，结余分配0.00万元，年末结转和结余53.63万元。</w:t>
      </w:r>
    </w:p>
    <w:p w14:paraId="3CEA8A02">
      <w:pPr>
        <w:spacing w:line="580" w:lineRule="exact"/>
        <w:ind w:firstLine="640"/>
        <w:jc w:val="both"/>
      </w:pPr>
      <w:r>
        <w:rPr>
          <w:rFonts w:ascii="仿宋_GB2312" w:hAnsi="仿宋_GB2312" w:eastAsia="仿宋_GB2312"/>
          <w:b w:val="0"/>
          <w:sz w:val="32"/>
        </w:rPr>
        <w:t>收入支出总体与上年相比，减少199.12万元，下降10.58%，主要原因是：本年度政法专项绩效及援疆资金减少，导致收入支出减少。</w:t>
      </w:r>
    </w:p>
    <w:p w14:paraId="73C333D5">
      <w:pPr>
        <w:spacing w:line="640" w:lineRule="exact"/>
        <w:ind w:firstLine="640"/>
        <w:jc w:val="both"/>
        <w:outlineLvl w:val="2"/>
      </w:pPr>
      <w:r>
        <w:rPr>
          <w:rFonts w:ascii="黑体" w:hAnsi="黑体" w:eastAsia="黑体"/>
          <w:sz w:val="32"/>
        </w:rPr>
        <w:t>二、收入决算情况说明</w:t>
      </w:r>
    </w:p>
    <w:p w14:paraId="7B9DB73B">
      <w:pPr>
        <w:spacing w:line="580" w:lineRule="exact"/>
        <w:ind w:firstLine="640"/>
        <w:jc w:val="both"/>
      </w:pPr>
      <w:r>
        <w:rPr>
          <w:rFonts w:ascii="仿宋_GB2312" w:hAnsi="仿宋_GB2312" w:eastAsia="仿宋_GB2312"/>
          <w:b/>
          <w:sz w:val="32"/>
        </w:rPr>
        <w:t>本年收入1,599.16万元，</w:t>
      </w:r>
      <w:r>
        <w:rPr>
          <w:rFonts w:ascii="仿宋_GB2312" w:hAnsi="仿宋_GB2312" w:eastAsia="仿宋_GB2312"/>
          <w:b w:val="0"/>
          <w:sz w:val="32"/>
        </w:rPr>
        <w:t>其中：财政拨款收入1,568.67万元，占98.09%；上级补助收入0.00万元，占0.00%；事业收入0.00万元，占0.00%；经营收入0.00万元，占0.00%；附属单位上缴收入0.00万元，占0.00%；其他收入30.50万元，占1.91%。</w:t>
      </w:r>
    </w:p>
    <w:p w14:paraId="1CAD932B">
      <w:pPr>
        <w:spacing w:line="640" w:lineRule="exact"/>
        <w:ind w:firstLine="640"/>
        <w:jc w:val="both"/>
        <w:outlineLvl w:val="2"/>
      </w:pPr>
      <w:r>
        <w:rPr>
          <w:rFonts w:ascii="黑体" w:hAnsi="黑体" w:eastAsia="黑体"/>
          <w:sz w:val="32"/>
        </w:rPr>
        <w:t>三、支出决算情况说明</w:t>
      </w:r>
    </w:p>
    <w:p w14:paraId="4DC467E4">
      <w:pPr>
        <w:spacing w:line="580" w:lineRule="exact"/>
        <w:ind w:firstLine="640"/>
        <w:jc w:val="both"/>
      </w:pPr>
      <w:r>
        <w:rPr>
          <w:rFonts w:ascii="仿宋_GB2312" w:hAnsi="仿宋_GB2312" w:eastAsia="仿宋_GB2312"/>
          <w:b/>
          <w:sz w:val="32"/>
        </w:rPr>
        <w:t>本年支出1,629.78万元，</w:t>
      </w:r>
      <w:r>
        <w:rPr>
          <w:rFonts w:ascii="仿宋_GB2312" w:hAnsi="仿宋_GB2312" w:eastAsia="仿宋_GB2312"/>
          <w:b w:val="0"/>
          <w:sz w:val="32"/>
        </w:rPr>
        <w:t>其中：基本支出1,284.85万元，占78.84%；项目支出344.93万元，占21.16%；上缴上级支出0.00万元，占0.00%；经营支出0.00万元，占0.00%；对附属单位补助支出0.00万元，占0.00%。</w:t>
      </w:r>
    </w:p>
    <w:p w14:paraId="52DAAC26">
      <w:pPr>
        <w:spacing w:line="640" w:lineRule="exact"/>
        <w:ind w:firstLine="640"/>
        <w:jc w:val="both"/>
        <w:outlineLvl w:val="2"/>
      </w:pPr>
      <w:r>
        <w:rPr>
          <w:rFonts w:ascii="黑体" w:hAnsi="黑体" w:eastAsia="黑体"/>
          <w:sz w:val="32"/>
        </w:rPr>
        <w:t>四、财政拨款收入支出决算总体情况说明</w:t>
      </w:r>
    </w:p>
    <w:p w14:paraId="60CAF855">
      <w:pPr>
        <w:spacing w:line="580" w:lineRule="exact"/>
        <w:ind w:firstLine="640"/>
        <w:jc w:val="both"/>
      </w:pPr>
      <w:r>
        <w:rPr>
          <w:rFonts w:ascii="仿宋_GB2312" w:hAnsi="仿宋_GB2312" w:eastAsia="仿宋_GB2312"/>
          <w:b/>
          <w:sz w:val="32"/>
        </w:rPr>
        <w:t>2024年度财政拨款收入总计1,589.02万元，</w:t>
      </w:r>
      <w:r>
        <w:rPr>
          <w:rFonts w:ascii="仿宋_GB2312" w:hAnsi="仿宋_GB2312" w:eastAsia="仿宋_GB2312"/>
          <w:b w:val="0"/>
          <w:sz w:val="32"/>
        </w:rPr>
        <w:t>其中：年初财政拨款结转和结余20.36万元，本年财政拨款收入1,568.67万元。</w:t>
      </w:r>
      <w:r>
        <w:rPr>
          <w:rFonts w:ascii="仿宋_GB2312" w:hAnsi="仿宋_GB2312" w:eastAsia="仿宋_GB2312"/>
          <w:b/>
          <w:sz w:val="32"/>
        </w:rPr>
        <w:t>财政拨款支出总计1,589.02万元，</w:t>
      </w:r>
      <w:r>
        <w:rPr>
          <w:rFonts w:ascii="仿宋_GB2312" w:hAnsi="仿宋_GB2312" w:eastAsia="仿宋_GB2312"/>
          <w:b w:val="0"/>
          <w:sz w:val="32"/>
        </w:rPr>
        <w:t>其中：年末财政拨款结转和结余20.36万元，本年财政拨款支出1,568.67万元。</w:t>
      </w:r>
    </w:p>
    <w:p w14:paraId="5E18F7B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减少111.39万元，下降6.55%，主要原因是：本年度政法专项绩效减少，导致财政拨款收入支出减少。</w:t>
      </w:r>
      <w:r>
        <w:rPr>
          <w:rFonts w:ascii="仿宋_GB2312" w:hAnsi="仿宋_GB2312" w:eastAsia="仿宋_GB2312"/>
          <w:b/>
          <w:sz w:val="32"/>
        </w:rPr>
        <w:t>与年初预算相比，</w:t>
      </w:r>
      <w:r>
        <w:rPr>
          <w:rFonts w:ascii="仿宋_GB2312" w:hAnsi="仿宋_GB2312" w:eastAsia="仿宋_GB2312"/>
          <w:b w:val="0"/>
          <w:sz w:val="32"/>
        </w:rPr>
        <w:t>年初预算数1,327.40万元，决算数1,589.02万元，预决算差异率19.71%，主要原因是：一是本年在职人员工资调薪，社保基数调整等相关人员经费增加，年中新增书记员相关经费；二是本年政法专项绩效与第二批中央政法转移支付资金未纳入年初预算，年中追加政法专项绩效与中央政法转移支付资金。</w:t>
      </w:r>
    </w:p>
    <w:p w14:paraId="15FC4CE0">
      <w:pPr>
        <w:spacing w:line="640" w:lineRule="exact"/>
        <w:ind w:firstLine="640"/>
        <w:jc w:val="both"/>
        <w:outlineLvl w:val="2"/>
      </w:pPr>
      <w:r>
        <w:rPr>
          <w:rFonts w:ascii="黑体" w:hAnsi="黑体" w:eastAsia="黑体"/>
          <w:sz w:val="32"/>
        </w:rPr>
        <w:t>五、一般公共预算财政拨款支出决算情况说明</w:t>
      </w:r>
    </w:p>
    <w:p w14:paraId="0DBF042A">
      <w:pPr>
        <w:spacing w:line="640" w:lineRule="exact"/>
        <w:ind w:firstLine="640"/>
        <w:jc w:val="both"/>
        <w:outlineLvl w:val="3"/>
      </w:pPr>
      <w:r>
        <w:rPr>
          <w:rFonts w:ascii="楷体_GB2312" w:hAnsi="楷体_GB2312" w:eastAsia="楷体_GB2312"/>
          <w:b/>
          <w:sz w:val="32"/>
        </w:rPr>
        <w:t>（一）一般公共预算财政拨款支出决算总体情况</w:t>
      </w:r>
    </w:p>
    <w:p w14:paraId="24B42A28">
      <w:pPr>
        <w:spacing w:line="580" w:lineRule="exact"/>
        <w:ind w:firstLine="640"/>
        <w:jc w:val="both"/>
      </w:pPr>
      <w:r>
        <w:rPr>
          <w:rFonts w:ascii="仿宋_GB2312" w:hAnsi="仿宋_GB2312" w:eastAsia="仿宋_GB2312"/>
          <w:b/>
          <w:sz w:val="32"/>
        </w:rPr>
        <w:t>2024年度一般公共预算财政拨款支出1,568.67万元，</w:t>
      </w:r>
      <w:r>
        <w:rPr>
          <w:rFonts w:ascii="仿宋_GB2312" w:hAnsi="仿宋_GB2312" w:eastAsia="仿宋_GB2312"/>
          <w:b w:val="0"/>
          <w:sz w:val="32"/>
        </w:rPr>
        <w:t>占本年支出合计的96.25%。</w:t>
      </w:r>
      <w:r>
        <w:rPr>
          <w:rFonts w:ascii="仿宋_GB2312" w:hAnsi="仿宋_GB2312" w:eastAsia="仿宋_GB2312"/>
          <w:b/>
          <w:sz w:val="32"/>
        </w:rPr>
        <w:t>与上年相比，</w:t>
      </w:r>
      <w:r>
        <w:rPr>
          <w:rFonts w:ascii="仿宋_GB2312" w:hAnsi="仿宋_GB2312" w:eastAsia="仿宋_GB2312"/>
          <w:b w:val="0"/>
          <w:sz w:val="32"/>
        </w:rPr>
        <w:t>减少111.39万元，下降6.63%，主要原因是：本年度政法专项绩效较上年减少。</w:t>
      </w:r>
      <w:r>
        <w:rPr>
          <w:rFonts w:ascii="仿宋_GB2312" w:hAnsi="仿宋_GB2312" w:eastAsia="仿宋_GB2312"/>
          <w:b/>
          <w:sz w:val="32"/>
        </w:rPr>
        <w:t>与年初预算相比,</w:t>
      </w:r>
      <w:r>
        <w:rPr>
          <w:rFonts w:ascii="仿宋_GB2312" w:hAnsi="仿宋_GB2312" w:eastAsia="仿宋_GB2312"/>
          <w:b w:val="0"/>
          <w:sz w:val="32"/>
        </w:rPr>
        <w:t>年初预算数1,327.40万元，决算数1,568.67万元，预决算差异率18.18%，主要原因是：一是本年在职人员工资调薪，社保基数调整等相关人员经费增加，年中新增书记员相关经费；二是本年政法专项绩效与第二批中央政法转移支付资金未纳入年初预算，年中追加政法专项绩效与中央政法转移支付资金。</w:t>
      </w:r>
    </w:p>
    <w:p w14:paraId="7830858D">
      <w:pPr>
        <w:spacing w:line="640" w:lineRule="exact"/>
        <w:ind w:firstLine="640"/>
        <w:jc w:val="both"/>
        <w:outlineLvl w:val="3"/>
      </w:pPr>
      <w:r>
        <w:rPr>
          <w:rFonts w:ascii="楷体_GB2312" w:hAnsi="楷体_GB2312" w:eastAsia="楷体_GB2312"/>
          <w:b/>
          <w:sz w:val="32"/>
        </w:rPr>
        <w:t>（二）一般公共预算财政拨款支出决算结构情况</w:t>
      </w:r>
    </w:p>
    <w:p w14:paraId="50152805">
      <w:pPr>
        <w:spacing w:line="580" w:lineRule="exact"/>
        <w:ind w:firstLine="640"/>
        <w:jc w:val="both"/>
      </w:pPr>
      <w:r>
        <w:rPr>
          <w:rFonts w:ascii="仿宋_GB2312" w:hAnsi="仿宋_GB2312" w:eastAsia="仿宋_GB2312"/>
          <w:b w:val="0"/>
          <w:sz w:val="32"/>
        </w:rPr>
        <w:t>1.公共安全支出(类)1,377.21万元,占87.79%。</w:t>
      </w:r>
    </w:p>
    <w:p w14:paraId="15B4CDAC">
      <w:pPr>
        <w:spacing w:line="580" w:lineRule="exact"/>
        <w:ind w:firstLine="640"/>
        <w:jc w:val="both"/>
      </w:pPr>
      <w:r>
        <w:rPr>
          <w:rFonts w:ascii="仿宋_GB2312" w:hAnsi="仿宋_GB2312" w:eastAsia="仿宋_GB2312"/>
          <w:b w:val="0"/>
          <w:sz w:val="32"/>
        </w:rPr>
        <w:t>2.社会保障和就业支出(类)191.46万元,占12.21%。</w:t>
      </w:r>
    </w:p>
    <w:p w14:paraId="1472F573">
      <w:pPr>
        <w:spacing w:line="640" w:lineRule="exact"/>
        <w:ind w:firstLine="640"/>
        <w:jc w:val="both"/>
        <w:outlineLvl w:val="3"/>
      </w:pPr>
      <w:r>
        <w:rPr>
          <w:rFonts w:ascii="楷体_GB2312" w:hAnsi="楷体_GB2312" w:eastAsia="楷体_GB2312"/>
          <w:b/>
          <w:sz w:val="32"/>
        </w:rPr>
        <w:t>（三）一般公共预算财政拨款支出决算具体情况</w:t>
      </w:r>
    </w:p>
    <w:p w14:paraId="7E87C35A">
      <w:pPr>
        <w:spacing w:line="580" w:lineRule="exact"/>
        <w:ind w:firstLine="640"/>
        <w:jc w:val="both"/>
      </w:pPr>
      <w:r>
        <w:rPr>
          <w:rFonts w:ascii="仿宋_GB2312" w:hAnsi="仿宋_GB2312" w:eastAsia="仿宋_GB2312"/>
          <w:b w:val="0"/>
          <w:sz w:val="32"/>
        </w:rPr>
        <w:t>1.公共安全支出(类)检察(款)行政运行(项):支出决算数为873.79万元，比上年决算减少55.71万元，下降5.99%,主要原因是：本年度在职人员转退休，故人员经费减少。</w:t>
      </w:r>
    </w:p>
    <w:p w14:paraId="10A91198">
      <w:pPr>
        <w:spacing w:line="580" w:lineRule="exact"/>
        <w:ind w:firstLine="640"/>
        <w:jc w:val="both"/>
      </w:pPr>
      <w:r>
        <w:rPr>
          <w:rFonts w:ascii="仿宋_GB2312" w:hAnsi="仿宋_GB2312" w:eastAsia="仿宋_GB2312"/>
          <w:b w:val="0"/>
          <w:sz w:val="32"/>
        </w:rPr>
        <w:t>2.公共安全支出(类)检察(款)一般行政管理事务(项):支出决算数为19.28万元，比上年决算减少108.12万元，下降84.87%,主要原因是：本年政法专项绩效较上年减少。</w:t>
      </w:r>
    </w:p>
    <w:p w14:paraId="0FE0AF0A">
      <w:pPr>
        <w:spacing w:line="580" w:lineRule="exact"/>
        <w:ind w:firstLine="640"/>
        <w:jc w:val="both"/>
      </w:pPr>
      <w:r>
        <w:rPr>
          <w:rFonts w:ascii="仿宋_GB2312" w:hAnsi="仿宋_GB2312" w:eastAsia="仿宋_GB2312"/>
          <w:b w:val="0"/>
          <w:sz w:val="32"/>
        </w:rPr>
        <w:t>3.公共安全支出(类)检察(款)检察监督(项):支出决算数为8.20万元，比上年决算增加8.20万元，增长100.00%,主要原因是：本年度增加第一批政法专项绩效。</w:t>
      </w:r>
    </w:p>
    <w:p w14:paraId="456F0601">
      <w:pPr>
        <w:spacing w:line="580" w:lineRule="exact"/>
        <w:ind w:firstLine="640"/>
        <w:jc w:val="both"/>
      </w:pPr>
      <w:r>
        <w:rPr>
          <w:rFonts w:ascii="仿宋_GB2312" w:hAnsi="仿宋_GB2312" w:eastAsia="仿宋_GB2312"/>
          <w:b w:val="0"/>
          <w:sz w:val="32"/>
        </w:rPr>
        <w:t>4.公共安全支出(类)检察(款)事业运行(项):支出决算数为219.60万元，比上年决算增加125.14万元，增长132.48%,主要原因是：本年书记员工资调薪，新增书记员，社保基数调整等相关人员经费增加。</w:t>
      </w:r>
    </w:p>
    <w:p w14:paraId="7503700C">
      <w:pPr>
        <w:spacing w:line="580" w:lineRule="exact"/>
        <w:ind w:firstLine="640"/>
        <w:jc w:val="both"/>
      </w:pPr>
      <w:r>
        <w:rPr>
          <w:rFonts w:ascii="仿宋_GB2312" w:hAnsi="仿宋_GB2312" w:eastAsia="仿宋_GB2312"/>
          <w:b w:val="0"/>
          <w:sz w:val="32"/>
        </w:rPr>
        <w:t>5.公共安全支出(类)检察(款)其他检察支出(项):支出决算数为256.34万元，比上年决算减少39.40万元，下降13.32%,主要原因是：本年中央政法转移支付资金较上年有所减少。</w:t>
      </w:r>
    </w:p>
    <w:p w14:paraId="5F3A5421">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6.社会保障和就业支出(类)行政事业单位养老支出(款)行政单位离退休(项):支出决算数为39.55万元，比上年决算减少14.20万元，下降26.42%,主要原因是：本年度新增退休死亡人员，退休费较上年减少。</w:t>
      </w:r>
    </w:p>
    <w:p w14:paraId="1932119F">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108.30万元，比上年决算增加7.87万元，增长7.84%,主要原因是：新增在职书记员，养老缴费基数上涨，相应支出增加。</w:t>
      </w:r>
    </w:p>
    <w:p w14:paraId="03D54768">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8.社会保障和就业支出(类)行政事业单位养老支出(款)机关事业单位职业年金缴费支出(项):支出决算数为5.80万元，比上年决算增加3.97万元，增长216.94%,主要原因是：本年在职转退休，职业年金缴费支出增加。</w:t>
      </w:r>
    </w:p>
    <w:p w14:paraId="4EEAEA49">
      <w:pPr>
        <w:spacing w:line="580" w:lineRule="exact"/>
        <w:ind w:firstLine="640"/>
        <w:jc w:val="both"/>
      </w:pPr>
      <w:r>
        <w:rPr>
          <w:rFonts w:ascii="仿宋_GB2312" w:hAnsi="仿宋_GB2312" w:eastAsia="仿宋_GB2312"/>
          <w:b w:val="0"/>
          <w:sz w:val="32"/>
        </w:rPr>
        <w:t>9.社会保障和就业支出(类)抚恤(款)死亡抚恤(项):支出决算数为37.80万元，比上年决算减少37.21万元，下降49.61%,主要原因是：本年新增死亡人员较上年减少，死亡抚恤支出较上年减少。</w:t>
      </w:r>
    </w:p>
    <w:p w14:paraId="66F3421C">
      <w:pPr>
        <w:spacing w:line="580" w:lineRule="exact"/>
        <w:ind w:firstLine="640"/>
        <w:jc w:val="both"/>
      </w:pPr>
      <w:r>
        <w:rPr>
          <w:rFonts w:ascii="仿宋_GB2312" w:hAnsi="仿宋_GB2312" w:eastAsia="仿宋_GB2312"/>
          <w:b w:val="0"/>
          <w:sz w:val="32"/>
        </w:rPr>
        <w:t>10.住房保障支出(类)住房改革支出(款)住房公积金(项):支出决算数为0.00万元，比上年决算减少1.95万元，下降100.00%,主要原因是：功能科目调整，住房公积金上年度单独列支，本年调整至主科目列支，导致经费较上年减少。</w:t>
      </w:r>
    </w:p>
    <w:p w14:paraId="6976F05B">
      <w:pPr>
        <w:spacing w:line="640" w:lineRule="exact"/>
        <w:ind w:firstLine="640"/>
        <w:jc w:val="both"/>
        <w:outlineLvl w:val="2"/>
      </w:pPr>
      <w:r>
        <w:rPr>
          <w:rFonts w:ascii="黑体" w:hAnsi="黑体" w:eastAsia="黑体"/>
          <w:sz w:val="32"/>
        </w:rPr>
        <w:t>六、一般公共预算财政拨款基本支出决算情况说明</w:t>
      </w:r>
    </w:p>
    <w:p w14:paraId="645A3811">
      <w:pPr>
        <w:spacing w:line="580" w:lineRule="exact"/>
        <w:ind w:firstLine="640"/>
        <w:jc w:val="both"/>
      </w:pPr>
      <w:r>
        <w:rPr>
          <w:rFonts w:ascii="仿宋_GB2312" w:hAnsi="仿宋_GB2312" w:eastAsia="仿宋_GB2312"/>
          <w:b w:val="0"/>
          <w:sz w:val="32"/>
        </w:rPr>
        <w:t>2024年度一般公共预算财政拨款基本支出1,284.85万元，其中：</w:t>
      </w:r>
      <w:r>
        <w:rPr>
          <w:rFonts w:ascii="仿宋_GB2312" w:hAnsi="仿宋_GB2312" w:eastAsia="仿宋_GB2312"/>
          <w:b/>
          <w:sz w:val="32"/>
        </w:rPr>
        <w:t>人员经费1,242.94万元，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14A441FE">
      <w:pPr>
        <w:spacing w:line="580" w:lineRule="exact"/>
        <w:ind w:firstLine="640"/>
        <w:jc w:val="both"/>
      </w:pPr>
      <w:r>
        <w:rPr>
          <w:rFonts w:ascii="仿宋_GB2312" w:hAnsi="仿宋_GB2312" w:eastAsia="仿宋_GB2312"/>
          <w:b/>
          <w:sz w:val="32"/>
        </w:rPr>
        <w:t>公用经费41.91万元，</w:t>
      </w:r>
      <w:r>
        <w:rPr>
          <w:rFonts w:ascii="仿宋_GB2312" w:hAnsi="仿宋_GB2312" w:eastAsia="仿宋_GB2312"/>
          <w:b w:val="0"/>
          <w:sz w:val="32"/>
        </w:rPr>
        <w:t>包括：取暖费、被装购置费、委托业务费、工会经费、福利费、公务用车运行维护费、其他商品和服务支出。</w:t>
      </w:r>
    </w:p>
    <w:p w14:paraId="38DB249A">
      <w:pPr>
        <w:spacing w:line="640" w:lineRule="exact"/>
        <w:ind w:firstLine="640"/>
        <w:jc w:val="both"/>
        <w:outlineLvl w:val="2"/>
      </w:pPr>
      <w:r>
        <w:rPr>
          <w:rFonts w:ascii="黑体" w:hAnsi="黑体" w:eastAsia="黑体"/>
          <w:sz w:val="32"/>
        </w:rPr>
        <w:t>七、政府性基金预算财政拨款收入支出决算情况说明</w:t>
      </w:r>
    </w:p>
    <w:p w14:paraId="05C5502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6956759">
      <w:pPr>
        <w:spacing w:line="640" w:lineRule="exact"/>
        <w:ind w:firstLine="640"/>
        <w:jc w:val="both"/>
        <w:outlineLvl w:val="2"/>
      </w:pPr>
      <w:r>
        <w:rPr>
          <w:rFonts w:ascii="黑体" w:hAnsi="黑体" w:eastAsia="黑体"/>
          <w:sz w:val="32"/>
        </w:rPr>
        <w:t>八、国有资本经营预算财政拨款收入支出决算情况说明</w:t>
      </w:r>
    </w:p>
    <w:p w14:paraId="008C182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E36531">
      <w:pPr>
        <w:spacing w:line="640" w:lineRule="exact"/>
        <w:ind w:firstLine="640"/>
        <w:jc w:val="both"/>
        <w:outlineLvl w:val="2"/>
      </w:pPr>
      <w:r>
        <w:rPr>
          <w:rFonts w:ascii="黑体" w:hAnsi="黑体" w:eastAsia="黑体"/>
          <w:sz w:val="32"/>
        </w:rPr>
        <w:t>九、财政拨款“三公”经费支出决算情况说明</w:t>
      </w:r>
    </w:p>
    <w:p w14:paraId="556813D9">
      <w:pPr>
        <w:spacing w:line="580" w:lineRule="exact"/>
        <w:ind w:firstLine="640"/>
        <w:jc w:val="both"/>
      </w:pPr>
      <w:r>
        <w:rPr>
          <w:rFonts w:ascii="仿宋_GB2312" w:hAnsi="仿宋_GB2312" w:eastAsia="仿宋_GB2312"/>
          <w:b/>
          <w:sz w:val="32"/>
        </w:rPr>
        <w:t>2024年度财政拨款“三公”经费支出31.64万元，</w:t>
      </w:r>
      <w:r>
        <w:rPr>
          <w:rFonts w:ascii="仿宋_GB2312" w:hAnsi="仿宋_GB2312" w:eastAsia="仿宋_GB2312"/>
          <w:b w:val="0"/>
          <w:sz w:val="32"/>
        </w:rPr>
        <w:t>比上年减少1.11万元，下降3.39%，主要原因是：严格落实中央</w:t>
      </w:r>
      <w:bookmarkStart w:id="0" w:name="_GoBack"/>
      <w:r>
        <w:rPr>
          <w:rFonts w:ascii="仿宋_GB2312" w:hAnsi="仿宋_GB2312" w:eastAsia="仿宋_GB2312"/>
          <w:b w:val="0"/>
          <w:sz w:val="32"/>
        </w:rPr>
        <w:t>八项规定</w:t>
      </w:r>
      <w:bookmarkEnd w:id="0"/>
      <w:r>
        <w:rPr>
          <w:rFonts w:ascii="仿宋_GB2312" w:hAnsi="仿宋_GB2312" w:eastAsia="仿宋_GB2312"/>
          <w:b w:val="0"/>
          <w:sz w:val="32"/>
        </w:rPr>
        <w:t>精神，厉行节约，减少公务用车运行维护费。其中：因公出国（境）费支出0.00万元，占0.00%，比上年增加0.00万元，增长0.00%，主要原因是：2023年与2024年均未安排因公出国（境）费支出。公务用车购置及运行维护费支出31.64万元，占100.00%，比上年减少1.11万元，下降3.39%，主要原因是：严格落实中央八项规定精神，厉行节约，减少公务用车运行维护费。公务接待费支出0.00万元，占0.00%，比上年增加0.00万元，增长0.00%，主要原因是：2023年与2024年均未安排公务接待费支出。</w:t>
      </w:r>
    </w:p>
    <w:p w14:paraId="2CBA0D2A">
      <w:pPr>
        <w:spacing w:line="580" w:lineRule="exact"/>
        <w:ind w:firstLine="640"/>
        <w:jc w:val="both"/>
      </w:pPr>
      <w:r>
        <w:rPr>
          <w:rFonts w:ascii="仿宋_GB2312" w:hAnsi="仿宋_GB2312" w:eastAsia="仿宋_GB2312"/>
          <w:b/>
          <w:sz w:val="32"/>
        </w:rPr>
        <w:t>具体情况如下：</w:t>
      </w:r>
    </w:p>
    <w:p w14:paraId="407E6BE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70F2D52">
      <w:pPr>
        <w:spacing w:line="580" w:lineRule="exact"/>
        <w:ind w:firstLine="640"/>
        <w:jc w:val="both"/>
      </w:pPr>
      <w:r>
        <w:rPr>
          <w:rFonts w:ascii="仿宋_GB2312" w:hAnsi="仿宋_GB2312" w:eastAsia="仿宋_GB2312"/>
          <w:b w:val="0"/>
          <w:sz w:val="32"/>
        </w:rPr>
        <w:t>公务用车购置及运行维护费31.64万元，其中：公务用车购置费23.96万元，公务用车运行维护费7.68万元。公务用车运行维护费开支内容包括车辆加油费、维修费、保险费、审车费、过路费等。公务用车购置数2辆，公务用车保有量13辆。国有资产占用情况中固定资产车辆13辆，与公务用车保有量差异原因是：本单位固定资产车辆与公务用车保有量一致无差异。</w:t>
      </w:r>
    </w:p>
    <w:p w14:paraId="1164C21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CD13CB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31.64万元，决算数31.64万元，预决算差异率0.00%，主要原因是：严格按照预算执行，预决算无差异。其中：因公出国（境）费全年预算数0.00万元，决算数0.00万元，预决算差异率0.00%，主要原因是：本单位无因公出国（境）费。公务用车购置费全年预算数23.96万元，决算数23.96万元，预决算差异率0.00%，主要原因是：严格按照预算执行，预决算无差异。公务用车运行维护费全年预算数7.68万元，决算数7.68万元，预决算差异率0.00%，主要原因是：严格按照预算执行，预决算无差异。公务接待费全年预算数0.00万元，决算数0.00万元，预决算差异率0.00%，主要原因是：本单位无公务接待费。</w:t>
      </w:r>
    </w:p>
    <w:p w14:paraId="408BA861">
      <w:pPr>
        <w:spacing w:line="640" w:lineRule="exact"/>
        <w:ind w:firstLine="640"/>
        <w:jc w:val="both"/>
        <w:outlineLvl w:val="2"/>
      </w:pPr>
      <w:r>
        <w:rPr>
          <w:rFonts w:ascii="黑体" w:hAnsi="黑体" w:eastAsia="黑体"/>
          <w:sz w:val="32"/>
        </w:rPr>
        <w:t>十、其他重要事项的情况说明</w:t>
      </w:r>
    </w:p>
    <w:p w14:paraId="01881DF6">
      <w:pPr>
        <w:spacing w:line="640" w:lineRule="exact"/>
        <w:ind w:firstLine="640"/>
        <w:jc w:val="both"/>
        <w:outlineLvl w:val="3"/>
      </w:pPr>
      <w:r>
        <w:rPr>
          <w:rFonts w:ascii="楷体_GB2312" w:hAnsi="楷体_GB2312" w:eastAsia="楷体_GB2312"/>
          <w:b/>
          <w:sz w:val="32"/>
        </w:rPr>
        <w:t>（一）机关运行经费及公用经费支出情况</w:t>
      </w:r>
    </w:p>
    <w:p w14:paraId="73B6F010">
      <w:pPr>
        <w:spacing w:line="580" w:lineRule="exact"/>
        <w:ind w:firstLine="640"/>
        <w:jc w:val="both"/>
      </w:pPr>
      <w:r>
        <w:rPr>
          <w:rFonts w:ascii="仿宋_GB2312" w:hAnsi="仿宋_GB2312" w:eastAsia="仿宋_GB2312"/>
          <w:b w:val="0"/>
          <w:sz w:val="32"/>
        </w:rPr>
        <w:t>2024年度阿克陶县人民检察院（行政单位和参照公务员法管理事业单位）机关运行经费支出41.91万元，比上年增加0.58万元，增长1.40%，主要原因是：本年业务量增加，机关运行经费支出增加。</w:t>
      </w:r>
    </w:p>
    <w:p w14:paraId="1B3E2CB4">
      <w:pPr>
        <w:spacing w:line="640" w:lineRule="exact"/>
        <w:ind w:firstLine="640"/>
        <w:jc w:val="both"/>
        <w:outlineLvl w:val="3"/>
      </w:pPr>
      <w:r>
        <w:rPr>
          <w:rFonts w:ascii="楷体_GB2312" w:hAnsi="楷体_GB2312" w:eastAsia="楷体_GB2312"/>
          <w:b/>
          <w:sz w:val="32"/>
        </w:rPr>
        <w:t>（二）政府采购情况</w:t>
      </w:r>
    </w:p>
    <w:p w14:paraId="1CD7B54D">
      <w:pPr>
        <w:spacing w:line="580" w:lineRule="exact"/>
        <w:ind w:firstLine="640"/>
        <w:jc w:val="both"/>
      </w:pPr>
      <w:r>
        <w:rPr>
          <w:rFonts w:ascii="仿宋_GB2312" w:hAnsi="仿宋_GB2312" w:eastAsia="仿宋_GB2312"/>
          <w:b w:val="0"/>
          <w:sz w:val="32"/>
        </w:rPr>
        <w:t>2024年度政府采购支出总额114.65万元，其中：政府采购货物支出23.96万元、政府采购工程支出24.00万元、政府采购服务支出66.69万元。</w:t>
      </w:r>
    </w:p>
    <w:p w14:paraId="48C6EE78">
      <w:pPr>
        <w:spacing w:line="580" w:lineRule="exact"/>
        <w:ind w:firstLine="640"/>
        <w:jc w:val="both"/>
      </w:pPr>
      <w:r>
        <w:rPr>
          <w:rFonts w:ascii="仿宋_GB2312" w:hAnsi="仿宋_GB2312" w:eastAsia="仿宋_GB2312"/>
          <w:b w:val="0"/>
          <w:sz w:val="32"/>
        </w:rPr>
        <w:t>授予中小企业合同金额87.49万元，占政府采购支出总额的76.31%，其中：授予小微企业合同金额86.54万元，占政府采购支出总额的75.48%。</w:t>
      </w:r>
    </w:p>
    <w:p w14:paraId="447F0732">
      <w:pPr>
        <w:spacing w:line="640" w:lineRule="exact"/>
        <w:ind w:firstLine="640"/>
        <w:jc w:val="both"/>
        <w:outlineLvl w:val="3"/>
      </w:pPr>
      <w:r>
        <w:rPr>
          <w:rFonts w:ascii="楷体_GB2312" w:hAnsi="楷体_GB2312" w:eastAsia="楷体_GB2312"/>
          <w:b/>
          <w:sz w:val="32"/>
        </w:rPr>
        <w:t>（三）国有资产占用情况说明</w:t>
      </w:r>
    </w:p>
    <w:p w14:paraId="68E267DB">
      <w:pPr>
        <w:spacing w:line="580" w:lineRule="exact"/>
        <w:ind w:firstLine="640"/>
        <w:jc w:val="both"/>
      </w:pPr>
      <w:r>
        <w:rPr>
          <w:rFonts w:ascii="仿宋_GB2312" w:hAnsi="仿宋_GB2312" w:eastAsia="仿宋_GB2312"/>
          <w:b w:val="0"/>
          <w:sz w:val="32"/>
        </w:rPr>
        <w:t>截至2024年12月31日，房屋4,592.72平方米，价值733.03万元。车辆13辆，价值230.93万元，其中：副部（省）级及以上领导用车0辆、主要负责人用车0辆、机要通信用车0辆、应急保障用车0辆、执法执勤用车10辆、特种专业技术用车0辆、离退休干部服务用车0辆、其他用车3辆，其他用车主要是：一般公务用车。单价100万元（含）以上设备（不含车辆）0台（套）。</w:t>
      </w:r>
    </w:p>
    <w:p w14:paraId="1939F18A">
      <w:pPr>
        <w:spacing w:line="640" w:lineRule="exact"/>
        <w:ind w:firstLine="640"/>
        <w:jc w:val="both"/>
        <w:outlineLvl w:val="2"/>
      </w:pPr>
      <w:r>
        <w:rPr>
          <w:rFonts w:ascii="黑体" w:hAnsi="黑体" w:eastAsia="黑体"/>
          <w:sz w:val="32"/>
        </w:rPr>
        <w:t>十一、预算绩效的情况说明</w:t>
      </w:r>
    </w:p>
    <w:p w14:paraId="320AA5A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1,683.42万元，实际执行总额1,629.79万元；预算绩效评价项目2个，全年预算数78.12万元，全年执行数78.12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高度重视，加强领导，精心组织，逐步推开，实现编制预算绩效目标全覆盖。积极开展绩效跟踪监控，及时纠偏，确保绩效目标实现；财政管理部门对各部门绩效自评工作进行指导、监督、检查，积极运用评价结果，提高资金使用效率。具体附整体支出绩效自评表，项目支出绩效自评表和评价报告。</w:t>
      </w:r>
    </w:p>
    <w:p w14:paraId="3B3A31F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657CEF6">
        <w:tblPrEx>
          <w:tblCellMar>
            <w:top w:w="0" w:type="dxa"/>
            <w:left w:w="108" w:type="dxa"/>
            <w:bottom w:w="0" w:type="dxa"/>
            <w:right w:w="108" w:type="dxa"/>
          </w:tblCellMar>
        </w:tblPrEx>
        <w:tc>
          <w:tcPr>
            <w:tcW w:w="8840" w:type="dxa"/>
            <w:gridSpan w:val="8"/>
            <w:vAlign w:val="center"/>
          </w:tcPr>
          <w:p w14:paraId="3D67CB88">
            <w:pPr>
              <w:jc w:val="center"/>
            </w:pPr>
            <w:r>
              <w:rPr>
                <w:rFonts w:ascii="宋体" w:hAnsi="宋体" w:eastAsia="宋体"/>
                <w:sz w:val="24"/>
              </w:rPr>
              <w:t>单位整体支出绩效自评表</w:t>
            </w:r>
          </w:p>
        </w:tc>
      </w:tr>
      <w:tr w14:paraId="0B15B50C">
        <w:tblPrEx>
          <w:tblCellMar>
            <w:top w:w="0" w:type="dxa"/>
            <w:left w:w="108" w:type="dxa"/>
            <w:bottom w:w="0" w:type="dxa"/>
            <w:right w:w="108" w:type="dxa"/>
          </w:tblCellMar>
        </w:tblPrEx>
        <w:tc>
          <w:tcPr>
            <w:tcW w:w="8840" w:type="dxa"/>
            <w:gridSpan w:val="8"/>
            <w:vAlign w:val="center"/>
          </w:tcPr>
          <w:p w14:paraId="62536A21">
            <w:pPr>
              <w:jc w:val="center"/>
            </w:pPr>
            <w:r>
              <w:rPr>
                <w:rFonts w:ascii="宋体" w:hAnsi="宋体" w:eastAsia="宋体"/>
                <w:sz w:val="24"/>
              </w:rPr>
              <w:t>（2024年度）</w:t>
            </w:r>
          </w:p>
        </w:tc>
      </w:tr>
      <w:tr w14:paraId="228C3AA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9C5438">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61F77">
            <w:pPr>
              <w:jc w:val="center"/>
            </w:pPr>
            <w:r>
              <w:rPr>
                <w:rFonts w:ascii="宋体" w:hAnsi="宋体" w:eastAsia="宋体"/>
                <w:sz w:val="16"/>
              </w:rPr>
              <w:t>阿克陶县人民检察院</w:t>
            </w:r>
          </w:p>
        </w:tc>
      </w:tr>
      <w:tr w14:paraId="0DEAAC0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8DCB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C8719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D53DA7">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E05F8">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02BDD8">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DF6FE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41BD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6E98A">
            <w:pPr>
              <w:jc w:val="center"/>
            </w:pPr>
            <w:r>
              <w:rPr>
                <w:rFonts w:ascii="宋体" w:hAnsi="宋体" w:eastAsia="宋体"/>
                <w:sz w:val="16"/>
              </w:rPr>
              <w:t>得分</w:t>
            </w:r>
          </w:p>
        </w:tc>
      </w:tr>
      <w:tr w14:paraId="4B16E11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D9CB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8C02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E051C">
            <w:pPr>
              <w:jc w:val="center"/>
            </w:pPr>
            <w:r>
              <w:rPr>
                <w:rFonts w:ascii="宋体" w:hAnsi="宋体" w:eastAsia="宋体"/>
                <w:sz w:val="16"/>
              </w:rPr>
              <w:t>1,457.40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4D3D3B">
            <w:pPr>
              <w:jc w:val="center"/>
            </w:pPr>
            <w:r>
              <w:rPr>
                <w:rFonts w:ascii="宋体" w:hAnsi="宋体" w:eastAsia="宋体"/>
                <w:sz w:val="16"/>
              </w:rPr>
              <w:t>1,683.42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536D2">
            <w:pPr>
              <w:jc w:val="center"/>
            </w:pPr>
            <w:r>
              <w:rPr>
                <w:rFonts w:ascii="宋体" w:hAnsi="宋体" w:eastAsia="宋体"/>
                <w:sz w:val="16"/>
              </w:rPr>
              <w:t>1,629.79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97D77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9DA23C">
            <w:pPr>
              <w:jc w:val="center"/>
            </w:pPr>
            <w:r>
              <w:rPr>
                <w:rFonts w:ascii="宋体" w:hAnsi="宋体" w:eastAsia="宋体"/>
                <w:sz w:val="16"/>
              </w:rPr>
              <w:t>96.81%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163CA">
            <w:pPr>
              <w:jc w:val="center"/>
              <w:rPr>
                <w:rFonts w:hint="default" w:eastAsia="宋体"/>
                <w:lang w:val="en-US" w:eastAsia="zh-CN"/>
              </w:rPr>
            </w:pPr>
            <w:r>
              <w:rPr>
                <w:rFonts w:hint="eastAsia" w:ascii="宋体" w:hAnsi="宋体"/>
                <w:sz w:val="16"/>
                <w:lang w:val="en-US" w:eastAsia="zh-CN"/>
              </w:rPr>
              <w:t>9.68</w:t>
            </w:r>
          </w:p>
        </w:tc>
      </w:tr>
      <w:tr w14:paraId="02B683C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7904E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553E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2718CE">
            <w:pPr>
              <w:jc w:val="center"/>
            </w:pPr>
            <w:r>
              <w:rPr>
                <w:rFonts w:ascii="宋体" w:hAnsi="宋体" w:eastAsia="宋体"/>
                <w:sz w:val="16"/>
              </w:rPr>
              <w:t>175.32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BDF49">
            <w:pPr>
              <w:jc w:val="center"/>
            </w:pPr>
            <w:r>
              <w:rPr>
                <w:rFonts w:ascii="宋体" w:hAnsi="宋体" w:eastAsia="宋体"/>
                <w:sz w:val="16"/>
              </w:rPr>
              <w:t>319.58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A934F">
            <w:pPr>
              <w:jc w:val="center"/>
            </w:pPr>
            <w:r>
              <w:rPr>
                <w:rFonts w:ascii="宋体" w:hAnsi="宋体" w:eastAsia="宋体"/>
                <w:sz w:val="16"/>
              </w:rPr>
              <w:t>283.82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1931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300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854622">
            <w:pPr>
              <w:jc w:val="center"/>
            </w:pPr>
            <w:r>
              <w:rPr>
                <w:rFonts w:ascii="宋体" w:hAnsi="宋体" w:eastAsia="宋体"/>
                <w:sz w:val="16"/>
              </w:rPr>
              <w:t>—</w:t>
            </w:r>
          </w:p>
        </w:tc>
      </w:tr>
      <w:tr w14:paraId="1D09999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9CEF3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146C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2B142">
            <w:pPr>
              <w:jc w:val="center"/>
            </w:pPr>
            <w:r>
              <w:rPr>
                <w:rFonts w:ascii="宋体" w:hAnsi="宋体" w:eastAsia="宋体"/>
                <w:sz w:val="16"/>
              </w:rPr>
              <w:t>1,152.08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E1C39">
            <w:pPr>
              <w:jc w:val="center"/>
            </w:pPr>
            <w:r>
              <w:rPr>
                <w:rFonts w:ascii="宋体" w:hAnsi="宋体" w:eastAsia="宋体"/>
                <w:sz w:val="16"/>
              </w:rPr>
              <w:t>1,302.72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A99AD">
            <w:pPr>
              <w:jc w:val="center"/>
            </w:pPr>
            <w:r>
              <w:rPr>
                <w:rFonts w:ascii="宋体" w:hAnsi="宋体" w:eastAsia="宋体"/>
                <w:sz w:val="16"/>
              </w:rPr>
              <w:t>1,284.85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9C4C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C2C32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3BBD4A">
            <w:pPr>
              <w:jc w:val="center"/>
            </w:pPr>
            <w:r>
              <w:rPr>
                <w:rFonts w:ascii="宋体" w:hAnsi="宋体" w:eastAsia="宋体"/>
                <w:sz w:val="16"/>
              </w:rPr>
              <w:t>—</w:t>
            </w:r>
          </w:p>
        </w:tc>
      </w:tr>
      <w:tr w14:paraId="5C15B5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75DF5F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023E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C7DBC6">
            <w:pPr>
              <w:jc w:val="center"/>
            </w:pPr>
            <w:r>
              <w:rPr>
                <w:rFonts w:ascii="宋体" w:hAnsi="宋体" w:eastAsia="宋体"/>
                <w:sz w:val="16"/>
              </w:rPr>
              <w:t>130.00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3BD47">
            <w:pPr>
              <w:jc w:val="center"/>
            </w:pPr>
            <w:r>
              <w:rPr>
                <w:rFonts w:ascii="宋体" w:hAnsi="宋体" w:eastAsia="宋体"/>
                <w:sz w:val="16"/>
              </w:rPr>
              <w:t>61.12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8CAB5D">
            <w:pPr>
              <w:jc w:val="center"/>
            </w:pPr>
            <w:r>
              <w:rPr>
                <w:rFonts w:ascii="宋体" w:hAnsi="宋体" w:eastAsia="宋体"/>
                <w:sz w:val="16"/>
              </w:rPr>
              <w:t>61.12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4D17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1BA30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636117">
            <w:pPr>
              <w:jc w:val="center"/>
            </w:pPr>
            <w:r>
              <w:rPr>
                <w:rFonts w:ascii="宋体" w:hAnsi="宋体" w:eastAsia="宋体"/>
                <w:sz w:val="16"/>
              </w:rPr>
              <w:t>—</w:t>
            </w:r>
          </w:p>
        </w:tc>
      </w:tr>
      <w:tr w14:paraId="5035630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A137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9A30A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74A5AA">
            <w:pPr>
              <w:jc w:val="center"/>
            </w:pPr>
            <w:r>
              <w:rPr>
                <w:rFonts w:ascii="宋体" w:hAnsi="宋体" w:eastAsia="宋体"/>
                <w:sz w:val="16"/>
              </w:rPr>
              <w:t>实际完成情况</w:t>
            </w:r>
          </w:p>
        </w:tc>
      </w:tr>
      <w:tr w14:paraId="08CE10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61F2127"/>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CD041">
            <w:pPr>
              <w:jc w:val="both"/>
            </w:pPr>
            <w:r>
              <w:rPr>
                <w:rFonts w:ascii="宋体" w:hAnsi="宋体" w:eastAsia="宋体"/>
                <w:sz w:val="16"/>
              </w:rPr>
              <w:t>1.持法治原则，检察监督更能动。主动强化服务大局的行动自觉，切实将监督重心放到提质量、增效率、强效果上来，坚持在办案中监督，在监督中办案，争取2024年度履行法律监督完成率达到100%。2.紧盯检察业务核心指标完成，依法履行审查逮捕，并保障批准逮捕准确率达100%，案件办结率达95%。3.全面提升法律监督质效，高水平推动各项检察工作落地见效，提高检察建议采纳率</w:t>
            </w:r>
            <w:r>
              <w:rPr>
                <w:rFonts w:hint="eastAsia" w:ascii="宋体" w:hAnsi="宋体"/>
                <w:sz w:val="16"/>
                <w:lang w:eastAsia="zh-CN"/>
              </w:rPr>
              <w:t>，</w:t>
            </w:r>
            <w:r>
              <w:rPr>
                <w:rFonts w:ascii="宋体" w:hAnsi="宋体" w:eastAsia="宋体"/>
                <w:sz w:val="16"/>
              </w:rPr>
              <w:t>做到有建议必采纳。4.用好“人民满意”这把标尺，立足“四大检察”“十大业务”为奋力开创和谐稳定的阿克陶创造良好的法治环境。</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27DEB7">
            <w:pPr>
              <w:jc w:val="both"/>
            </w:pPr>
            <w:r>
              <w:rPr>
                <w:rFonts w:ascii="宋体" w:hAnsi="宋体" w:eastAsia="宋体"/>
                <w:sz w:val="16"/>
              </w:rPr>
              <w:t>1.持法治原则，检察监督更能动。主动强化服务大局的行动自觉，切实将监督重心放到提质量、增效率、强效果上来，坚持在办案中监督，在监督中办案，,2024年度履行法律监督完成率达到100%。2.紧盯检察业务核心指标完成，依法履行审查逮捕，批准逮捕准确率达100%，案件办结率达97.88%。3.全面提升了法律监督质效，高水平推动了各项检察工作落地见效，提高了检察建议采纳率</w:t>
            </w:r>
            <w:r>
              <w:rPr>
                <w:rFonts w:hint="eastAsia" w:ascii="宋体" w:hAnsi="宋体"/>
                <w:sz w:val="16"/>
                <w:lang w:eastAsia="zh-CN"/>
              </w:rPr>
              <w:t>，</w:t>
            </w:r>
            <w:r>
              <w:rPr>
                <w:rFonts w:ascii="宋体" w:hAnsi="宋体" w:eastAsia="宋体"/>
                <w:sz w:val="16"/>
              </w:rPr>
              <w:t>做到了有建议必采纳。4.用好“人民满意”这把标尺，立足“四大检察”“十大业务”为奋力开创和谐稳定的阿克陶创造了良好的法治环境。</w:t>
            </w:r>
          </w:p>
        </w:tc>
      </w:tr>
      <w:tr w14:paraId="0180D15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ED70D">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149CE6">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A6C62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1412F">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3A530D">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92603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9E270F">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84D56">
            <w:pPr>
              <w:jc w:val="center"/>
            </w:pPr>
            <w:r>
              <w:rPr>
                <w:rFonts w:ascii="宋体" w:hAnsi="宋体" w:eastAsia="宋体"/>
                <w:sz w:val="16"/>
              </w:rPr>
              <w:t>得分</w:t>
            </w:r>
          </w:p>
        </w:tc>
      </w:tr>
      <w:tr w14:paraId="4763A3C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1FAEC">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0DF27">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057F66">
            <w:pPr>
              <w:jc w:val="center"/>
            </w:pPr>
            <w:r>
              <w:rPr>
                <w:rFonts w:ascii="宋体" w:hAnsi="宋体" w:eastAsia="宋体"/>
                <w:sz w:val="16"/>
              </w:rPr>
              <w:t>履行法律监督完成率（%）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A66524">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FD8E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3C50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A2B3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9487D">
            <w:pPr>
              <w:jc w:val="center"/>
            </w:pPr>
            <w:r>
              <w:rPr>
                <w:rFonts w:ascii="宋体" w:hAnsi="宋体" w:eastAsia="宋体"/>
                <w:sz w:val="16"/>
              </w:rPr>
              <w:t>20</w:t>
            </w:r>
          </w:p>
        </w:tc>
      </w:tr>
      <w:tr w14:paraId="4FB8912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CF42E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FE17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567905">
            <w:pPr>
              <w:jc w:val="center"/>
            </w:pPr>
            <w:r>
              <w:rPr>
                <w:rFonts w:ascii="宋体" w:hAnsi="宋体" w:eastAsia="宋体"/>
                <w:sz w:val="16"/>
              </w:rPr>
              <w:t>案件办结率（%）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1BF1B">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F2FCB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29175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D8B73">
            <w:pPr>
              <w:jc w:val="center"/>
            </w:pPr>
            <w:r>
              <w:rPr>
                <w:rFonts w:ascii="宋体" w:hAnsi="宋体" w:eastAsia="宋体"/>
                <w:sz w:val="16"/>
              </w:rPr>
              <w:t>97.88%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295CE">
            <w:pPr>
              <w:jc w:val="center"/>
            </w:pPr>
            <w:r>
              <w:rPr>
                <w:rFonts w:ascii="宋体" w:hAnsi="宋体" w:eastAsia="宋体"/>
                <w:sz w:val="16"/>
              </w:rPr>
              <w:t>30</w:t>
            </w:r>
          </w:p>
        </w:tc>
      </w:tr>
      <w:tr w14:paraId="37C76E2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45BA9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87B0A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DF2599">
            <w:pPr>
              <w:jc w:val="center"/>
            </w:pPr>
            <w:r>
              <w:rPr>
                <w:rFonts w:ascii="宋体" w:hAnsi="宋体" w:eastAsia="宋体"/>
                <w:sz w:val="16"/>
              </w:rPr>
              <w:t>批准逮捕准确率（%）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4C39B1">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2E4C7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6A227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D354D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8A3D6">
            <w:pPr>
              <w:jc w:val="center"/>
            </w:pPr>
            <w:r>
              <w:rPr>
                <w:rFonts w:ascii="宋体" w:hAnsi="宋体" w:eastAsia="宋体"/>
                <w:sz w:val="16"/>
              </w:rPr>
              <w:t>15</w:t>
            </w:r>
          </w:p>
        </w:tc>
      </w:tr>
      <w:tr w14:paraId="27D7046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D95F74">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CBA26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A838B">
            <w:pPr>
              <w:jc w:val="center"/>
            </w:pPr>
            <w:r>
              <w:rPr>
                <w:rFonts w:ascii="宋体" w:hAnsi="宋体" w:eastAsia="宋体"/>
                <w:sz w:val="16"/>
              </w:rPr>
              <w:t>举办法律宣讲次数（次）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87134D">
            <w:pPr>
              <w:jc w:val="center"/>
            </w:pPr>
            <w:r>
              <w:rPr>
                <w:rFonts w:ascii="宋体" w:hAnsi="宋体" w:eastAsia="宋体"/>
                <w:sz w:val="16"/>
              </w:rPr>
              <w:t>&gt;=20场次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C2BA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AC14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DCD16E">
            <w:pPr>
              <w:jc w:val="center"/>
            </w:pPr>
            <w:r>
              <w:rPr>
                <w:rFonts w:ascii="宋体" w:hAnsi="宋体" w:eastAsia="宋体"/>
                <w:sz w:val="16"/>
              </w:rPr>
              <w:t>45场次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B57A10">
            <w:pPr>
              <w:jc w:val="center"/>
            </w:pPr>
            <w:r>
              <w:rPr>
                <w:rFonts w:ascii="宋体" w:hAnsi="宋体" w:eastAsia="宋体"/>
                <w:sz w:val="16"/>
              </w:rPr>
              <w:t>15</w:t>
            </w:r>
          </w:p>
        </w:tc>
      </w:tr>
      <w:tr w14:paraId="71C3BD0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56E1E">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89977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50455D">
            <w:pPr>
              <w:jc w:val="center"/>
            </w:pPr>
            <w:r>
              <w:rPr>
                <w:rFonts w:ascii="宋体" w:hAnsi="宋体" w:eastAsia="宋体"/>
                <w:sz w:val="16"/>
              </w:rPr>
              <w:t>检察建议采纳率（%）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1B10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3CEC9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97138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2807CA">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F45F3E">
            <w:pPr>
              <w:jc w:val="center"/>
            </w:pPr>
            <w:r>
              <w:rPr>
                <w:rFonts w:ascii="宋体" w:hAnsi="宋体" w:eastAsia="宋体"/>
                <w:sz w:val="16"/>
              </w:rPr>
              <w:t>10</w:t>
            </w:r>
          </w:p>
        </w:tc>
      </w:tr>
    </w:tbl>
    <w:p w14:paraId="36FB69B3">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8"/>
        <w:gridCol w:w="618"/>
        <w:gridCol w:w="618"/>
        <w:gridCol w:w="618"/>
        <w:gridCol w:w="776"/>
        <w:gridCol w:w="631"/>
        <w:gridCol w:w="601"/>
        <w:gridCol w:w="631"/>
      </w:tblGrid>
      <w:tr w14:paraId="3A9CA5D8">
        <w:tblPrEx>
          <w:tblCellMar>
            <w:top w:w="0" w:type="dxa"/>
            <w:left w:w="108" w:type="dxa"/>
            <w:bottom w:w="0" w:type="dxa"/>
            <w:right w:w="108" w:type="dxa"/>
          </w:tblCellMar>
        </w:tblPrEx>
        <w:tc>
          <w:tcPr>
            <w:tcW w:w="8848" w:type="dxa"/>
            <w:gridSpan w:val="14"/>
            <w:vAlign w:val="center"/>
          </w:tcPr>
          <w:p w14:paraId="6AF2C0C6">
            <w:pPr>
              <w:jc w:val="center"/>
            </w:pPr>
            <w:r>
              <w:rPr>
                <w:rFonts w:ascii="宋体" w:hAnsi="宋体" w:eastAsia="宋体"/>
                <w:sz w:val="24"/>
              </w:rPr>
              <w:t>项目支出绩效自评表</w:t>
            </w:r>
          </w:p>
        </w:tc>
      </w:tr>
      <w:tr w14:paraId="2F7BE340">
        <w:tblPrEx>
          <w:tblCellMar>
            <w:top w:w="0" w:type="dxa"/>
            <w:left w:w="108" w:type="dxa"/>
            <w:bottom w:w="0" w:type="dxa"/>
            <w:right w:w="108" w:type="dxa"/>
          </w:tblCellMar>
        </w:tblPrEx>
        <w:tc>
          <w:tcPr>
            <w:tcW w:w="8848" w:type="dxa"/>
            <w:gridSpan w:val="14"/>
            <w:vAlign w:val="center"/>
          </w:tcPr>
          <w:p w14:paraId="506B555C">
            <w:pPr>
              <w:jc w:val="center"/>
            </w:pPr>
            <w:r>
              <w:rPr>
                <w:rFonts w:ascii="宋体" w:hAnsi="宋体" w:eastAsia="宋体"/>
                <w:sz w:val="24"/>
              </w:rPr>
              <w:t>(2024年度)</w:t>
            </w:r>
          </w:p>
        </w:tc>
      </w:tr>
      <w:tr w14:paraId="3E64CA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E0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5CFCF9">
            <w:pPr>
              <w:jc w:val="center"/>
            </w:pPr>
            <w:r>
              <w:rPr>
                <w:rFonts w:ascii="宋体" w:hAnsi="宋体" w:eastAsia="宋体"/>
                <w:sz w:val="16"/>
              </w:rPr>
              <w:t>2024年其他资金结余</w:t>
            </w:r>
          </w:p>
        </w:tc>
      </w:tr>
      <w:tr w14:paraId="25A3EC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21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EF5752">
            <w:pPr>
              <w:jc w:val="center"/>
            </w:pPr>
            <w:r>
              <w:rPr>
                <w:rFonts w:ascii="宋体" w:hAnsi="宋体" w:eastAsia="宋体"/>
                <w:sz w:val="16"/>
              </w:rPr>
              <w:t>克孜勒苏柯尔克孜自治州人民检察院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2D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CBAF2F">
            <w:pPr>
              <w:jc w:val="center"/>
            </w:pPr>
            <w:r>
              <w:rPr>
                <w:rFonts w:ascii="宋体" w:hAnsi="宋体" w:eastAsia="宋体"/>
                <w:sz w:val="16"/>
              </w:rPr>
              <w:t>阿克陶县人民检察院</w:t>
            </w:r>
          </w:p>
        </w:tc>
      </w:tr>
      <w:tr w14:paraId="573F3A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2A2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78B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27B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C47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9FF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673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DA5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6344">
            <w:pPr>
              <w:jc w:val="center"/>
            </w:pPr>
            <w:r>
              <w:rPr>
                <w:rFonts w:ascii="宋体" w:hAnsi="宋体" w:eastAsia="宋体"/>
                <w:sz w:val="16"/>
              </w:rPr>
              <w:t>得分</w:t>
            </w:r>
          </w:p>
        </w:tc>
      </w:tr>
      <w:tr w14:paraId="067EE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E16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FB0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5CB3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977FD">
            <w:pPr>
              <w:jc w:val="center"/>
            </w:pPr>
            <w:r>
              <w:rPr>
                <w:rFonts w:ascii="宋体" w:hAnsi="宋体" w:eastAsia="宋体"/>
                <w:sz w:val="16"/>
              </w:rPr>
              <w:t>61.12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1730E">
            <w:pPr>
              <w:jc w:val="center"/>
            </w:pPr>
            <w:r>
              <w:rPr>
                <w:rFonts w:ascii="宋体" w:hAnsi="宋体" w:eastAsia="宋体"/>
                <w:sz w:val="16"/>
              </w:rPr>
              <w:t>61.12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31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D2BD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990B">
            <w:pPr>
              <w:jc w:val="center"/>
            </w:pPr>
            <w:r>
              <w:rPr>
                <w:rFonts w:ascii="宋体" w:hAnsi="宋体" w:eastAsia="宋体"/>
                <w:sz w:val="16"/>
              </w:rPr>
              <w:t>10.00分</w:t>
            </w:r>
          </w:p>
        </w:tc>
      </w:tr>
      <w:tr w14:paraId="43411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D4B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8C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C8B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30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EBD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985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93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4852">
            <w:pPr>
              <w:jc w:val="center"/>
            </w:pPr>
            <w:r>
              <w:rPr>
                <w:rFonts w:ascii="宋体" w:hAnsi="宋体" w:eastAsia="宋体"/>
                <w:sz w:val="16"/>
              </w:rPr>
              <w:t>—</w:t>
            </w:r>
          </w:p>
        </w:tc>
      </w:tr>
      <w:tr w14:paraId="13BE82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8EB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B11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ED87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9FD99">
            <w:pPr>
              <w:jc w:val="center"/>
            </w:pPr>
            <w:r>
              <w:rPr>
                <w:rFonts w:ascii="宋体" w:hAnsi="宋体" w:eastAsia="宋体"/>
                <w:sz w:val="16"/>
              </w:rPr>
              <w:t>61.12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D4DA">
            <w:pPr>
              <w:jc w:val="center"/>
            </w:pPr>
            <w:r>
              <w:rPr>
                <w:rFonts w:ascii="宋体" w:hAnsi="宋体" w:eastAsia="宋体"/>
                <w:sz w:val="16"/>
              </w:rPr>
              <w:t>61.12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50E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C2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4BF1">
            <w:pPr>
              <w:jc w:val="center"/>
            </w:pPr>
            <w:r>
              <w:rPr>
                <w:rFonts w:ascii="宋体" w:hAnsi="宋体" w:eastAsia="宋体"/>
                <w:sz w:val="16"/>
              </w:rPr>
              <w:t>—</w:t>
            </w:r>
          </w:p>
        </w:tc>
      </w:tr>
      <w:tr w14:paraId="4BD0BE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757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588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DA56A">
            <w:pPr>
              <w:jc w:val="center"/>
            </w:pPr>
            <w:r>
              <w:rPr>
                <w:rFonts w:ascii="宋体" w:hAnsi="宋体" w:eastAsia="宋体"/>
                <w:sz w:val="16"/>
              </w:rPr>
              <w:t>实际完成情况</w:t>
            </w:r>
          </w:p>
        </w:tc>
      </w:tr>
      <w:tr w14:paraId="62E23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CC5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1D1684">
            <w:pPr>
              <w:jc w:val="both"/>
            </w:pPr>
            <w:r>
              <w:rPr>
                <w:rFonts w:ascii="宋体" w:hAnsi="宋体" w:eastAsia="宋体"/>
                <w:sz w:val="16"/>
              </w:rPr>
              <w:t>该项目总投资61.12万元，其中财政资金0万元，其他资金61.12万元，主要用于持续深化检察业务、干部人才、教育培训、检察文化、信息科技和资金项目“六位一体”援助格局，有利于坚持统筹推进，优化援助</w:t>
            </w:r>
            <w:r>
              <w:rPr>
                <w:rFonts w:hint="eastAsia" w:ascii="宋体" w:hAnsi="宋体"/>
                <w:sz w:val="16"/>
                <w:lang w:eastAsia="zh-CN"/>
              </w:rPr>
              <w:t>供给</w:t>
            </w:r>
            <w:r>
              <w:rPr>
                <w:rFonts w:ascii="宋体" w:hAnsi="宋体" w:eastAsia="宋体"/>
                <w:sz w:val="16"/>
              </w:rPr>
              <w:t>，通过该项目实施达到推动双赢共赢效果。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82A8C6">
            <w:pPr>
              <w:jc w:val="both"/>
            </w:pPr>
            <w:r>
              <w:rPr>
                <w:rFonts w:ascii="宋体" w:hAnsi="宋体" w:eastAsia="宋体"/>
                <w:sz w:val="16"/>
              </w:rPr>
              <w:t>因本单位工作含涉密内容，故单独对阿克陶县人民检察院2024年其他资金结余项目目标完成情况如下： 1.保障人员59人，其中：行政在职38人、援疆干部3人、书记员14人、劳务派遣4人； 2.保障业务部门5个，分别为：政治部、办公室、第一检察部、第二检察部、第三</w:t>
            </w:r>
            <w:r>
              <w:rPr>
                <w:rFonts w:hint="eastAsia" w:ascii="宋体" w:hAnsi="宋体"/>
                <w:sz w:val="16"/>
                <w:lang w:eastAsia="zh-CN"/>
              </w:rPr>
              <w:t>国家监察委员会</w:t>
            </w:r>
            <w:r>
              <w:rPr>
                <w:rFonts w:ascii="宋体" w:hAnsi="宋体" w:eastAsia="宋体"/>
                <w:sz w:val="16"/>
              </w:rPr>
              <w:t>； 3.支持驻村工作点1个，位于阿克陶县玉麦镇阿勒屯其村； 4.保障单位职工食堂1个； 5.本单位有2辆车因历史遗留问题无法挂牌，故单位对这两辆车予以封存，未予使用，9辆车中有7辆车正常使用，车辆正常运行率达77.78%； 6.本单位2024年共办理案件659件，案件办结率达97.88%，批准逮捕准确率达100%。 综上，通过本年度2024年其他资金结余项目资金对各项目标指标的保障及支持，有效促进了单位办案条件，确保了单位2024年度各项工作正常开展，对本辖区内社会稳定和长治久安总目标起到了持续正向影响作用。</w:t>
            </w:r>
          </w:p>
        </w:tc>
      </w:tr>
      <w:tr w14:paraId="7F70F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4CC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28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38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1E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7A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00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F8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2B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3B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14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C2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A6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8F3D7">
            <w:pPr>
              <w:jc w:val="center"/>
            </w:pPr>
            <w:r>
              <w:rPr>
                <w:rFonts w:ascii="宋体" w:hAnsi="宋体" w:eastAsia="宋体"/>
                <w:sz w:val="16"/>
              </w:rPr>
              <w:t>偏差原因分析及改进措施</w:t>
            </w:r>
          </w:p>
        </w:tc>
      </w:tr>
      <w:tr w14:paraId="4CD95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409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705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065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0851">
            <w:pPr>
              <w:jc w:val="center"/>
            </w:pPr>
            <w:r>
              <w:rPr>
                <w:rFonts w:ascii="宋体" w:hAnsi="宋体" w:eastAsia="宋体"/>
                <w:sz w:val="16"/>
              </w:rPr>
              <w:t>保障人数（人）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6279">
            <w:pPr>
              <w:jc w:val="center"/>
            </w:pPr>
            <w:r>
              <w:rPr>
                <w:rFonts w:ascii="宋体" w:hAnsi="宋体" w:eastAsia="宋体"/>
                <w:sz w:val="16"/>
              </w:rPr>
              <w:t>&gt;=59人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7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7A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C8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AA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F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8F47">
            <w:pPr>
              <w:jc w:val="center"/>
            </w:pPr>
            <w:r>
              <w:rPr>
                <w:rFonts w:ascii="宋体" w:hAnsi="宋体" w:eastAsia="宋体"/>
                <w:sz w:val="16"/>
              </w:rPr>
              <w:t>=59人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B4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1AAE">
            <w:pPr>
              <w:jc w:val="center"/>
            </w:pPr>
          </w:p>
        </w:tc>
      </w:tr>
      <w:tr w14:paraId="0E2E0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DE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10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67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7466">
            <w:pPr>
              <w:jc w:val="center"/>
            </w:pPr>
            <w:r>
              <w:rPr>
                <w:rFonts w:ascii="宋体" w:hAnsi="宋体" w:eastAsia="宋体"/>
                <w:sz w:val="16"/>
              </w:rPr>
              <w:t>保障业务部门(个)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38C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1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10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E3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C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3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C293">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F6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2C7F2">
            <w:pPr>
              <w:jc w:val="center"/>
            </w:pPr>
          </w:p>
        </w:tc>
      </w:tr>
      <w:tr w14:paraId="249A4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EB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553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8F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DF83">
            <w:pPr>
              <w:jc w:val="center"/>
            </w:pPr>
            <w:r>
              <w:rPr>
                <w:rFonts w:ascii="宋体" w:hAnsi="宋体" w:eastAsia="宋体"/>
                <w:sz w:val="16"/>
              </w:rPr>
              <w:t>支持检察机关办案数量（件）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B32A">
            <w:pPr>
              <w:jc w:val="center"/>
            </w:pPr>
            <w:r>
              <w:rPr>
                <w:rFonts w:ascii="宋体" w:hAnsi="宋体" w:eastAsia="宋体"/>
                <w:sz w:val="16"/>
              </w:rPr>
              <w:t>&gt;=550件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56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9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BD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3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78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6C1D">
            <w:pPr>
              <w:jc w:val="center"/>
            </w:pPr>
            <w:r>
              <w:rPr>
                <w:rFonts w:ascii="宋体" w:hAnsi="宋体" w:eastAsia="宋体"/>
                <w:sz w:val="16"/>
              </w:rPr>
              <w:t>=659件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78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56C37">
            <w:pPr>
              <w:jc w:val="center"/>
            </w:pPr>
          </w:p>
        </w:tc>
      </w:tr>
      <w:tr w14:paraId="031BC9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E5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81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0C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CE61D">
            <w:pPr>
              <w:jc w:val="center"/>
            </w:pPr>
            <w:r>
              <w:rPr>
                <w:rFonts w:ascii="宋体" w:hAnsi="宋体" w:eastAsia="宋体"/>
                <w:sz w:val="16"/>
              </w:rPr>
              <w:t>支持驻村工作点数量（个）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9A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4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9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A2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11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95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1B4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DD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E698">
            <w:pPr>
              <w:jc w:val="center"/>
            </w:pPr>
          </w:p>
        </w:tc>
      </w:tr>
      <w:tr w14:paraId="644B2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BD6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D2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209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5345">
            <w:pPr>
              <w:jc w:val="center"/>
            </w:pPr>
            <w:r>
              <w:rPr>
                <w:rFonts w:ascii="宋体" w:hAnsi="宋体" w:eastAsia="宋体"/>
                <w:sz w:val="16"/>
              </w:rPr>
              <w:t>保障食堂数量（个）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52A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F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C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99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72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E4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8C7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92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8DD2">
            <w:pPr>
              <w:jc w:val="center"/>
            </w:pPr>
          </w:p>
        </w:tc>
      </w:tr>
      <w:tr w14:paraId="6F359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D3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8ED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A66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F5A6">
            <w:pPr>
              <w:jc w:val="center"/>
            </w:pPr>
            <w:r>
              <w:rPr>
                <w:rFonts w:ascii="宋体" w:hAnsi="宋体" w:eastAsia="宋体"/>
                <w:sz w:val="16"/>
              </w:rPr>
              <w:t>车辆正常运行率（%）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B3C5">
            <w:pPr>
              <w:jc w:val="center"/>
            </w:pPr>
            <w:r>
              <w:rPr>
                <w:rFonts w:ascii="宋体" w:hAnsi="宋体" w:eastAsia="宋体"/>
                <w:sz w:val="16"/>
              </w:rPr>
              <w:t>&gt;=78%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03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5F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6E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2A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D2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CFAD">
            <w:pPr>
              <w:jc w:val="center"/>
            </w:pPr>
            <w:r>
              <w:rPr>
                <w:rFonts w:ascii="宋体" w:hAnsi="宋体" w:eastAsia="宋体"/>
                <w:sz w:val="16"/>
              </w:rPr>
              <w:t>=77.78%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EAC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7700">
            <w:pPr>
              <w:jc w:val="center"/>
            </w:pPr>
          </w:p>
        </w:tc>
      </w:tr>
      <w:tr w14:paraId="5B70AA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55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F2C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3E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12A8">
            <w:pPr>
              <w:jc w:val="center"/>
            </w:pPr>
            <w:r>
              <w:rPr>
                <w:rFonts w:ascii="宋体" w:hAnsi="宋体" w:eastAsia="宋体"/>
                <w:sz w:val="16"/>
              </w:rPr>
              <w:t>批准逮捕准确率（%）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93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3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2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BB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E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B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02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45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46934">
            <w:pPr>
              <w:jc w:val="center"/>
            </w:pPr>
          </w:p>
        </w:tc>
      </w:tr>
      <w:tr w14:paraId="0508C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CF0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F4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74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19B3">
            <w:pPr>
              <w:jc w:val="center"/>
            </w:pPr>
            <w:r>
              <w:rPr>
                <w:rFonts w:ascii="宋体" w:hAnsi="宋体" w:eastAsia="宋体"/>
                <w:sz w:val="16"/>
              </w:rPr>
              <w:t>案件办结率（%）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9CD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15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DC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E1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8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4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212D">
            <w:pPr>
              <w:jc w:val="center"/>
            </w:pPr>
            <w:r>
              <w:rPr>
                <w:rFonts w:ascii="宋体" w:hAnsi="宋体" w:eastAsia="宋体"/>
                <w:sz w:val="16"/>
              </w:rPr>
              <w:t>=97.88%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E0C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34F3A">
            <w:pPr>
              <w:jc w:val="center"/>
            </w:pPr>
          </w:p>
        </w:tc>
      </w:tr>
      <w:tr w14:paraId="59776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BB1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4F0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A87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1D6D">
            <w:pPr>
              <w:jc w:val="center"/>
            </w:pPr>
            <w:r>
              <w:rPr>
                <w:rFonts w:ascii="宋体" w:hAnsi="宋体" w:eastAsia="宋体"/>
                <w:sz w:val="16"/>
              </w:rPr>
              <w:t>保障工资和福利支出（万元）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C90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3F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7E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29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1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C5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898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2D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A8A3">
            <w:pPr>
              <w:jc w:val="center"/>
            </w:pPr>
          </w:p>
        </w:tc>
      </w:tr>
      <w:tr w14:paraId="5E6FD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2B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80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1C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1AE2">
            <w:pPr>
              <w:jc w:val="center"/>
            </w:pPr>
            <w:r>
              <w:rPr>
                <w:rFonts w:ascii="宋体" w:hAnsi="宋体" w:eastAsia="宋体"/>
                <w:sz w:val="16"/>
              </w:rPr>
              <w:t>保障商品和服务支出（万元）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26EF">
            <w:pPr>
              <w:jc w:val="center"/>
            </w:pPr>
            <w:r>
              <w:rPr>
                <w:rFonts w:ascii="宋体" w:hAnsi="宋体" w:eastAsia="宋体"/>
                <w:sz w:val="16"/>
              </w:rPr>
              <w:t>&lt;=54.47万元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A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E4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37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44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41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83AE">
            <w:pPr>
              <w:jc w:val="center"/>
            </w:pPr>
            <w:r>
              <w:rPr>
                <w:rFonts w:ascii="宋体" w:hAnsi="宋体" w:eastAsia="宋体"/>
                <w:sz w:val="16"/>
              </w:rPr>
              <w:t>=54.47万元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0F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CD782">
            <w:pPr>
              <w:jc w:val="center"/>
            </w:pPr>
          </w:p>
        </w:tc>
      </w:tr>
      <w:tr w14:paraId="72464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8B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DA0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9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AB31">
            <w:pPr>
              <w:jc w:val="center"/>
            </w:pPr>
            <w:r>
              <w:rPr>
                <w:rFonts w:ascii="宋体" w:hAnsi="宋体" w:eastAsia="宋体"/>
                <w:sz w:val="16"/>
              </w:rPr>
              <w:t>保障对个人和家庭的补助（万元）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43E6">
            <w:pPr>
              <w:jc w:val="center"/>
            </w:pPr>
            <w:r>
              <w:rPr>
                <w:rFonts w:ascii="宋体" w:hAnsi="宋体" w:eastAsia="宋体"/>
                <w:sz w:val="16"/>
              </w:rPr>
              <w:t>&lt;=5.15万元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2E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18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38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9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0C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B063">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9B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067A">
            <w:pPr>
              <w:jc w:val="center"/>
            </w:pPr>
          </w:p>
        </w:tc>
      </w:tr>
      <w:tr w14:paraId="5B7B0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572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C9F9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73E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27A6">
            <w:pPr>
              <w:jc w:val="center"/>
            </w:pPr>
            <w:r>
              <w:rPr>
                <w:rFonts w:ascii="宋体" w:hAnsi="宋体" w:eastAsia="宋体"/>
                <w:sz w:val="16"/>
              </w:rPr>
              <w:t>促进改善办案条件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0AB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EB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35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7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7E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FE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741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B1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50FC5">
            <w:pPr>
              <w:jc w:val="center"/>
            </w:pPr>
          </w:p>
        </w:tc>
      </w:tr>
      <w:tr w14:paraId="12E0B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0F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93A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56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88A5">
            <w:pPr>
              <w:jc w:val="center"/>
            </w:pPr>
            <w:r>
              <w:rPr>
                <w:rFonts w:ascii="宋体" w:hAnsi="宋体" w:eastAsia="宋体"/>
                <w:sz w:val="16"/>
              </w:rPr>
              <w:t>保障社会稳定长治久安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3C4E5">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F6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3A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5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97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EF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D82B">
            <w:pPr>
              <w:jc w:val="center"/>
            </w:pPr>
            <w:r>
              <w:rPr>
                <w:rFonts w:ascii="宋体" w:hAnsi="宋体" w:eastAsia="宋体"/>
                <w:sz w:val="16"/>
              </w:rPr>
              <w:t>持续影响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58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964F">
            <w:pPr>
              <w:jc w:val="center"/>
            </w:pPr>
          </w:p>
        </w:tc>
      </w:tr>
      <w:tr w14:paraId="13D69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51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95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74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A7EF">
            <w:pPr>
              <w:jc w:val="center"/>
            </w:pPr>
            <w:r>
              <w:rPr>
                <w:rFonts w:ascii="宋体" w:hAnsi="宋体" w:eastAsia="宋体"/>
                <w:sz w:val="16"/>
              </w:rPr>
              <w:t>保障人员满意度（%）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813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5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D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08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FF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5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CA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6A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A31D7">
            <w:pPr>
              <w:jc w:val="center"/>
            </w:pPr>
          </w:p>
        </w:tc>
      </w:tr>
      <w:tr w14:paraId="7EDCC2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4D8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56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63A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61764">
            <w:pPr>
              <w:jc w:val="center"/>
            </w:pPr>
            <w:r>
              <w:rPr>
                <w:rFonts w:ascii="宋体" w:hAnsi="宋体" w:eastAsia="宋体"/>
                <w:sz w:val="16"/>
              </w:rPr>
              <w:t>100分</w:t>
            </w:r>
          </w:p>
        </w:tc>
      </w:tr>
    </w:tbl>
    <w:p w14:paraId="0CDD58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491"/>
        <w:gridCol w:w="141"/>
        <w:gridCol w:w="632"/>
        <w:gridCol w:w="632"/>
        <w:gridCol w:w="632"/>
        <w:gridCol w:w="632"/>
        <w:gridCol w:w="632"/>
        <w:gridCol w:w="632"/>
      </w:tblGrid>
      <w:tr w14:paraId="098ADBC3">
        <w:tc>
          <w:tcPr>
            <w:tcW w:w="8976" w:type="dxa"/>
            <w:gridSpan w:val="15"/>
            <w:vAlign w:val="center"/>
          </w:tcPr>
          <w:p w14:paraId="5545A510">
            <w:pPr>
              <w:jc w:val="center"/>
            </w:pPr>
            <w:r>
              <w:rPr>
                <w:rFonts w:ascii="宋体" w:hAnsi="宋体" w:eastAsia="宋体"/>
                <w:sz w:val="24"/>
              </w:rPr>
              <w:t>项目支出绩效自评表</w:t>
            </w:r>
          </w:p>
        </w:tc>
      </w:tr>
      <w:tr w14:paraId="1EE58707">
        <w:tblPrEx>
          <w:tblCellMar>
            <w:top w:w="0" w:type="dxa"/>
            <w:left w:w="108" w:type="dxa"/>
            <w:bottom w:w="0" w:type="dxa"/>
            <w:right w:w="108" w:type="dxa"/>
          </w:tblCellMar>
        </w:tblPrEx>
        <w:tc>
          <w:tcPr>
            <w:tcW w:w="8976" w:type="dxa"/>
            <w:gridSpan w:val="15"/>
            <w:vAlign w:val="center"/>
          </w:tcPr>
          <w:p w14:paraId="08BB0F6E">
            <w:pPr>
              <w:jc w:val="center"/>
            </w:pPr>
            <w:r>
              <w:rPr>
                <w:rFonts w:ascii="宋体" w:hAnsi="宋体" w:eastAsia="宋体"/>
                <w:sz w:val="24"/>
              </w:rPr>
              <w:t>(2024年度)</w:t>
            </w:r>
          </w:p>
        </w:tc>
      </w:tr>
      <w:tr w14:paraId="19B4D8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1900">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4216ABBB">
            <w:pPr>
              <w:jc w:val="center"/>
            </w:pPr>
            <w:r>
              <w:rPr>
                <w:rFonts w:ascii="宋体" w:hAnsi="宋体" w:eastAsia="宋体"/>
                <w:sz w:val="16"/>
              </w:rPr>
              <w:t>2024年为民办实事项目</w:t>
            </w:r>
          </w:p>
        </w:tc>
      </w:tr>
      <w:tr w14:paraId="69A356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B23B">
            <w:pPr>
              <w:jc w:val="center"/>
            </w:pPr>
            <w:r>
              <w:rPr>
                <w:rFonts w:ascii="宋体" w:hAnsi="宋体" w:eastAsia="宋体"/>
                <w:sz w:val="16"/>
              </w:rPr>
              <w:t>主管部门</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5D8DA1">
            <w:pPr>
              <w:jc w:val="center"/>
            </w:pPr>
            <w:r>
              <w:rPr>
                <w:rFonts w:ascii="宋体" w:hAnsi="宋体" w:eastAsia="宋体"/>
                <w:sz w:val="16"/>
              </w:rPr>
              <w:t>克孜勒苏柯尔克孜自治州人民检察院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30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FFB96">
            <w:pPr>
              <w:jc w:val="center"/>
            </w:pPr>
            <w:r>
              <w:rPr>
                <w:rFonts w:ascii="宋体" w:hAnsi="宋体" w:eastAsia="宋体"/>
                <w:sz w:val="16"/>
              </w:rPr>
              <w:t>阿克陶县人民检察院</w:t>
            </w:r>
          </w:p>
        </w:tc>
      </w:tr>
      <w:tr w14:paraId="511795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DB0D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F8263">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2FF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06C3E">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1216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C29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863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A9AE">
            <w:pPr>
              <w:jc w:val="center"/>
            </w:pPr>
            <w:r>
              <w:rPr>
                <w:rFonts w:ascii="宋体" w:hAnsi="宋体" w:eastAsia="宋体"/>
                <w:sz w:val="16"/>
              </w:rPr>
              <w:t>得分</w:t>
            </w:r>
          </w:p>
        </w:tc>
      </w:tr>
      <w:tr w14:paraId="544FA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63E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D7AAD">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4077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DCDD0">
            <w:pPr>
              <w:jc w:val="center"/>
            </w:pPr>
            <w:r>
              <w:rPr>
                <w:rFonts w:ascii="宋体" w:hAnsi="宋体" w:eastAsia="宋体"/>
                <w:sz w:val="16"/>
              </w:rPr>
              <w:t>17.00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253EE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654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2694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CF08">
            <w:pPr>
              <w:jc w:val="center"/>
            </w:pPr>
            <w:r>
              <w:rPr>
                <w:rFonts w:ascii="宋体" w:hAnsi="宋体" w:eastAsia="宋体"/>
                <w:sz w:val="16"/>
              </w:rPr>
              <w:t>10.00分</w:t>
            </w:r>
          </w:p>
        </w:tc>
      </w:tr>
      <w:tr w14:paraId="5921E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89E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F3041">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87BD6">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A16F9">
            <w:pPr>
              <w:jc w:val="center"/>
            </w:pPr>
            <w:r>
              <w:rPr>
                <w:rFonts w:ascii="宋体" w:hAnsi="宋体" w:eastAsia="宋体"/>
                <w:sz w:val="16"/>
              </w:rPr>
              <w:t>17.00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740A6F">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D89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F4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E8A7">
            <w:pPr>
              <w:jc w:val="center"/>
            </w:pPr>
            <w:r>
              <w:rPr>
                <w:rFonts w:ascii="宋体" w:hAnsi="宋体" w:eastAsia="宋体"/>
                <w:sz w:val="16"/>
              </w:rPr>
              <w:t>—</w:t>
            </w:r>
          </w:p>
        </w:tc>
      </w:tr>
      <w:tr w14:paraId="3E9F0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893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1C7C">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92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555ED">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15B6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3D9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3E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2276">
            <w:pPr>
              <w:jc w:val="center"/>
            </w:pPr>
            <w:r>
              <w:rPr>
                <w:rFonts w:ascii="宋体" w:hAnsi="宋体" w:eastAsia="宋体"/>
                <w:sz w:val="16"/>
              </w:rPr>
              <w:t>—</w:t>
            </w:r>
          </w:p>
        </w:tc>
      </w:tr>
      <w:tr w14:paraId="3F21E5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5B935">
            <w:pPr>
              <w:jc w:val="center"/>
            </w:pPr>
            <w:r>
              <w:rPr>
                <w:rFonts w:ascii="宋体" w:hAnsi="宋体" w:eastAsia="宋体"/>
                <w:sz w:val="16"/>
              </w:rPr>
              <w:t>三、目标完成情况</w:t>
            </w:r>
          </w:p>
        </w:tc>
        <w:tc>
          <w:tcPr>
            <w:tcW w:w="44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4870D">
            <w:pPr>
              <w:jc w:val="center"/>
            </w:pPr>
            <w:r>
              <w:rPr>
                <w:rFonts w:ascii="宋体" w:hAnsi="宋体" w:eastAsia="宋体"/>
                <w:sz w:val="16"/>
              </w:rPr>
              <w:t>预期目标</w:t>
            </w:r>
          </w:p>
        </w:tc>
        <w:tc>
          <w:tcPr>
            <w:tcW w:w="393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B0A260">
            <w:pPr>
              <w:jc w:val="center"/>
            </w:pPr>
            <w:r>
              <w:rPr>
                <w:rFonts w:ascii="宋体" w:hAnsi="宋体" w:eastAsia="宋体"/>
                <w:sz w:val="16"/>
              </w:rPr>
              <w:t>实际完成情况</w:t>
            </w:r>
          </w:p>
        </w:tc>
      </w:tr>
      <w:tr w14:paraId="244A24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4345F"/>
        </w:tc>
        <w:tc>
          <w:tcPr>
            <w:tcW w:w="441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E2CE7">
            <w:pPr>
              <w:jc w:val="both"/>
            </w:pPr>
            <w:r>
              <w:rPr>
                <w:rFonts w:ascii="宋体" w:hAnsi="宋体" w:eastAsia="宋体"/>
                <w:sz w:val="16"/>
              </w:rPr>
              <w:t>该项目资金投入总额为17万元，其中财政资金17万元。切实解决群众生产生活中的实际困难，加强民族团结，增进民族互信，突出现代文化引领，落实民生建设任务，增加农牧民收入，关心关爱困难群众。</w:t>
            </w:r>
          </w:p>
        </w:tc>
        <w:tc>
          <w:tcPr>
            <w:tcW w:w="393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6C735">
            <w:pPr>
              <w:jc w:val="both"/>
            </w:pPr>
            <w:r>
              <w:rPr>
                <w:rFonts w:ascii="宋体" w:hAnsi="宋体" w:eastAsia="宋体"/>
                <w:sz w:val="16"/>
              </w:rPr>
              <w:t>截至2024年12月31日，已完成：采购慰问品次数2次，积分超市采购1次，村集体维修（护）次数2次；切实解决群众生产生活中的实际困难，加强民族团结，增进民族互信，突出现代文化引领，落实民生建设任务，增加农牧民收入，关心关爱困难群众。</w:t>
            </w:r>
          </w:p>
        </w:tc>
      </w:tr>
      <w:tr w14:paraId="38FBE4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FDD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96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576B">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B4B32D">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C913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D9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167D">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4FE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3A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DDC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E5E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19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33AC">
            <w:pPr>
              <w:jc w:val="center"/>
            </w:pPr>
            <w:r>
              <w:rPr>
                <w:rFonts w:ascii="宋体" w:hAnsi="宋体" w:eastAsia="宋体"/>
                <w:sz w:val="16"/>
              </w:rPr>
              <w:t>偏差原因分析及改进措施</w:t>
            </w:r>
          </w:p>
        </w:tc>
      </w:tr>
      <w:tr w14:paraId="00B579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358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E61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62FA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E9EDB2">
            <w:pPr>
              <w:jc w:val="center"/>
            </w:pPr>
            <w:r>
              <w:rPr>
                <w:rFonts w:ascii="宋体" w:hAnsi="宋体" w:eastAsia="宋体"/>
                <w:sz w:val="16"/>
              </w:rPr>
              <w:t>采购慰问品次数（次）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091C03">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D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DDAA">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9DA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D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A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9F3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4A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3544C">
            <w:pPr>
              <w:jc w:val="center"/>
            </w:pPr>
          </w:p>
        </w:tc>
      </w:tr>
      <w:tr w14:paraId="07268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FE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DB7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4E88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1D4478">
            <w:pPr>
              <w:jc w:val="center"/>
            </w:pPr>
            <w:r>
              <w:rPr>
                <w:rFonts w:ascii="宋体" w:hAnsi="宋体" w:eastAsia="宋体"/>
                <w:sz w:val="16"/>
              </w:rPr>
              <w:t>集体维修（护）次数（次）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619B5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D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6559">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D95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F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24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2EA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7F5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01D35">
            <w:pPr>
              <w:jc w:val="center"/>
            </w:pPr>
          </w:p>
        </w:tc>
      </w:tr>
      <w:tr w14:paraId="306D2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25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74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6580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DB5084">
            <w:pPr>
              <w:jc w:val="center"/>
            </w:pPr>
            <w:r>
              <w:rPr>
                <w:rFonts w:ascii="宋体" w:hAnsi="宋体" w:eastAsia="宋体"/>
                <w:sz w:val="16"/>
              </w:rPr>
              <w:t>积分超市物资采购次数（次）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AA5BC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63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4CFA">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361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1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2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376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7DB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9A7AF">
            <w:pPr>
              <w:jc w:val="center"/>
            </w:pPr>
          </w:p>
        </w:tc>
      </w:tr>
      <w:tr w14:paraId="48CBB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B17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821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7FE2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8665D2">
            <w:pPr>
              <w:jc w:val="center"/>
            </w:pPr>
            <w:r>
              <w:rPr>
                <w:rFonts w:ascii="宋体" w:hAnsi="宋体" w:eastAsia="宋体"/>
                <w:sz w:val="16"/>
              </w:rPr>
              <w:t>村集体维修（护）质量验收合格率（%）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809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9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F2B2">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89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3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9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2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635E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E741C">
            <w:pPr>
              <w:jc w:val="center"/>
            </w:pPr>
          </w:p>
        </w:tc>
      </w:tr>
      <w:tr w14:paraId="292CC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9F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C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3621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8EF925">
            <w:pPr>
              <w:jc w:val="center"/>
            </w:pPr>
            <w:r>
              <w:rPr>
                <w:rFonts w:ascii="宋体" w:hAnsi="宋体" w:eastAsia="宋体"/>
                <w:sz w:val="16"/>
              </w:rPr>
              <w:t>购买慰问品验收合规率（%）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CB6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E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DF6FA">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A7B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94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8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AA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A52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936F">
            <w:pPr>
              <w:jc w:val="center"/>
            </w:pPr>
          </w:p>
        </w:tc>
      </w:tr>
      <w:tr w14:paraId="5A2B14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7D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258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93CDA">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69EADB">
            <w:pPr>
              <w:jc w:val="center"/>
            </w:pPr>
            <w:r>
              <w:rPr>
                <w:rFonts w:ascii="宋体" w:hAnsi="宋体" w:eastAsia="宋体"/>
                <w:sz w:val="16"/>
              </w:rPr>
              <w:t>村集体维修（护）工作及时率（%）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F0B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2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BCB8">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D3D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CC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A5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A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52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605D">
            <w:pPr>
              <w:jc w:val="center"/>
            </w:pPr>
          </w:p>
        </w:tc>
      </w:tr>
      <w:tr w14:paraId="07AF3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A0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E8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68A9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2C39C7">
            <w:pPr>
              <w:jc w:val="center"/>
            </w:pPr>
            <w:r>
              <w:rPr>
                <w:rFonts w:ascii="宋体" w:hAnsi="宋体" w:eastAsia="宋体"/>
                <w:sz w:val="16"/>
              </w:rPr>
              <w:t>慰问群众及时率（%）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056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F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74E4">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3D7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3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65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C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81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BF52">
            <w:pPr>
              <w:jc w:val="center"/>
            </w:pPr>
          </w:p>
        </w:tc>
      </w:tr>
      <w:tr w14:paraId="2E4F3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3FC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67D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CF838">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87F986">
            <w:pPr>
              <w:jc w:val="center"/>
            </w:pPr>
            <w:r>
              <w:rPr>
                <w:rFonts w:ascii="宋体" w:hAnsi="宋体" w:eastAsia="宋体"/>
                <w:sz w:val="16"/>
              </w:rPr>
              <w:t>印刷费开支（万元）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812134">
            <w:pPr>
              <w:jc w:val="center"/>
            </w:pPr>
            <w:r>
              <w:rPr>
                <w:rFonts w:ascii="宋体" w:hAnsi="宋体" w:eastAsia="宋体"/>
                <w:sz w:val="16"/>
              </w:rPr>
              <w:t>&lt;=3.75万元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3C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120B">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6E31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C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37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ED1C">
            <w:pPr>
              <w:jc w:val="center"/>
            </w:pPr>
            <w:r>
              <w:rPr>
                <w:rFonts w:ascii="宋体" w:hAnsi="宋体" w:eastAsia="宋体"/>
                <w:sz w:val="16"/>
              </w:rPr>
              <w:t>=3.75万元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A72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E2F1E">
            <w:pPr>
              <w:jc w:val="center"/>
            </w:pPr>
          </w:p>
        </w:tc>
      </w:tr>
      <w:tr w14:paraId="64F0C7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B8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E5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6C23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7A3766">
            <w:pPr>
              <w:jc w:val="center"/>
            </w:pPr>
            <w:r>
              <w:rPr>
                <w:rFonts w:ascii="宋体" w:hAnsi="宋体" w:eastAsia="宋体"/>
                <w:sz w:val="16"/>
              </w:rPr>
              <w:t>村集体维修（护）开支（万元）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76450">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5A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C977">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31E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1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15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F8DB">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41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33A7">
            <w:pPr>
              <w:jc w:val="center"/>
            </w:pPr>
          </w:p>
        </w:tc>
      </w:tr>
      <w:tr w14:paraId="0423C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49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5C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3CFD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E341CA">
            <w:pPr>
              <w:jc w:val="center"/>
            </w:pPr>
            <w:r>
              <w:rPr>
                <w:rFonts w:ascii="宋体" w:hAnsi="宋体" w:eastAsia="宋体"/>
                <w:sz w:val="16"/>
              </w:rPr>
              <w:t>慰问及各类物资采购开支（万元）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5CA61C">
            <w:pPr>
              <w:jc w:val="center"/>
            </w:pPr>
            <w:r>
              <w:rPr>
                <w:rFonts w:ascii="宋体" w:hAnsi="宋体" w:eastAsia="宋体"/>
                <w:sz w:val="16"/>
              </w:rPr>
              <w:t>&lt;=5.75万元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4B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AE23">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DF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CB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FC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A7D4">
            <w:pPr>
              <w:jc w:val="center"/>
            </w:pPr>
            <w:r>
              <w:rPr>
                <w:rFonts w:ascii="宋体" w:hAnsi="宋体" w:eastAsia="宋体"/>
                <w:sz w:val="16"/>
              </w:rPr>
              <w:t>=5.75万元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B3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4449">
            <w:pPr>
              <w:jc w:val="center"/>
            </w:pPr>
          </w:p>
        </w:tc>
      </w:tr>
      <w:tr w14:paraId="3931D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74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4A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A1A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E06479">
            <w:pPr>
              <w:jc w:val="center"/>
            </w:pPr>
            <w:r>
              <w:rPr>
                <w:rFonts w:ascii="宋体" w:hAnsi="宋体" w:eastAsia="宋体"/>
                <w:sz w:val="16"/>
              </w:rPr>
              <w:t>促进乡村振兴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9B9A0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A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447CB">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77B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8F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B8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C22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F6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7B009">
            <w:pPr>
              <w:jc w:val="center"/>
            </w:pPr>
          </w:p>
        </w:tc>
      </w:tr>
      <w:tr w14:paraId="55F9B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AE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6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181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8F9F33">
            <w:pPr>
              <w:jc w:val="center"/>
            </w:pPr>
            <w:r>
              <w:rPr>
                <w:rFonts w:ascii="宋体" w:hAnsi="宋体" w:eastAsia="宋体"/>
                <w:sz w:val="16"/>
              </w:rPr>
              <w:t>受益群众满意度（%）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7F69C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B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496A">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F9F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78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C05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AD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07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501F8">
            <w:pPr>
              <w:jc w:val="center"/>
            </w:pPr>
          </w:p>
        </w:tc>
      </w:tr>
      <w:tr w14:paraId="76DC0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032E">
            <w:pPr>
              <w:jc w:val="center"/>
            </w:pPr>
            <w:r>
              <w:rPr>
                <w:rFonts w:ascii="宋体" w:hAnsi="宋体" w:eastAsia="宋体"/>
                <w:sz w:val="16"/>
              </w:rPr>
              <w:t>总分</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964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348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FD1050">
            <w:pPr>
              <w:jc w:val="center"/>
            </w:pPr>
            <w:r>
              <w:rPr>
                <w:rFonts w:ascii="宋体" w:hAnsi="宋体" w:eastAsia="宋体"/>
                <w:sz w:val="16"/>
              </w:rPr>
              <w:t>100分</w:t>
            </w:r>
          </w:p>
        </w:tc>
      </w:tr>
    </w:tbl>
    <w:p w14:paraId="4E0FB206">
      <w:r>
        <w:br w:type="page"/>
      </w:r>
    </w:p>
    <w:p w14:paraId="33B0B01F">
      <w:pPr>
        <w:spacing w:line="640" w:lineRule="exact"/>
        <w:ind w:firstLine="640"/>
        <w:jc w:val="both"/>
        <w:outlineLvl w:val="2"/>
      </w:pPr>
      <w:r>
        <w:rPr>
          <w:rFonts w:ascii="黑体" w:hAnsi="黑体" w:eastAsia="黑体"/>
          <w:sz w:val="32"/>
        </w:rPr>
        <w:t>十二、其他需说明的事项</w:t>
      </w:r>
    </w:p>
    <w:p w14:paraId="10568E44">
      <w:pPr>
        <w:spacing w:line="580" w:lineRule="exact"/>
        <w:ind w:firstLine="640"/>
        <w:jc w:val="both"/>
      </w:pPr>
      <w:r>
        <w:rPr>
          <w:rFonts w:ascii="仿宋_GB2312" w:hAnsi="仿宋_GB2312" w:eastAsia="仿宋_GB2312"/>
          <w:b w:val="0"/>
          <w:sz w:val="32"/>
        </w:rPr>
        <w:t>本单位无其他需说明的事项。</w:t>
      </w:r>
    </w:p>
    <w:p w14:paraId="4A37E076">
      <w:r>
        <w:br w:type="page"/>
      </w:r>
    </w:p>
    <w:p w14:paraId="39F82406">
      <w:pPr>
        <w:spacing w:line="240" w:lineRule="auto"/>
        <w:jc w:val="center"/>
        <w:outlineLvl w:val="1"/>
      </w:pPr>
      <w:r>
        <w:rPr>
          <w:rFonts w:ascii="黑体" w:hAnsi="黑体" w:eastAsia="黑体"/>
          <w:sz w:val="32"/>
        </w:rPr>
        <w:t>第三部分 专业名词解释</w:t>
      </w:r>
    </w:p>
    <w:p w14:paraId="58BE78B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943AF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84665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FBBDDB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80B7BE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EBB2D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8079DB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50927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B326F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C3500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62088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8D864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DF909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1594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F45409">
      <w:r>
        <w:br w:type="page"/>
      </w:r>
    </w:p>
    <w:p w14:paraId="6C48BC07">
      <w:pPr>
        <w:spacing w:line="240" w:lineRule="auto"/>
        <w:jc w:val="center"/>
        <w:outlineLvl w:val="1"/>
      </w:pPr>
      <w:r>
        <w:rPr>
          <w:rFonts w:ascii="黑体" w:hAnsi="黑体" w:eastAsia="黑体"/>
          <w:sz w:val="32"/>
        </w:rPr>
        <w:t>第四部分 部门决算报表（见附表）</w:t>
      </w:r>
    </w:p>
    <w:p w14:paraId="21C2B13E">
      <w:pPr>
        <w:spacing w:line="240" w:lineRule="auto"/>
        <w:ind w:firstLine="640"/>
        <w:jc w:val="both"/>
      </w:pPr>
      <w:r>
        <w:rPr>
          <w:rFonts w:ascii="仿宋_GB2312" w:hAnsi="仿宋_GB2312" w:eastAsia="仿宋_GB2312"/>
          <w:b w:val="0"/>
          <w:sz w:val="32"/>
        </w:rPr>
        <w:t>一、《收入支出决算总表》</w:t>
      </w:r>
    </w:p>
    <w:p w14:paraId="01118367">
      <w:pPr>
        <w:spacing w:line="240" w:lineRule="auto"/>
        <w:ind w:firstLine="640"/>
        <w:jc w:val="both"/>
      </w:pPr>
      <w:r>
        <w:rPr>
          <w:rFonts w:ascii="仿宋_GB2312" w:hAnsi="仿宋_GB2312" w:eastAsia="仿宋_GB2312"/>
          <w:b w:val="0"/>
          <w:sz w:val="32"/>
        </w:rPr>
        <w:t>二、《收入决算表》</w:t>
      </w:r>
    </w:p>
    <w:p w14:paraId="49D76F3A">
      <w:pPr>
        <w:spacing w:line="240" w:lineRule="auto"/>
        <w:ind w:firstLine="640"/>
        <w:jc w:val="both"/>
      </w:pPr>
      <w:r>
        <w:rPr>
          <w:rFonts w:ascii="仿宋_GB2312" w:hAnsi="仿宋_GB2312" w:eastAsia="仿宋_GB2312"/>
          <w:b w:val="0"/>
          <w:sz w:val="32"/>
        </w:rPr>
        <w:t>三、《支出决算表》</w:t>
      </w:r>
    </w:p>
    <w:p w14:paraId="0E42D822">
      <w:pPr>
        <w:spacing w:line="240" w:lineRule="auto"/>
        <w:ind w:firstLine="640"/>
        <w:jc w:val="both"/>
      </w:pPr>
      <w:r>
        <w:rPr>
          <w:rFonts w:ascii="仿宋_GB2312" w:hAnsi="仿宋_GB2312" w:eastAsia="仿宋_GB2312"/>
          <w:b w:val="0"/>
          <w:sz w:val="32"/>
        </w:rPr>
        <w:t>四、《财政拨款收入支出决算总表》</w:t>
      </w:r>
    </w:p>
    <w:p w14:paraId="40BA7E49">
      <w:pPr>
        <w:spacing w:line="240" w:lineRule="auto"/>
        <w:ind w:firstLine="640"/>
        <w:jc w:val="both"/>
      </w:pPr>
      <w:r>
        <w:rPr>
          <w:rFonts w:ascii="仿宋_GB2312" w:hAnsi="仿宋_GB2312" w:eastAsia="仿宋_GB2312"/>
          <w:b w:val="0"/>
          <w:sz w:val="32"/>
        </w:rPr>
        <w:t>五、《一般公共预算财政拨款支出决算表》</w:t>
      </w:r>
    </w:p>
    <w:p w14:paraId="03711EB3">
      <w:pPr>
        <w:spacing w:line="240" w:lineRule="auto"/>
        <w:ind w:firstLine="640"/>
        <w:jc w:val="both"/>
      </w:pPr>
      <w:r>
        <w:rPr>
          <w:rFonts w:ascii="仿宋_GB2312" w:hAnsi="仿宋_GB2312" w:eastAsia="仿宋_GB2312"/>
          <w:b w:val="0"/>
          <w:sz w:val="32"/>
        </w:rPr>
        <w:t>六、《一般公共预算财政拨款基本支出决算表》</w:t>
      </w:r>
    </w:p>
    <w:p w14:paraId="0CE8492C">
      <w:pPr>
        <w:spacing w:line="240" w:lineRule="auto"/>
        <w:ind w:firstLine="640"/>
        <w:jc w:val="both"/>
      </w:pPr>
      <w:r>
        <w:rPr>
          <w:rFonts w:ascii="仿宋_GB2312" w:hAnsi="仿宋_GB2312" w:eastAsia="仿宋_GB2312"/>
          <w:b w:val="0"/>
          <w:sz w:val="32"/>
        </w:rPr>
        <w:t>七、《政府性基金预算财政拨款收入支出决算表》</w:t>
      </w:r>
    </w:p>
    <w:p w14:paraId="384B35EC">
      <w:pPr>
        <w:spacing w:line="240" w:lineRule="auto"/>
        <w:ind w:firstLine="640"/>
        <w:jc w:val="both"/>
      </w:pPr>
      <w:r>
        <w:rPr>
          <w:rFonts w:ascii="仿宋_GB2312" w:hAnsi="仿宋_GB2312" w:eastAsia="仿宋_GB2312"/>
          <w:b w:val="0"/>
          <w:sz w:val="32"/>
        </w:rPr>
        <w:t>八、《国有资本经营预算财政拨款收入支出决算表》</w:t>
      </w:r>
    </w:p>
    <w:p w14:paraId="05C43A2C">
      <w:pPr>
        <w:spacing w:line="240" w:lineRule="auto"/>
        <w:ind w:firstLine="640"/>
        <w:jc w:val="both"/>
      </w:pPr>
      <w:r>
        <w:rPr>
          <w:rFonts w:ascii="仿宋_GB2312" w:hAnsi="仿宋_GB2312" w:eastAsia="仿宋_GB2312"/>
          <w:b w:val="0"/>
          <w:sz w:val="32"/>
        </w:rPr>
        <w:t>九、《财政拨款“三公”经费支出决算表》</w:t>
      </w:r>
    </w:p>
    <w:p w14:paraId="441F6164">
      <w:pPr>
        <w:spacing w:line="240" w:lineRule="auto"/>
        <w:ind w:firstLine="640"/>
        <w:jc w:val="both"/>
      </w:pPr>
    </w:p>
    <w:p w14:paraId="03F3256D">
      <w:pPr>
        <w:spacing w:line="240" w:lineRule="auto"/>
        <w:ind w:firstLine="640"/>
        <w:jc w:val="both"/>
      </w:pPr>
    </w:p>
    <w:p w14:paraId="26DBB461">
      <w:pPr>
        <w:spacing w:line="240" w:lineRule="auto"/>
        <w:ind w:firstLine="640"/>
        <w:jc w:val="both"/>
      </w:pPr>
    </w:p>
    <w:p w14:paraId="06F4B74B">
      <w:pPr>
        <w:spacing w:line="240" w:lineRule="auto"/>
        <w:ind w:firstLine="640"/>
        <w:jc w:val="both"/>
      </w:pPr>
    </w:p>
    <w:p w14:paraId="27DDE42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A16D2C-1EDD-44BA-9AF1-BF6DD27088E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C23585C-E371-4C39-9666-09ADF27A7D82}"/>
  </w:font>
  <w:font w:name="仿宋_GB2312">
    <w:panose1 w:val="02010609030101010101"/>
    <w:charset w:val="86"/>
    <w:family w:val="modern"/>
    <w:pitch w:val="default"/>
    <w:sig w:usb0="00000001" w:usb1="080E0000" w:usb2="00000000" w:usb3="00000000" w:csb0="00040000" w:csb1="00000000"/>
    <w:embedRegular r:id="rId3" w:fontKey="{9C0C1BD5-D12A-44B1-8B2E-EFB7CB5EC995}"/>
  </w:font>
  <w:font w:name="楷体_GB2312">
    <w:panose1 w:val="02010609030101010101"/>
    <w:charset w:val="86"/>
    <w:family w:val="auto"/>
    <w:pitch w:val="default"/>
    <w:sig w:usb0="00000001" w:usb1="080E0000" w:usb2="00000000" w:usb3="00000000" w:csb0="00040000" w:csb1="00000000"/>
    <w:embedRegular r:id="rId4" w:fontKey="{5F2F33ED-972E-449D-B79F-DB905E29FD19}"/>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925D21"/>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B140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4513</Words>
  <Characters>5250</Characters>
  <Lines>0</Lines>
  <Paragraphs>0</Paragraphs>
  <TotalTime>4</TotalTime>
  <ScaleCrop>false</ScaleCrop>
  <LinksUpToDate>false</LinksUpToDate>
  <CharactersWithSpaces>5258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2025-09-02T08:29:18Z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eyJoZGlkIjoiMGIxZTI3ODM4ZmVjOGE5NDFiYmE3OTRiMjQ5OTEyNzIiLCJ1c2VySWQiOiIyNTk4NTcxMjUifQ==</vt:lpwstr>
  </property>
</Properties>
</file>