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中共克孜勒苏柯尔克孜自治州委员会政策研究室2024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189E55">
      <w:r>
        <w:br w:type="page"/>
      </w:r>
    </w:p>
    <w:p w14:paraId="6E79EB32">
      <w:pPr>
        <w:spacing w:line="640" w:lineRule="exact"/>
        <w:jc w:val="center"/>
        <w:outlineLvl w:val="1"/>
      </w:pPr>
      <w:r>
        <w:rPr>
          <w:rFonts w:ascii="黑体" w:hAnsi="黑体" w:eastAsia="黑体"/>
          <w:sz w:val="32"/>
        </w:rPr>
        <w:t>第一部分 单位概况</w:t>
      </w:r>
    </w:p>
    <w:p w14:paraId="02812CBA">
      <w:pPr>
        <w:spacing w:line="640" w:lineRule="exact"/>
        <w:ind w:firstLine="640"/>
        <w:jc w:val="both"/>
        <w:outlineLvl w:val="2"/>
      </w:pPr>
      <w:r>
        <w:rPr>
          <w:rFonts w:ascii="黑体" w:hAnsi="黑体" w:eastAsia="黑体"/>
          <w:sz w:val="32"/>
        </w:rPr>
        <w:t>一、主要职能</w:t>
      </w:r>
    </w:p>
    <w:p w14:paraId="2DD0D176">
      <w:pPr>
        <w:spacing w:line="580" w:lineRule="exact"/>
        <w:ind w:firstLine="640"/>
        <w:jc w:val="both"/>
      </w:pPr>
      <w:r>
        <w:rPr>
          <w:rFonts w:ascii="仿宋_GB2312" w:hAnsi="仿宋_GB2312" w:eastAsia="仿宋_GB2312"/>
          <w:sz w:val="32"/>
        </w:rPr>
        <w:t>克州党委政研室（改革办）在克州党委的指示下，起草、参与起草、修改和组织协同有关部门共同起草、修改自治州党委、自治州人民政府重要文稿；根据自治州党委的意图和部署，统筹党的中心工作，对自治州政治、经济、文化、生态文明、民生保障、社会稳定、改革开放、党的建设等方面的重大问题进行调查研究，提出意见和建议，供自治州党委决策参考；根据自治州党委全面深化改革委员会要求，统筹相关部门制定改革方案和措施，加强与自治区党委改革办以及其他地州改革办的联络与交流，负责与各县（市）改革办、自治州各专项小组、各部门改革工作的沟通联络、参谋协调，协调推进军地及跨专项小组改革任务落实；负责对自治州各县（市）、各专项小组、各部门全面深化改革工作的统筹、协调、督促、绩效考核，总结宣传改革经验。</w:t>
      </w:r>
    </w:p>
    <w:p w14:paraId="7C689EE6">
      <w:pPr>
        <w:spacing w:line="640" w:lineRule="exact"/>
        <w:ind w:firstLine="640"/>
        <w:jc w:val="both"/>
        <w:outlineLvl w:val="2"/>
      </w:pPr>
      <w:r>
        <w:rPr>
          <w:rFonts w:ascii="黑体" w:hAnsi="黑体" w:eastAsia="黑体"/>
          <w:sz w:val="32"/>
        </w:rPr>
        <w:t>二、机构设置及人员情况</w:t>
      </w:r>
    </w:p>
    <w:p w14:paraId="5CBD7EEE">
      <w:pPr>
        <w:spacing w:line="580" w:lineRule="exact"/>
        <w:ind w:firstLine="640"/>
        <w:jc w:val="both"/>
      </w:pPr>
      <w:r>
        <w:rPr>
          <w:rFonts w:ascii="仿宋_GB2312" w:hAnsi="仿宋_GB2312" w:eastAsia="仿宋_GB2312"/>
          <w:sz w:val="32"/>
        </w:rPr>
        <w:t>中共克孜勒苏柯尔克孜自治州委员会政策研究室2024年度，实有人数12人，其中：在职人员12人，增加0人；离休人员0人，增加0人；退休人员0人,增加0人。</w:t>
      </w:r>
    </w:p>
    <w:p w14:paraId="2A5E9913">
      <w:pPr>
        <w:spacing w:line="580" w:lineRule="exact"/>
        <w:ind w:firstLine="640"/>
        <w:jc w:val="both"/>
      </w:pPr>
      <w:r>
        <w:rPr>
          <w:rFonts w:ascii="仿宋_GB2312" w:hAnsi="仿宋_GB2312" w:eastAsia="仿宋_GB2312"/>
          <w:sz w:val="32"/>
        </w:rPr>
        <w:t>中共克孜勒苏柯尔克孜自治州委员会政策研究室无下属预算单位，下设3个科室，分别是：政策研究科、深化改革科、综合信息中心。</w:t>
      </w:r>
    </w:p>
    <w:p w14:paraId="53016312">
      <w:r>
        <w:br w:type="page"/>
      </w:r>
    </w:p>
    <w:p w14:paraId="3A324658">
      <w:pPr>
        <w:spacing w:line="240" w:lineRule="auto"/>
        <w:jc w:val="center"/>
        <w:outlineLvl w:val="1"/>
      </w:pPr>
      <w:r>
        <w:rPr>
          <w:rFonts w:ascii="黑体" w:hAnsi="黑体" w:eastAsia="黑体"/>
          <w:sz w:val="32"/>
        </w:rPr>
        <w:t>第二部分 部门决算情况说明</w:t>
      </w:r>
    </w:p>
    <w:p w14:paraId="295A02EB">
      <w:pPr>
        <w:spacing w:line="640" w:lineRule="exact"/>
        <w:ind w:firstLine="640"/>
        <w:jc w:val="both"/>
        <w:outlineLvl w:val="2"/>
      </w:pPr>
      <w:r>
        <w:rPr>
          <w:rFonts w:ascii="黑体" w:hAnsi="黑体" w:eastAsia="黑体"/>
          <w:sz w:val="32"/>
        </w:rPr>
        <w:t>一、收入支出决算总体情况说明</w:t>
      </w:r>
    </w:p>
    <w:p w14:paraId="2DAAF076">
      <w:pPr>
        <w:spacing w:line="580" w:lineRule="exact"/>
        <w:ind w:firstLine="640"/>
        <w:jc w:val="both"/>
      </w:pPr>
      <w:r>
        <w:rPr>
          <w:rFonts w:ascii="仿宋_GB2312" w:hAnsi="仿宋_GB2312" w:eastAsia="仿宋_GB2312"/>
          <w:b/>
          <w:sz w:val="32"/>
        </w:rPr>
        <w:t>2024年度收入总计281.12万元，</w:t>
      </w:r>
      <w:r>
        <w:rPr>
          <w:rFonts w:ascii="仿宋_GB2312" w:hAnsi="仿宋_GB2312" w:eastAsia="仿宋_GB2312"/>
          <w:b w:val="0"/>
          <w:sz w:val="32"/>
        </w:rPr>
        <w:t>其中：本年收入合计280.12万元，使用非财政拨款结余（含专用结余）0.00万元，年初结转和结余1.00万元。</w:t>
      </w:r>
    </w:p>
    <w:p w14:paraId="3D41A419">
      <w:pPr>
        <w:spacing w:line="580" w:lineRule="exact"/>
        <w:ind w:firstLine="640"/>
        <w:jc w:val="both"/>
      </w:pPr>
      <w:r>
        <w:rPr>
          <w:rFonts w:ascii="仿宋_GB2312" w:hAnsi="仿宋_GB2312" w:eastAsia="仿宋_GB2312"/>
          <w:b/>
          <w:sz w:val="32"/>
        </w:rPr>
        <w:t>2024年度支出总计281.12万元，</w:t>
      </w:r>
      <w:r>
        <w:rPr>
          <w:rFonts w:ascii="仿宋_GB2312" w:hAnsi="仿宋_GB2312" w:eastAsia="仿宋_GB2312"/>
          <w:b w:val="0"/>
          <w:sz w:val="32"/>
        </w:rPr>
        <w:t>其中：本年支出合计280.64万元，结余分配0.00万元，年末结转和结余0.48万元。</w:t>
      </w:r>
    </w:p>
    <w:p w14:paraId="56414137">
      <w:pPr>
        <w:spacing w:line="580" w:lineRule="exact"/>
        <w:ind w:firstLine="640"/>
        <w:jc w:val="both"/>
      </w:pPr>
      <w:r>
        <w:rPr>
          <w:rFonts w:ascii="仿宋_GB2312" w:hAnsi="仿宋_GB2312" w:eastAsia="仿宋_GB2312"/>
          <w:b w:val="0"/>
          <w:sz w:val="32"/>
        </w:rPr>
        <w:t>收入支出总体与上年相比，增加39.64万元，增长16.42%，主要原因是：本年在职人员工资调增，社保、公积金基数调增，人员经费增加；本年增加社科基金经费。</w:t>
      </w:r>
    </w:p>
    <w:p w14:paraId="4E6B558F">
      <w:pPr>
        <w:spacing w:line="640" w:lineRule="exact"/>
        <w:ind w:firstLine="640"/>
        <w:jc w:val="both"/>
        <w:outlineLvl w:val="2"/>
      </w:pPr>
      <w:r>
        <w:rPr>
          <w:rFonts w:ascii="黑体" w:hAnsi="黑体" w:eastAsia="黑体"/>
          <w:sz w:val="32"/>
        </w:rPr>
        <w:t>二、收入决算情况说明</w:t>
      </w:r>
    </w:p>
    <w:p w14:paraId="29325A2D">
      <w:pPr>
        <w:spacing w:line="580" w:lineRule="exact"/>
        <w:ind w:firstLine="640"/>
        <w:jc w:val="both"/>
      </w:pPr>
      <w:r>
        <w:rPr>
          <w:rFonts w:ascii="仿宋_GB2312" w:hAnsi="仿宋_GB2312" w:eastAsia="仿宋_GB2312"/>
          <w:b/>
          <w:sz w:val="32"/>
        </w:rPr>
        <w:t>本年收入280.12万元，</w:t>
      </w:r>
      <w:r>
        <w:rPr>
          <w:rFonts w:ascii="仿宋_GB2312" w:hAnsi="仿宋_GB2312" w:eastAsia="仿宋_GB2312"/>
          <w:b w:val="0"/>
          <w:sz w:val="32"/>
        </w:rPr>
        <w:t>其中：财政拨款收入280.11万元，占100.00%；上级补助收入0.00万元，占0.00%；事业收入0.00万元，占0.00%；经营收入0.00万元，占0.00%；附属单位上缴收入0.00万元，占0.00%；其他收入0.01万元，占0.004%。</w:t>
      </w:r>
    </w:p>
    <w:p w14:paraId="12DC22AF">
      <w:pPr>
        <w:spacing w:line="640" w:lineRule="exact"/>
        <w:ind w:firstLine="640"/>
        <w:jc w:val="both"/>
        <w:outlineLvl w:val="2"/>
      </w:pPr>
      <w:r>
        <w:rPr>
          <w:rFonts w:ascii="黑体" w:hAnsi="黑体" w:eastAsia="黑体"/>
          <w:sz w:val="32"/>
        </w:rPr>
        <w:t>三、支出决算情况说明</w:t>
      </w:r>
    </w:p>
    <w:p w14:paraId="34BCA1A6">
      <w:pPr>
        <w:spacing w:line="580" w:lineRule="exact"/>
        <w:ind w:firstLine="640"/>
        <w:jc w:val="both"/>
      </w:pPr>
      <w:r>
        <w:rPr>
          <w:rFonts w:ascii="仿宋_GB2312" w:hAnsi="仿宋_GB2312" w:eastAsia="仿宋_GB2312"/>
          <w:b/>
          <w:sz w:val="32"/>
        </w:rPr>
        <w:t>本年支出280.64万元，</w:t>
      </w:r>
      <w:r>
        <w:rPr>
          <w:rFonts w:ascii="仿宋_GB2312" w:hAnsi="仿宋_GB2312" w:eastAsia="仿宋_GB2312"/>
          <w:b w:val="0"/>
          <w:sz w:val="32"/>
        </w:rPr>
        <w:t>其中：基本支出256.64万元，占91.45%；项目支出24.00万元，占8.55%；上缴上级支出0.00万元，占0.00%；经营支出0.00万元，占0.00%；对附属单位补助支出0.00万元，占0.00%。</w:t>
      </w:r>
    </w:p>
    <w:p w14:paraId="4E81DBB9">
      <w:pPr>
        <w:spacing w:line="640" w:lineRule="exact"/>
        <w:ind w:firstLine="640"/>
        <w:jc w:val="both"/>
        <w:outlineLvl w:val="2"/>
      </w:pPr>
      <w:r>
        <w:rPr>
          <w:rFonts w:ascii="黑体" w:hAnsi="黑体" w:eastAsia="黑体"/>
          <w:sz w:val="32"/>
        </w:rPr>
        <w:t>四、财政拨款收入支出决算总体情况说明</w:t>
      </w:r>
    </w:p>
    <w:p w14:paraId="152F3D47">
      <w:pPr>
        <w:spacing w:line="580" w:lineRule="exact"/>
        <w:ind w:firstLine="640"/>
        <w:jc w:val="both"/>
      </w:pPr>
      <w:r>
        <w:rPr>
          <w:rFonts w:ascii="仿宋_GB2312" w:hAnsi="仿宋_GB2312" w:eastAsia="仿宋_GB2312"/>
          <w:b/>
          <w:sz w:val="32"/>
        </w:rPr>
        <w:t>2024年度财政拨款收入总计280.11万元，</w:t>
      </w:r>
      <w:r>
        <w:rPr>
          <w:rFonts w:ascii="仿宋_GB2312" w:hAnsi="仿宋_GB2312" w:eastAsia="仿宋_GB2312"/>
          <w:b w:val="0"/>
          <w:sz w:val="32"/>
        </w:rPr>
        <w:t>其中：年初财政拨款结转和结余0.00万元，本年财政拨款收入280.11万元。</w:t>
      </w:r>
      <w:r>
        <w:rPr>
          <w:rFonts w:ascii="仿宋_GB2312" w:hAnsi="仿宋_GB2312" w:eastAsia="仿宋_GB2312"/>
          <w:b/>
          <w:sz w:val="32"/>
        </w:rPr>
        <w:t>财政拨款支出总计280.11万元，</w:t>
      </w:r>
      <w:r>
        <w:rPr>
          <w:rFonts w:ascii="仿宋_GB2312" w:hAnsi="仿宋_GB2312" w:eastAsia="仿宋_GB2312"/>
          <w:b w:val="0"/>
          <w:sz w:val="32"/>
        </w:rPr>
        <w:t>其中：年末财政拨款结转和结余0.00万元，本年财政拨款支出280.11万元。</w:t>
      </w:r>
    </w:p>
    <w:p w14:paraId="7AF3F37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增加39.87万元，增长16.60%，主要原因是：本年在职人员工资调增，社保、公积金基数调增，人员经费增加；本年增加社科基金经费。</w:t>
      </w:r>
      <w:r>
        <w:rPr>
          <w:rFonts w:ascii="仿宋_GB2312" w:hAnsi="仿宋_GB2312" w:eastAsia="仿宋_GB2312"/>
          <w:b/>
          <w:sz w:val="32"/>
        </w:rPr>
        <w:t>与年初预算相比，</w:t>
      </w:r>
      <w:r>
        <w:rPr>
          <w:rFonts w:ascii="仿宋_GB2312" w:hAnsi="仿宋_GB2312" w:eastAsia="仿宋_GB2312"/>
          <w:b w:val="0"/>
          <w:sz w:val="32"/>
        </w:rPr>
        <w:t>年初预算数260.51万元，决算数280.11万元，预决算差异率7.52%，主要原因是：年中追加人员工资、社保、公积金基数调增部分资金，导致预决算存在差异。</w:t>
      </w:r>
    </w:p>
    <w:p w14:paraId="13A1944E">
      <w:pPr>
        <w:spacing w:line="640" w:lineRule="exact"/>
        <w:ind w:firstLine="640"/>
        <w:jc w:val="both"/>
        <w:outlineLvl w:val="2"/>
      </w:pPr>
      <w:r>
        <w:rPr>
          <w:rFonts w:ascii="黑体" w:hAnsi="黑体" w:eastAsia="黑体"/>
          <w:sz w:val="32"/>
        </w:rPr>
        <w:t>五、一般公共预算财政拨款支出决算情况说明</w:t>
      </w:r>
    </w:p>
    <w:p w14:paraId="5AF2A392">
      <w:pPr>
        <w:spacing w:line="640" w:lineRule="exact"/>
        <w:ind w:firstLine="640"/>
        <w:jc w:val="both"/>
        <w:outlineLvl w:val="3"/>
      </w:pPr>
      <w:r>
        <w:rPr>
          <w:rFonts w:ascii="楷体_GB2312" w:hAnsi="楷体_GB2312" w:eastAsia="楷体_GB2312"/>
          <w:b/>
          <w:sz w:val="32"/>
        </w:rPr>
        <w:t>（一）一般公共预算财政拨款支出决算总体情况</w:t>
      </w:r>
    </w:p>
    <w:p w14:paraId="2650BFD2">
      <w:pPr>
        <w:spacing w:line="580" w:lineRule="exact"/>
        <w:ind w:firstLine="640"/>
        <w:jc w:val="both"/>
      </w:pPr>
      <w:r>
        <w:rPr>
          <w:rFonts w:ascii="仿宋_GB2312" w:hAnsi="仿宋_GB2312" w:eastAsia="仿宋_GB2312"/>
          <w:b/>
          <w:sz w:val="32"/>
        </w:rPr>
        <w:t>2024年度一般公共预算财政拨款支出280.11万元，</w:t>
      </w:r>
      <w:r>
        <w:rPr>
          <w:rFonts w:ascii="仿宋_GB2312" w:hAnsi="仿宋_GB2312" w:eastAsia="仿宋_GB2312"/>
          <w:b w:val="0"/>
          <w:sz w:val="32"/>
        </w:rPr>
        <w:t>占本年支出合计的99.81%。</w:t>
      </w:r>
      <w:r>
        <w:rPr>
          <w:rFonts w:ascii="仿宋_GB2312" w:hAnsi="仿宋_GB2312" w:eastAsia="仿宋_GB2312"/>
          <w:b/>
          <w:sz w:val="32"/>
        </w:rPr>
        <w:t>与上年相比，</w:t>
      </w:r>
      <w:r>
        <w:rPr>
          <w:rFonts w:ascii="仿宋_GB2312" w:hAnsi="仿宋_GB2312" w:eastAsia="仿宋_GB2312"/>
          <w:b w:val="0"/>
          <w:sz w:val="32"/>
        </w:rPr>
        <w:t>增加39.87万元，增长16.60%，主要原因是：人员工资增长，社保、公积金基数调增，相关经费增加；本年增加社科基金经费。</w:t>
      </w:r>
      <w:r>
        <w:rPr>
          <w:rFonts w:ascii="仿宋_GB2312" w:hAnsi="仿宋_GB2312" w:eastAsia="仿宋_GB2312"/>
          <w:b/>
          <w:sz w:val="32"/>
        </w:rPr>
        <w:t>与年初预算相比,</w:t>
      </w:r>
      <w:r>
        <w:rPr>
          <w:rFonts w:ascii="仿宋_GB2312" w:hAnsi="仿宋_GB2312" w:eastAsia="仿宋_GB2312"/>
          <w:b w:val="0"/>
          <w:sz w:val="32"/>
        </w:rPr>
        <w:t>年初预算数260.51万元，决算数280.11万元，预决算差异率7.52%，主要原因是：年中追加人员工资、社保、公积金基数调增部分资金，导致预决算存在差异。</w:t>
      </w:r>
    </w:p>
    <w:p w14:paraId="19170E0C">
      <w:pPr>
        <w:spacing w:line="640" w:lineRule="exact"/>
        <w:ind w:firstLine="640"/>
        <w:jc w:val="both"/>
        <w:outlineLvl w:val="3"/>
      </w:pPr>
      <w:r>
        <w:rPr>
          <w:rFonts w:ascii="楷体_GB2312" w:hAnsi="楷体_GB2312" w:eastAsia="楷体_GB2312"/>
          <w:b/>
          <w:sz w:val="32"/>
        </w:rPr>
        <w:t>（二）一般公共预算财政拨款支出决算结构情况</w:t>
      </w:r>
    </w:p>
    <w:p w14:paraId="41C12480">
      <w:pPr>
        <w:spacing w:line="580" w:lineRule="exact"/>
        <w:ind w:firstLine="640"/>
        <w:jc w:val="both"/>
      </w:pPr>
      <w:r>
        <w:rPr>
          <w:rFonts w:ascii="仿宋_GB2312" w:hAnsi="仿宋_GB2312" w:eastAsia="仿宋_GB2312"/>
          <w:b w:val="0"/>
          <w:sz w:val="32"/>
        </w:rPr>
        <w:t>1.一般公共服务支出(类)256.68万元,占91.64%。</w:t>
      </w:r>
    </w:p>
    <w:p w14:paraId="288AB5BF">
      <w:pPr>
        <w:spacing w:line="580" w:lineRule="exact"/>
        <w:ind w:firstLine="640"/>
        <w:jc w:val="both"/>
      </w:pPr>
      <w:r>
        <w:rPr>
          <w:rFonts w:ascii="仿宋_GB2312" w:hAnsi="仿宋_GB2312" w:eastAsia="仿宋_GB2312"/>
          <w:b w:val="0"/>
          <w:sz w:val="32"/>
        </w:rPr>
        <w:t>2.社会保障和就业支出(类)23.42万元,占8.36%。</w:t>
      </w:r>
    </w:p>
    <w:p w14:paraId="198E0FB1">
      <w:pPr>
        <w:spacing w:line="640" w:lineRule="exact"/>
        <w:ind w:firstLine="640"/>
        <w:jc w:val="both"/>
        <w:outlineLvl w:val="3"/>
      </w:pPr>
      <w:r>
        <w:rPr>
          <w:rFonts w:ascii="楷体_GB2312" w:hAnsi="楷体_GB2312" w:eastAsia="楷体_GB2312"/>
          <w:b/>
          <w:sz w:val="32"/>
        </w:rPr>
        <w:t>（三）一般公共预算财政拨款支出决算具体情况</w:t>
      </w:r>
    </w:p>
    <w:p w14:paraId="584565D0">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1.一般公共服务支出(类)党委办公厅（室）及相关机构事务(款)行政运行(项):支出决算数为157.38万元，比上年决算增加30.80万元，增长24.33%,主要原因是：本年在职人员工资调增，导致相关人员经费较上年有所增加。</w:t>
      </w:r>
    </w:p>
    <w:p w14:paraId="6E84A402">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2.一般公共服务支出(类)党委办公厅（室）及相关机构事务(款)事业运行(项):支出决算数为75.30万元，比上年决算增加4.54万元，增长6.42%,主要原因是：本年在职人员工资调增，导致相关人员经费较上年有所增加。</w:t>
      </w:r>
    </w:p>
    <w:p w14:paraId="62915F42">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3.一般公共服务支出(类)党委办公厅（室）及相关机构事务(款)其他党委办公厅（室）及相关机构事务支出(项):支出决算数为24.00万元，比上年决算减少0.50万元，下降2.04%,主要原因是：本年度减少第一书记安置费。</w:t>
      </w:r>
    </w:p>
    <w:p w14:paraId="48377AA0">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23.42万元，比上年决算增加5.02万元，增长27.28%,主要原因是：本年在职人员工资基数调增，养老缴费基数上涨，相应支出增加。</w:t>
      </w:r>
    </w:p>
    <w:p w14:paraId="63214A47">
      <w:pPr>
        <w:spacing w:line="640" w:lineRule="exact"/>
        <w:ind w:firstLine="640"/>
        <w:jc w:val="both"/>
        <w:outlineLvl w:val="2"/>
      </w:pPr>
      <w:r>
        <w:rPr>
          <w:rFonts w:ascii="黑体" w:hAnsi="黑体" w:eastAsia="黑体"/>
          <w:sz w:val="32"/>
        </w:rPr>
        <w:t>六、一般公共预算财政拨款基本支出决算情况说明</w:t>
      </w:r>
    </w:p>
    <w:p w14:paraId="75F44083">
      <w:pPr>
        <w:spacing w:line="580" w:lineRule="exact"/>
        <w:ind w:firstLine="640"/>
        <w:jc w:val="both"/>
      </w:pPr>
      <w:r>
        <w:rPr>
          <w:rFonts w:ascii="仿宋_GB2312" w:hAnsi="仿宋_GB2312" w:eastAsia="仿宋_GB2312"/>
          <w:b w:val="0"/>
          <w:sz w:val="32"/>
        </w:rPr>
        <w:t>2024年度一般公共预算财政拨款基本支出256.11万元，其中：</w:t>
      </w:r>
      <w:r>
        <w:rPr>
          <w:rFonts w:ascii="仿宋_GB2312" w:hAnsi="仿宋_GB2312" w:eastAsia="仿宋_GB2312"/>
          <w:b/>
          <w:sz w:val="32"/>
        </w:rPr>
        <w:t>人员经费247.38万元，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包括：基本工资、津贴补贴、奖金、机关事业单位基本养老保险缴费、职工基本医疗保险缴费、其他社会保障缴费、住房公积金、其他工资福利支出、生活补助。</w:t>
      </w:r>
    </w:p>
    <w:p w14:paraId="1DC3D6F4">
      <w:pPr>
        <w:spacing w:line="580" w:lineRule="exact"/>
        <w:ind w:firstLine="640"/>
        <w:jc w:val="both"/>
      </w:pPr>
      <w:r>
        <w:rPr>
          <w:rFonts w:ascii="仿宋_GB2312" w:hAnsi="仿宋_GB2312" w:eastAsia="仿宋_GB2312"/>
          <w:b/>
          <w:sz w:val="32"/>
        </w:rPr>
        <w:t>公用经费8.73万元，</w:t>
      </w:r>
      <w:r>
        <w:rPr>
          <w:rFonts w:ascii="仿宋_GB2312" w:hAnsi="仿宋_GB2312" w:eastAsia="仿宋_GB2312"/>
          <w:b w:val="0"/>
          <w:sz w:val="32"/>
        </w:rPr>
        <w:t>包括：办公费、邮电费、差旅费、工会经费、福利费、公务用车运行维护费、其他商品和服务支出。</w:t>
      </w:r>
    </w:p>
    <w:p w14:paraId="61DDFE12">
      <w:pPr>
        <w:spacing w:line="640" w:lineRule="exact"/>
        <w:ind w:firstLine="640"/>
        <w:jc w:val="both"/>
        <w:outlineLvl w:val="2"/>
      </w:pPr>
      <w:r>
        <w:rPr>
          <w:rFonts w:ascii="黑体" w:hAnsi="黑体" w:eastAsia="黑体"/>
          <w:sz w:val="32"/>
        </w:rPr>
        <w:t>七、政府性基金预算财政拨款收入支出决算情况说明</w:t>
      </w:r>
    </w:p>
    <w:p w14:paraId="1FD0938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8D31174">
      <w:pPr>
        <w:spacing w:line="640" w:lineRule="exact"/>
        <w:ind w:firstLine="640"/>
        <w:jc w:val="both"/>
        <w:outlineLvl w:val="2"/>
      </w:pPr>
      <w:r>
        <w:rPr>
          <w:rFonts w:ascii="黑体" w:hAnsi="黑体" w:eastAsia="黑体"/>
          <w:sz w:val="32"/>
        </w:rPr>
        <w:t>八、国有资本经营预算财政拨款收入支出决算情况说明</w:t>
      </w:r>
    </w:p>
    <w:p w14:paraId="0760B91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6018F36">
      <w:pPr>
        <w:spacing w:line="640" w:lineRule="exact"/>
        <w:ind w:firstLine="640"/>
        <w:jc w:val="both"/>
        <w:outlineLvl w:val="2"/>
      </w:pPr>
      <w:r>
        <w:rPr>
          <w:rFonts w:ascii="黑体" w:hAnsi="黑体" w:eastAsia="黑体"/>
          <w:sz w:val="32"/>
        </w:rPr>
        <w:t>九、财政拨款“三公”经费支出决算情况说明</w:t>
      </w:r>
    </w:p>
    <w:p w14:paraId="05C61F18">
      <w:pPr>
        <w:spacing w:line="580" w:lineRule="exact"/>
        <w:ind w:firstLine="640"/>
        <w:jc w:val="both"/>
      </w:pPr>
      <w:r>
        <w:rPr>
          <w:rFonts w:ascii="仿宋_GB2312" w:hAnsi="仿宋_GB2312" w:eastAsia="仿宋_GB2312"/>
          <w:b/>
          <w:sz w:val="32"/>
        </w:rPr>
        <w:t>2024年度财政拨款“三公”经费支出1.56万元，</w:t>
      </w:r>
      <w:r>
        <w:rPr>
          <w:rFonts w:ascii="仿宋_GB2312" w:hAnsi="仿宋_GB2312" w:eastAsia="仿宋_GB2312"/>
          <w:b w:val="0"/>
          <w:sz w:val="32"/>
        </w:rPr>
        <w:t>比上年减少0.68万元，下降30.36%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1.12万元，占71.79%，比上年减少0.65万元，下降36.72%，主要原因是：严格落实中央八项规定精神，厉行节约，减少公务用车运行维护费。公务接待费支出0.44万元，占28.21%，比上年减少0.03万元，下降6.38%，主要原因是：严格落实中央八项规定精神，厉行节约，减少公务接待费。</w:t>
      </w:r>
    </w:p>
    <w:p w14:paraId="0847BAB9">
      <w:pPr>
        <w:spacing w:line="580" w:lineRule="exact"/>
        <w:ind w:firstLine="640"/>
        <w:jc w:val="both"/>
      </w:pPr>
      <w:r>
        <w:rPr>
          <w:rFonts w:ascii="仿宋_GB2312" w:hAnsi="仿宋_GB2312" w:eastAsia="仿宋_GB2312"/>
          <w:b/>
          <w:sz w:val="32"/>
        </w:rPr>
        <w:t>具体情况如下：</w:t>
      </w:r>
    </w:p>
    <w:p w14:paraId="7F04D51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293DC7">
      <w:pPr>
        <w:spacing w:line="580" w:lineRule="exact"/>
        <w:ind w:firstLine="640"/>
        <w:jc w:val="both"/>
      </w:pPr>
      <w:r>
        <w:rPr>
          <w:rFonts w:ascii="仿宋_GB2312" w:hAnsi="仿宋_GB2312" w:eastAsia="仿宋_GB2312"/>
          <w:b w:val="0"/>
          <w:sz w:val="32"/>
        </w:rPr>
        <w:t>公务用车购置及运行维护费1.12万元，其中：公务用车购置费0.00万元，公务用车运行维护费1.12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6D66D749">
      <w:pPr>
        <w:spacing w:line="580" w:lineRule="exact"/>
        <w:ind w:firstLine="640"/>
        <w:jc w:val="both"/>
      </w:pPr>
      <w:r>
        <w:rPr>
          <w:rFonts w:ascii="仿宋_GB2312" w:hAnsi="仿宋_GB2312" w:eastAsia="仿宋_GB2312"/>
          <w:b w:val="0"/>
          <w:sz w:val="32"/>
        </w:rPr>
        <w:t>公务接待费0.44万元，开支内容包括接待上级领导检查工作产生的就餐费。单位全年安排的国内公务接待9批次，37人次。</w:t>
      </w:r>
    </w:p>
    <w:p w14:paraId="7D25E93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1.56万元，决算数1.56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1.12万元，决算数1.12万元，预决算差异率0.00%，主要原因是：严格按照预算执行，预决算无差异。公务接待费全年预算数0.44万元，决算数0.44万元，预决算差异率0.00%，主要原因是：严格按照预算执行，预决算无差异。</w:t>
      </w:r>
    </w:p>
    <w:p w14:paraId="713555AD">
      <w:pPr>
        <w:spacing w:line="640" w:lineRule="exact"/>
        <w:ind w:firstLine="640"/>
        <w:jc w:val="both"/>
        <w:outlineLvl w:val="2"/>
      </w:pPr>
      <w:r>
        <w:rPr>
          <w:rFonts w:ascii="黑体" w:hAnsi="黑体" w:eastAsia="黑体"/>
          <w:sz w:val="32"/>
        </w:rPr>
        <w:t>十、其他重要事项的情况说明</w:t>
      </w:r>
    </w:p>
    <w:p w14:paraId="04F5B4F7">
      <w:pPr>
        <w:spacing w:line="640" w:lineRule="exact"/>
        <w:ind w:firstLine="640"/>
        <w:jc w:val="both"/>
        <w:outlineLvl w:val="3"/>
      </w:pPr>
      <w:r>
        <w:rPr>
          <w:rFonts w:ascii="楷体_GB2312" w:hAnsi="楷体_GB2312" w:eastAsia="楷体_GB2312"/>
          <w:b/>
          <w:sz w:val="32"/>
        </w:rPr>
        <w:t>（一）机关运行经费及公用经费支出情况</w:t>
      </w:r>
    </w:p>
    <w:p w14:paraId="6C300D56">
      <w:pPr>
        <w:spacing w:line="580" w:lineRule="exact"/>
        <w:ind w:firstLine="640"/>
        <w:jc w:val="both"/>
      </w:pPr>
      <w:r>
        <w:rPr>
          <w:rFonts w:ascii="仿宋_GB2312" w:hAnsi="仿宋_GB2312" w:eastAsia="仿宋_GB2312"/>
          <w:b w:val="0"/>
          <w:sz w:val="32"/>
        </w:rPr>
        <w:t>2024年度中共克孜勒苏柯尔克孜自治州委员会政策研究室（行政单位和参照公务员法管理事业单位）机关运行经费支出8.73万元，比上年增加2.14万元，增长32.47%，主要原因是：本年更新、维护补充办公用品，导致机关运行经费较上年增加。</w:t>
      </w:r>
    </w:p>
    <w:p w14:paraId="42422326">
      <w:pPr>
        <w:spacing w:line="640" w:lineRule="exact"/>
        <w:ind w:firstLine="640"/>
        <w:jc w:val="both"/>
        <w:outlineLvl w:val="3"/>
      </w:pPr>
      <w:r>
        <w:rPr>
          <w:rFonts w:ascii="楷体_GB2312" w:hAnsi="楷体_GB2312" w:eastAsia="楷体_GB2312"/>
          <w:b/>
          <w:sz w:val="32"/>
        </w:rPr>
        <w:t>（二）政府采购情况</w:t>
      </w:r>
    </w:p>
    <w:p w14:paraId="0955018C">
      <w:pPr>
        <w:spacing w:line="580" w:lineRule="exact"/>
        <w:ind w:firstLine="640"/>
        <w:jc w:val="both"/>
      </w:pPr>
      <w:r>
        <w:rPr>
          <w:rFonts w:ascii="仿宋_GB2312" w:hAnsi="仿宋_GB2312" w:eastAsia="仿宋_GB2312"/>
          <w:b w:val="0"/>
          <w:sz w:val="32"/>
        </w:rPr>
        <w:t>2024年度政府采购支出总额1.97万元，其中：政府采购货物支出0.85万元、政府采购工程支出0.00万元、政府采购服务支出1.12万元。</w:t>
      </w:r>
    </w:p>
    <w:p w14:paraId="34632340">
      <w:pPr>
        <w:spacing w:line="580" w:lineRule="exact"/>
        <w:ind w:firstLine="640"/>
        <w:jc w:val="both"/>
      </w:pPr>
      <w:r>
        <w:rPr>
          <w:rFonts w:ascii="仿宋_GB2312" w:hAnsi="仿宋_GB2312" w:eastAsia="仿宋_GB2312"/>
          <w:b w:val="0"/>
          <w:sz w:val="32"/>
        </w:rPr>
        <w:t>授予中小企业合同金额1.55万元，占政府采购支出总额的78.68%，其中：授予小微企业合同金额1.43万元，占政府采购支出总额的72.59%。</w:t>
      </w:r>
    </w:p>
    <w:p w14:paraId="0944FBC8">
      <w:pPr>
        <w:spacing w:line="640" w:lineRule="exact"/>
        <w:ind w:firstLine="640"/>
        <w:jc w:val="both"/>
        <w:outlineLvl w:val="3"/>
      </w:pPr>
      <w:r>
        <w:rPr>
          <w:rFonts w:ascii="楷体_GB2312" w:hAnsi="楷体_GB2312" w:eastAsia="楷体_GB2312"/>
          <w:b/>
          <w:sz w:val="32"/>
        </w:rPr>
        <w:t>（三）国有资产占用情况说明</w:t>
      </w:r>
    </w:p>
    <w:p w14:paraId="32F60FFA">
      <w:pPr>
        <w:spacing w:line="580" w:lineRule="exact"/>
        <w:ind w:firstLine="640"/>
        <w:jc w:val="both"/>
      </w:pPr>
      <w:r>
        <w:rPr>
          <w:rFonts w:ascii="仿宋_GB2312" w:hAnsi="仿宋_GB2312" w:eastAsia="仿宋_GB2312"/>
          <w:b w:val="0"/>
          <w:sz w:val="32"/>
        </w:rPr>
        <w:t>截至2024年12月31日，房屋0.00平方米，价值0.00万元。车辆1辆，价值11.92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65AF963">
      <w:pPr>
        <w:spacing w:line="640" w:lineRule="exact"/>
        <w:ind w:firstLine="640"/>
        <w:jc w:val="both"/>
        <w:outlineLvl w:val="2"/>
      </w:pPr>
      <w:r>
        <w:rPr>
          <w:rFonts w:ascii="黑体" w:hAnsi="黑体" w:eastAsia="黑体"/>
          <w:sz w:val="32"/>
        </w:rPr>
        <w:t>十一、预算绩效的情况说明</w:t>
      </w:r>
    </w:p>
    <w:p w14:paraId="1893F88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281.12万元，实际执行总额280.64万元；预算绩效评价项目3个，全年预算数25.00万元，全年执行数24.54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6EA98F2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C939AC1">
        <w:tblPrEx>
          <w:tblCellMar>
            <w:top w:w="0" w:type="dxa"/>
            <w:left w:w="108" w:type="dxa"/>
            <w:bottom w:w="0" w:type="dxa"/>
            <w:right w:w="108" w:type="dxa"/>
          </w:tblCellMar>
        </w:tblPrEx>
        <w:tc>
          <w:tcPr>
            <w:tcW w:w="8840" w:type="dxa"/>
            <w:gridSpan w:val="8"/>
            <w:vAlign w:val="center"/>
          </w:tcPr>
          <w:p w14:paraId="1BC1662A">
            <w:pPr>
              <w:jc w:val="center"/>
            </w:pPr>
            <w:r>
              <w:rPr>
                <w:rFonts w:ascii="宋体" w:hAnsi="宋体" w:eastAsia="宋体"/>
                <w:sz w:val="24"/>
              </w:rPr>
              <w:t>单位整体支出绩效自评表</w:t>
            </w:r>
          </w:p>
        </w:tc>
      </w:tr>
      <w:tr w14:paraId="64BEC018">
        <w:tblPrEx>
          <w:tblCellMar>
            <w:top w:w="0" w:type="dxa"/>
            <w:left w:w="108" w:type="dxa"/>
            <w:bottom w:w="0" w:type="dxa"/>
            <w:right w:w="108" w:type="dxa"/>
          </w:tblCellMar>
        </w:tblPrEx>
        <w:tc>
          <w:tcPr>
            <w:tcW w:w="8840" w:type="dxa"/>
            <w:gridSpan w:val="8"/>
            <w:vAlign w:val="center"/>
          </w:tcPr>
          <w:p w14:paraId="20E2B6D1">
            <w:pPr>
              <w:jc w:val="center"/>
            </w:pPr>
            <w:r>
              <w:rPr>
                <w:rFonts w:ascii="宋体" w:hAnsi="宋体" w:eastAsia="宋体"/>
                <w:sz w:val="24"/>
              </w:rPr>
              <w:t>（2024年度）</w:t>
            </w:r>
          </w:p>
        </w:tc>
      </w:tr>
      <w:tr w14:paraId="17F9ACA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59DAA1">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521A5">
            <w:pPr>
              <w:jc w:val="center"/>
            </w:pPr>
            <w:r>
              <w:rPr>
                <w:rFonts w:ascii="宋体" w:hAnsi="宋体" w:eastAsia="宋体"/>
                <w:sz w:val="16"/>
              </w:rPr>
              <w:t>中共克孜勒苏柯尔克孜自治州委员会政策研究室</w:t>
            </w:r>
          </w:p>
        </w:tc>
      </w:tr>
      <w:tr w14:paraId="3AB4A55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AD01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CFF4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F5AB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70A79">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BA14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18CA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39F1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4B73D1">
            <w:pPr>
              <w:jc w:val="center"/>
            </w:pPr>
            <w:r>
              <w:rPr>
                <w:rFonts w:ascii="宋体" w:hAnsi="宋体" w:eastAsia="宋体"/>
                <w:sz w:val="16"/>
              </w:rPr>
              <w:t>得分</w:t>
            </w:r>
          </w:p>
        </w:tc>
      </w:tr>
      <w:tr w14:paraId="2C79CC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160D4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C176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80DA8">
            <w:pPr>
              <w:jc w:val="center"/>
            </w:pPr>
            <w:r>
              <w:rPr>
                <w:rFonts w:ascii="宋体" w:hAnsi="宋体" w:eastAsia="宋体"/>
                <w:sz w:val="16"/>
              </w:rPr>
              <w:t>261.51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F83BA">
            <w:pPr>
              <w:jc w:val="center"/>
            </w:pPr>
            <w:r>
              <w:rPr>
                <w:rFonts w:ascii="宋体" w:hAnsi="宋体" w:eastAsia="宋体"/>
                <w:sz w:val="16"/>
              </w:rPr>
              <w:t>281.12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C6BF0">
            <w:pPr>
              <w:jc w:val="center"/>
            </w:pPr>
            <w:r>
              <w:rPr>
                <w:rFonts w:ascii="宋体" w:hAnsi="宋体" w:eastAsia="宋体"/>
                <w:sz w:val="16"/>
              </w:rPr>
              <w:t>280.64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B254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6ACB7">
            <w:pPr>
              <w:jc w:val="center"/>
            </w:pPr>
            <w:r>
              <w:rPr>
                <w:rFonts w:ascii="宋体" w:hAnsi="宋体" w:eastAsia="宋体"/>
                <w:sz w:val="16"/>
              </w:rPr>
              <w:t>99.83%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972B4">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bookmarkStart w:id="0" w:name="_GoBack"/>
            <w:bookmarkEnd w:id="0"/>
            <w:r>
              <w:rPr>
                <w:rFonts w:ascii="宋体" w:hAnsi="宋体" w:eastAsia="宋体"/>
                <w:sz w:val="16"/>
              </w:rPr>
              <w:t>98</w:t>
            </w:r>
            <w:r>
              <w:rPr>
                <w:rFonts w:hint="eastAsia" w:ascii="宋体" w:hAnsi="宋体"/>
                <w:sz w:val="16"/>
                <w:lang w:val="en-US" w:eastAsia="zh-CN"/>
              </w:rPr>
              <w:t>分</w:t>
            </w:r>
          </w:p>
        </w:tc>
      </w:tr>
      <w:tr w14:paraId="2CEBEA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151C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C157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6CBA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E3D37">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4371F">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BE37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7F9A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C774C">
            <w:pPr>
              <w:jc w:val="center"/>
            </w:pPr>
            <w:r>
              <w:rPr>
                <w:rFonts w:ascii="宋体" w:hAnsi="宋体" w:eastAsia="宋体"/>
                <w:sz w:val="16"/>
              </w:rPr>
              <w:t>—</w:t>
            </w:r>
          </w:p>
        </w:tc>
      </w:tr>
      <w:tr w14:paraId="6EC562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6FE4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DD40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33A61">
            <w:pPr>
              <w:jc w:val="center"/>
            </w:pPr>
            <w:r>
              <w:rPr>
                <w:rFonts w:ascii="宋体" w:hAnsi="宋体" w:eastAsia="宋体"/>
                <w:sz w:val="16"/>
              </w:rPr>
              <w:t>260.51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A8041C">
            <w:pPr>
              <w:jc w:val="center"/>
            </w:pPr>
            <w:r>
              <w:rPr>
                <w:rFonts w:ascii="宋体" w:hAnsi="宋体" w:eastAsia="宋体"/>
                <w:sz w:val="16"/>
              </w:rPr>
              <w:t>269.12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99E3B">
            <w:pPr>
              <w:jc w:val="center"/>
            </w:pPr>
            <w:r>
              <w:rPr>
                <w:rFonts w:ascii="宋体" w:hAnsi="宋体" w:eastAsia="宋体"/>
                <w:sz w:val="16"/>
              </w:rPr>
              <w:t>268.64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380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3F7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7C158">
            <w:pPr>
              <w:jc w:val="center"/>
            </w:pPr>
            <w:r>
              <w:rPr>
                <w:rFonts w:ascii="宋体" w:hAnsi="宋体" w:eastAsia="宋体"/>
                <w:sz w:val="16"/>
              </w:rPr>
              <w:t>—</w:t>
            </w:r>
          </w:p>
        </w:tc>
      </w:tr>
      <w:tr w14:paraId="12787D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D2E82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6F83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37FA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7003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7C40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1D7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7FE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B4413">
            <w:pPr>
              <w:jc w:val="center"/>
            </w:pPr>
            <w:r>
              <w:rPr>
                <w:rFonts w:ascii="宋体" w:hAnsi="宋体" w:eastAsia="宋体"/>
                <w:sz w:val="16"/>
              </w:rPr>
              <w:t>—</w:t>
            </w:r>
          </w:p>
        </w:tc>
      </w:tr>
      <w:tr w14:paraId="5B54DA1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6654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2ED7F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5FBA94">
            <w:pPr>
              <w:jc w:val="center"/>
            </w:pPr>
            <w:r>
              <w:rPr>
                <w:rFonts w:hint="eastAsia" w:ascii="宋体" w:hAnsi="宋体" w:eastAsia="宋体"/>
                <w:sz w:val="16"/>
              </w:rPr>
              <w:t>实际完成情况</w:t>
            </w:r>
          </w:p>
        </w:tc>
      </w:tr>
      <w:tr w14:paraId="0808BCA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9311D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051868">
            <w:pPr>
              <w:jc w:val="both"/>
            </w:pPr>
            <w:r>
              <w:rPr>
                <w:rFonts w:ascii="宋体" w:hAnsi="宋体" w:eastAsia="宋体"/>
                <w:sz w:val="16"/>
              </w:rPr>
              <w:t>克州党委政研室（改革办）在克州党委的指示下，起草、参与起草、修改和组织协同有关部门共同起草、修改自治州党委、自治州人民政府重要文稿；根据自治州党委的意图和部署，统筹党的中心工作，对自治州政治、经济、文化、生态文明、民生保障、社会稳定、改革开放、党的建设等方面的重大问题进行调查研究，提出意见和建议，供自治州党委决策参考；根据自治州党委全面深化改革委员会要求，统筹相关部门制定改革方案和措施，加强与自治区党委改革办以及其他地州改革办的联络与交流，负责与各县（市）改革办、自治州各专项小组、各部门改革工作的沟通联络、参谋协调，协调推进军地及</w:t>
            </w:r>
            <w:r>
              <w:rPr>
                <w:rFonts w:hint="eastAsia" w:ascii="宋体" w:hAnsi="宋体"/>
                <w:sz w:val="16"/>
                <w:lang w:eastAsia="zh-CN"/>
              </w:rPr>
              <w:t>各</w:t>
            </w:r>
            <w:r>
              <w:rPr>
                <w:rFonts w:ascii="宋体" w:hAnsi="宋体" w:eastAsia="宋体"/>
                <w:sz w:val="16"/>
              </w:rPr>
              <w:t>专项小组改革任务落实；负责对自治州各县（市）、各专项小组、各部门全面深化改革工作的统筹、协调、督促、绩效考核，总结宣传改革经验。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213E21">
            <w:pPr>
              <w:jc w:val="both"/>
            </w:pPr>
            <w:r>
              <w:rPr>
                <w:rFonts w:ascii="宋体" w:hAnsi="宋体" w:eastAsia="宋体"/>
                <w:sz w:val="16"/>
              </w:rPr>
              <w:t>截至2024年12月31日，已完成：1.紧紧围绕全州全局性、阶段性重点工作，观大势、谋大局、抓大事，聚焦社会稳定、经济发展、民生改善、基层党建等领域的热点难点，着力在推动工作、谋划发展、引导方向上出实招、见实效，真正让调查研究开出“实践之花”，结出“累累硕果”。截至目前，撰写调研报告49篇（重点调研报告15篇），编写内部参阅31篇，其中28篇文稿得到州委主要领导批示，既为州委科学决策提供了有力依据和支撑，也让部分瓶颈制约问题得到了关注和解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紧紧围绕全州全局性、阶段性重点工作，认真统筹各类文稿材料撰写，抓住重点、写出特点、打造亮点。截至目前，高标准起草撰写自治州党委十一届七次、八次全会和农村工作会议、民营经济高质量发展大会等各类会议讲话20余篇。特别是全程参与自治州党委十一届八次全会文件材料起草撰写，历经两个月的时间广泛征求意见、反复论证修改，最终形成《中共克孜勒苏柯尔克孜自治州委员会关于深入贯彻党的二十届三中全会精神，进一步全面深化改革、奋力推进中国式现代化克州实践的决定》，共涉及14个方面61条400余项改革举措（20项重点举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3.《推动克州经济高质量发展需提升六种能力》《自治州优化营商环境助推民营经济高质量发</w:t>
            </w:r>
            <w:r>
              <w:rPr>
                <w:rFonts w:hint="eastAsia" w:ascii="宋体" w:hAnsi="宋体"/>
                <w:sz w:val="16"/>
                <w:lang w:eastAsia="zh-CN"/>
              </w:rPr>
              <w:t>展的</w:t>
            </w:r>
            <w:r>
              <w:rPr>
                <w:rFonts w:ascii="宋体" w:hAnsi="宋体" w:eastAsia="宋体"/>
                <w:sz w:val="16"/>
              </w:rPr>
              <w:t>调研报告》《关于阿图什市农村基础教育的调研报告》《关于提高政策性农业保险覆盖面的对策建议》等文稿，紧扣州委中心工作，把握时势动态和关注焦点、实践难点，切实达到了以研辅政的作用，为推动经济社会发展提供了思路方法并印刷调研报告汇编50本。</w:t>
            </w:r>
          </w:p>
        </w:tc>
      </w:tr>
      <w:tr w14:paraId="7B92A4E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E614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4A41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6867A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FFCE9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A1E0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B3E1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DC6A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288E5">
            <w:pPr>
              <w:jc w:val="center"/>
            </w:pPr>
            <w:r>
              <w:rPr>
                <w:rFonts w:ascii="宋体" w:hAnsi="宋体" w:eastAsia="宋体"/>
                <w:sz w:val="16"/>
              </w:rPr>
              <w:t>得分</w:t>
            </w:r>
          </w:p>
        </w:tc>
      </w:tr>
      <w:tr w14:paraId="3CB2A10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9E89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DAE1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414DB">
            <w:pPr>
              <w:jc w:val="center"/>
            </w:pPr>
            <w:r>
              <w:rPr>
                <w:rFonts w:ascii="宋体" w:hAnsi="宋体" w:eastAsia="宋体"/>
                <w:sz w:val="16"/>
              </w:rPr>
              <w:t>完成重点调研报告篇（篇）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47779">
            <w:pPr>
              <w:jc w:val="center"/>
            </w:pPr>
            <w:r>
              <w:rPr>
                <w:rFonts w:ascii="宋体" w:hAnsi="宋体" w:eastAsia="宋体"/>
                <w:sz w:val="16"/>
              </w:rPr>
              <w:t>&gt;=15篇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FEC2C">
            <w:pPr>
              <w:jc w:val="center"/>
            </w:pPr>
            <w:r>
              <w:rPr>
                <w:rFonts w:ascii="宋体" w:hAnsi="宋体" w:eastAsia="宋体"/>
                <w:sz w:val="16"/>
              </w:rPr>
              <w:t>工作资料</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8660D6">
            <w:pPr>
              <w:jc w:val="center"/>
            </w:pPr>
            <w:r>
              <w:rPr>
                <w:rFonts w:ascii="宋体" w:hAnsi="宋体" w:eastAsia="宋体"/>
                <w:sz w:val="16"/>
              </w:rPr>
              <w:t>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A2AE4">
            <w:pPr>
              <w:jc w:val="center"/>
            </w:pPr>
            <w:r>
              <w:rPr>
                <w:rFonts w:ascii="宋体" w:hAnsi="宋体" w:eastAsia="宋体"/>
                <w:sz w:val="16"/>
              </w:rPr>
              <w:t>15篇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72FD9">
            <w:pPr>
              <w:jc w:val="center"/>
            </w:pPr>
            <w:r>
              <w:rPr>
                <w:rFonts w:ascii="宋体" w:hAnsi="宋体" w:eastAsia="宋体"/>
                <w:sz w:val="16"/>
              </w:rPr>
              <w:t>35</w:t>
            </w:r>
          </w:p>
        </w:tc>
      </w:tr>
      <w:tr w14:paraId="7352AAB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B74D8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421D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72C2C">
            <w:pPr>
              <w:jc w:val="center"/>
            </w:pPr>
            <w:r>
              <w:rPr>
                <w:rFonts w:ascii="宋体" w:hAnsi="宋体" w:eastAsia="宋体"/>
                <w:sz w:val="16"/>
              </w:rPr>
              <w:t>重点领域改革任务数（项）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274E7">
            <w:pPr>
              <w:jc w:val="center"/>
            </w:pPr>
            <w:r>
              <w:rPr>
                <w:rFonts w:ascii="宋体" w:hAnsi="宋体" w:eastAsia="宋体"/>
                <w:sz w:val="16"/>
              </w:rPr>
              <w:t>&gt;=20项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0C06AD">
            <w:pPr>
              <w:jc w:val="center"/>
            </w:pPr>
            <w:r>
              <w:rPr>
                <w:rFonts w:ascii="宋体" w:hAnsi="宋体" w:eastAsia="宋体"/>
                <w:sz w:val="16"/>
              </w:rPr>
              <w:t>工作说明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794FA">
            <w:pPr>
              <w:jc w:val="center"/>
            </w:pPr>
            <w:r>
              <w:rPr>
                <w:rFonts w:ascii="宋体" w:hAnsi="宋体" w:eastAsia="宋体"/>
                <w:sz w:val="16"/>
              </w:rPr>
              <w:t>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EF571">
            <w:pPr>
              <w:jc w:val="center"/>
            </w:pPr>
            <w:r>
              <w:rPr>
                <w:rFonts w:ascii="宋体" w:hAnsi="宋体" w:eastAsia="宋体"/>
                <w:sz w:val="16"/>
              </w:rPr>
              <w:t>20项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346BB">
            <w:pPr>
              <w:jc w:val="center"/>
            </w:pPr>
            <w:r>
              <w:rPr>
                <w:rFonts w:ascii="宋体" w:hAnsi="宋体" w:eastAsia="宋体"/>
                <w:sz w:val="16"/>
              </w:rPr>
              <w:t>35</w:t>
            </w:r>
          </w:p>
        </w:tc>
      </w:tr>
      <w:tr w14:paraId="124A80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BA4AE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2154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0009F">
            <w:pPr>
              <w:jc w:val="center"/>
            </w:pPr>
            <w:r>
              <w:rPr>
                <w:rFonts w:ascii="宋体" w:hAnsi="宋体" w:eastAsia="宋体"/>
                <w:sz w:val="16"/>
              </w:rPr>
              <w:t>调研报告汇编（本）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5C00F">
            <w:pPr>
              <w:jc w:val="center"/>
            </w:pPr>
            <w:r>
              <w:rPr>
                <w:rFonts w:ascii="宋体" w:hAnsi="宋体" w:eastAsia="宋体"/>
                <w:sz w:val="16"/>
              </w:rPr>
              <w:t>&gt;=50本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11181">
            <w:pPr>
              <w:jc w:val="center"/>
            </w:pPr>
            <w:r>
              <w:rPr>
                <w:rFonts w:ascii="宋体" w:hAnsi="宋体" w:eastAsia="宋体"/>
                <w:sz w:val="16"/>
              </w:rPr>
              <w:t>工作说明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2D345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75703">
            <w:pPr>
              <w:jc w:val="center"/>
            </w:pPr>
            <w:r>
              <w:rPr>
                <w:rFonts w:ascii="宋体" w:hAnsi="宋体" w:eastAsia="宋体"/>
                <w:sz w:val="16"/>
              </w:rPr>
              <w:t>50本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FB2F7">
            <w:pPr>
              <w:jc w:val="center"/>
            </w:pPr>
            <w:r>
              <w:rPr>
                <w:rFonts w:ascii="宋体" w:hAnsi="宋体" w:eastAsia="宋体"/>
                <w:sz w:val="16"/>
              </w:rPr>
              <w:t>20</w:t>
            </w:r>
          </w:p>
        </w:tc>
      </w:tr>
    </w:tbl>
    <w:p w14:paraId="1ACB3F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00801DF">
        <w:tblPrEx>
          <w:tblCellMar>
            <w:top w:w="0" w:type="dxa"/>
            <w:left w:w="108" w:type="dxa"/>
            <w:bottom w:w="0" w:type="dxa"/>
            <w:right w:w="108" w:type="dxa"/>
          </w:tblCellMar>
        </w:tblPrEx>
        <w:tc>
          <w:tcPr>
            <w:tcW w:w="8848" w:type="dxa"/>
            <w:gridSpan w:val="14"/>
            <w:vAlign w:val="center"/>
          </w:tcPr>
          <w:p w14:paraId="5BD63055">
            <w:pPr>
              <w:jc w:val="center"/>
            </w:pPr>
            <w:r>
              <w:rPr>
                <w:rFonts w:ascii="宋体" w:hAnsi="宋体" w:eastAsia="宋体"/>
                <w:sz w:val="24"/>
              </w:rPr>
              <w:t>项目支出绩效自评表</w:t>
            </w:r>
          </w:p>
        </w:tc>
      </w:tr>
      <w:tr w14:paraId="1D1AF98D">
        <w:tblPrEx>
          <w:tblCellMar>
            <w:top w:w="0" w:type="dxa"/>
            <w:left w:w="108" w:type="dxa"/>
            <w:bottom w:w="0" w:type="dxa"/>
            <w:right w:w="108" w:type="dxa"/>
          </w:tblCellMar>
        </w:tblPrEx>
        <w:tc>
          <w:tcPr>
            <w:tcW w:w="8848" w:type="dxa"/>
            <w:gridSpan w:val="14"/>
            <w:vAlign w:val="center"/>
          </w:tcPr>
          <w:p w14:paraId="32DA5233">
            <w:pPr>
              <w:jc w:val="center"/>
            </w:pPr>
            <w:r>
              <w:rPr>
                <w:rFonts w:ascii="宋体" w:hAnsi="宋体" w:eastAsia="宋体"/>
                <w:sz w:val="24"/>
              </w:rPr>
              <w:t>(2024年度)</w:t>
            </w:r>
          </w:p>
        </w:tc>
      </w:tr>
      <w:tr w14:paraId="654604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C3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21DDE4">
            <w:pPr>
              <w:jc w:val="center"/>
            </w:pPr>
            <w:r>
              <w:rPr>
                <w:rFonts w:ascii="宋体" w:hAnsi="宋体" w:eastAsia="宋体"/>
                <w:sz w:val="16"/>
              </w:rPr>
              <w:t>为民办实事专项工作经费</w:t>
            </w:r>
          </w:p>
        </w:tc>
      </w:tr>
      <w:tr w14:paraId="2EE7FE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7E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ED0B4">
            <w:pPr>
              <w:jc w:val="center"/>
            </w:pPr>
            <w:r>
              <w:rPr>
                <w:rFonts w:ascii="宋体" w:hAnsi="宋体" w:eastAsia="宋体"/>
                <w:sz w:val="16"/>
              </w:rPr>
              <w:t>中共克孜勒苏柯尔克孜自治州委员会政策研究室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83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6BB8EF">
            <w:pPr>
              <w:jc w:val="center"/>
            </w:pPr>
            <w:r>
              <w:rPr>
                <w:rFonts w:ascii="宋体" w:hAnsi="宋体" w:eastAsia="宋体"/>
                <w:sz w:val="16"/>
              </w:rPr>
              <w:t>中共克孜勒苏柯尔克孜自治州委员会政策研究室</w:t>
            </w:r>
          </w:p>
        </w:tc>
      </w:tr>
      <w:tr w14:paraId="28C2BA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FEB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8D0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F3B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7CF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0AF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055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CC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1F5C">
            <w:pPr>
              <w:jc w:val="center"/>
            </w:pPr>
            <w:r>
              <w:rPr>
                <w:rFonts w:ascii="宋体" w:hAnsi="宋体" w:eastAsia="宋体"/>
                <w:sz w:val="16"/>
              </w:rPr>
              <w:t>得分</w:t>
            </w:r>
          </w:p>
        </w:tc>
      </w:tr>
      <w:tr w14:paraId="18016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E77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69F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3EA2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0C0F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99DD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63A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25F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CE8F">
            <w:pPr>
              <w:jc w:val="center"/>
            </w:pPr>
            <w:r>
              <w:rPr>
                <w:rFonts w:ascii="宋体" w:hAnsi="宋体" w:eastAsia="宋体"/>
                <w:sz w:val="16"/>
              </w:rPr>
              <w:t>10.00分</w:t>
            </w:r>
          </w:p>
        </w:tc>
      </w:tr>
      <w:tr w14:paraId="6C032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B14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103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456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C52F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EAD4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16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83D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0D27">
            <w:pPr>
              <w:jc w:val="center"/>
            </w:pPr>
            <w:r>
              <w:rPr>
                <w:rFonts w:ascii="宋体" w:hAnsi="宋体" w:eastAsia="宋体"/>
                <w:sz w:val="16"/>
              </w:rPr>
              <w:t>—</w:t>
            </w:r>
          </w:p>
        </w:tc>
      </w:tr>
      <w:tr w14:paraId="4995A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DB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6BE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47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264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C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B8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44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F0C1">
            <w:pPr>
              <w:jc w:val="center"/>
            </w:pPr>
            <w:r>
              <w:rPr>
                <w:rFonts w:ascii="宋体" w:hAnsi="宋体" w:eastAsia="宋体"/>
                <w:sz w:val="16"/>
              </w:rPr>
              <w:t>—</w:t>
            </w:r>
          </w:p>
        </w:tc>
      </w:tr>
      <w:tr w14:paraId="21E9A0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9C2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F1A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64CF0">
            <w:pPr>
              <w:jc w:val="center"/>
            </w:pPr>
            <w:r>
              <w:rPr>
                <w:rFonts w:ascii="宋体" w:hAnsi="宋体" w:eastAsia="宋体"/>
                <w:sz w:val="16"/>
              </w:rPr>
              <w:t>实际完成情况</w:t>
            </w:r>
          </w:p>
        </w:tc>
      </w:tr>
      <w:tr w14:paraId="06D49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14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7C3401">
            <w:pPr>
              <w:jc w:val="both"/>
            </w:pPr>
            <w:r>
              <w:rPr>
                <w:rFonts w:ascii="宋体" w:hAnsi="宋体" w:eastAsia="宋体"/>
                <w:sz w:val="16"/>
              </w:rPr>
              <w:t>该项目共12万元，其中财政资金12万元，其他资金0万元。2024年度，</w:t>
            </w:r>
            <w:r>
              <w:rPr>
                <w:rFonts w:hint="eastAsia" w:ascii="宋体" w:hAnsi="宋体"/>
                <w:sz w:val="16"/>
                <w:lang w:eastAsia="zh-CN"/>
              </w:rPr>
              <w:t>本单位</w:t>
            </w:r>
            <w:r>
              <w:rPr>
                <w:rFonts w:ascii="宋体" w:hAnsi="宋体" w:eastAsia="宋体"/>
                <w:sz w:val="16"/>
              </w:rPr>
              <w:t>以服务群众为重点，以维护稳定为基础，以文体活动为载体，以示范创建为手段，扎实工作，充分发挥参谋部和“三位一体”嵌入式工作模式的作用，形成思想同心、目标同向、工作同力、落实同步的工作格局，有效推进各项工作，全力帮助村民解决实际困难，实现脱贫致富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A3E9B6">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已完成为民办实事、好事件数136件，慰问困难群众及老党员人数144人，节假日开展文体活动次数10次，2024年度，</w:t>
            </w:r>
            <w:r>
              <w:rPr>
                <w:rFonts w:hint="eastAsia" w:ascii="宋体" w:hAnsi="宋体"/>
                <w:sz w:val="16"/>
                <w:lang w:eastAsia="zh-CN"/>
              </w:rPr>
              <w:t>本单位</w:t>
            </w:r>
            <w:r>
              <w:rPr>
                <w:rFonts w:ascii="宋体" w:hAnsi="宋体" w:eastAsia="宋体"/>
                <w:sz w:val="16"/>
              </w:rPr>
              <w:t>充分发挥参谋部和“三位一体”嵌入式工作模式的作用，以服务群众为重点，以维护稳定为基础，以文体活动为载体，以示范创建为手段，扎实工作。实现与人民群众思想同心、目标同向、工作同力、落实同步的工作格局，全力帮助村民解决实际困难，实现加快乡村振兴。</w:t>
            </w:r>
          </w:p>
        </w:tc>
      </w:tr>
      <w:tr w14:paraId="6FB37A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CA2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EE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27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A2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70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46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D4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95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89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1C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3D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AF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A3B98">
            <w:pPr>
              <w:jc w:val="center"/>
            </w:pPr>
            <w:r>
              <w:rPr>
                <w:rFonts w:ascii="宋体" w:hAnsi="宋体" w:eastAsia="宋体"/>
                <w:sz w:val="16"/>
              </w:rPr>
              <w:t>偏差原因分析及改进措施</w:t>
            </w:r>
          </w:p>
        </w:tc>
      </w:tr>
      <w:tr w14:paraId="5ED452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F1A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9BB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94F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FAE7">
            <w:pPr>
              <w:jc w:val="center"/>
            </w:pPr>
            <w:r>
              <w:rPr>
                <w:rFonts w:ascii="宋体" w:hAnsi="宋体" w:eastAsia="宋体"/>
                <w:sz w:val="16"/>
              </w:rPr>
              <w:t>为民办实事、好事件数(件）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DEAE">
            <w:pPr>
              <w:jc w:val="center"/>
            </w:pPr>
            <w:r>
              <w:rPr>
                <w:rFonts w:ascii="宋体" w:hAnsi="宋体" w:eastAsia="宋体"/>
                <w:sz w:val="16"/>
              </w:rPr>
              <w:t>&gt;=136件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F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44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D3B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E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2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627B">
            <w:pPr>
              <w:jc w:val="center"/>
            </w:pPr>
            <w:r>
              <w:rPr>
                <w:rFonts w:ascii="宋体" w:hAnsi="宋体" w:eastAsia="宋体"/>
                <w:sz w:val="16"/>
              </w:rPr>
              <w:t>=136件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EA5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CC064">
            <w:pPr>
              <w:jc w:val="center"/>
            </w:pPr>
          </w:p>
        </w:tc>
      </w:tr>
      <w:tr w14:paraId="2BA7F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51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A0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0E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A8B1">
            <w:pPr>
              <w:jc w:val="center"/>
            </w:pPr>
            <w:r>
              <w:rPr>
                <w:rFonts w:ascii="宋体" w:hAnsi="宋体" w:eastAsia="宋体"/>
                <w:sz w:val="16"/>
              </w:rPr>
              <w:t>慰问困难群众及老党员人数（人）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641F">
            <w:pPr>
              <w:jc w:val="center"/>
            </w:pPr>
            <w:r>
              <w:rPr>
                <w:rFonts w:ascii="宋体" w:hAnsi="宋体" w:eastAsia="宋体"/>
                <w:sz w:val="16"/>
              </w:rPr>
              <w:t>&gt;=144人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E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92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DE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B8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3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2889">
            <w:pPr>
              <w:jc w:val="center"/>
            </w:pPr>
            <w:r>
              <w:rPr>
                <w:rFonts w:ascii="宋体" w:hAnsi="宋体" w:eastAsia="宋体"/>
                <w:sz w:val="16"/>
              </w:rPr>
              <w:t>=144人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5BC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B9839">
            <w:pPr>
              <w:jc w:val="center"/>
            </w:pPr>
          </w:p>
        </w:tc>
      </w:tr>
      <w:tr w14:paraId="34C1D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D7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7E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4F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F47D">
            <w:pPr>
              <w:jc w:val="center"/>
            </w:pPr>
            <w:r>
              <w:rPr>
                <w:rFonts w:ascii="宋体" w:hAnsi="宋体" w:eastAsia="宋体"/>
                <w:sz w:val="16"/>
              </w:rPr>
              <w:t>节假日开展文体活动次数（次）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38EF">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8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B0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92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43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30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A89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A2E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5CEE">
            <w:pPr>
              <w:jc w:val="center"/>
            </w:pPr>
          </w:p>
        </w:tc>
      </w:tr>
      <w:tr w14:paraId="0C115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85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E5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26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A3FE">
            <w:pPr>
              <w:jc w:val="center"/>
            </w:pPr>
            <w:r>
              <w:rPr>
                <w:rFonts w:ascii="宋体" w:hAnsi="宋体" w:eastAsia="宋体"/>
                <w:sz w:val="16"/>
              </w:rPr>
              <w:t>慰问困难群众覆盖率（%）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3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AC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5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07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8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ED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B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5A4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EC19B">
            <w:pPr>
              <w:jc w:val="center"/>
            </w:pPr>
          </w:p>
        </w:tc>
      </w:tr>
      <w:tr w14:paraId="581D0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3C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4CB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333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3981">
            <w:pPr>
              <w:jc w:val="center"/>
            </w:pPr>
            <w:r>
              <w:rPr>
                <w:rFonts w:ascii="宋体" w:hAnsi="宋体" w:eastAsia="宋体"/>
                <w:sz w:val="16"/>
              </w:rPr>
              <w:t>开展文体活动完成及时率（%）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7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6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34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F7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A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38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9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0BD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C4BDC">
            <w:pPr>
              <w:jc w:val="center"/>
            </w:pPr>
          </w:p>
        </w:tc>
      </w:tr>
      <w:tr w14:paraId="7FD6C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6D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F39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CF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6213">
            <w:pPr>
              <w:jc w:val="center"/>
            </w:pPr>
            <w:r>
              <w:rPr>
                <w:rFonts w:ascii="宋体" w:hAnsi="宋体" w:eastAsia="宋体"/>
                <w:sz w:val="16"/>
              </w:rPr>
              <w:t>慰问困难群众及老党员及时率（%）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0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2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E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04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5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C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D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0A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E8E6">
            <w:pPr>
              <w:jc w:val="center"/>
            </w:pPr>
          </w:p>
        </w:tc>
      </w:tr>
      <w:tr w14:paraId="40398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168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C51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A48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5670">
            <w:pPr>
              <w:jc w:val="center"/>
            </w:pPr>
            <w:r>
              <w:rPr>
                <w:rFonts w:ascii="宋体" w:hAnsi="宋体" w:eastAsia="宋体"/>
                <w:sz w:val="16"/>
              </w:rPr>
              <w:t>扶持群众脱贫致富资金（万元）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C8E0">
            <w:pPr>
              <w:jc w:val="center"/>
            </w:pPr>
            <w:r>
              <w:rPr>
                <w:rFonts w:ascii="宋体" w:hAnsi="宋体" w:eastAsia="宋体"/>
                <w:sz w:val="16"/>
              </w:rPr>
              <w:t>&lt;=7.09万元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84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42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12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B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10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F41D">
            <w:pPr>
              <w:jc w:val="center"/>
            </w:pPr>
            <w:r>
              <w:rPr>
                <w:rFonts w:ascii="宋体" w:hAnsi="宋体" w:eastAsia="宋体"/>
                <w:sz w:val="16"/>
              </w:rPr>
              <w:t>=7.09万元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9A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BDE57">
            <w:pPr>
              <w:jc w:val="center"/>
            </w:pPr>
          </w:p>
        </w:tc>
      </w:tr>
      <w:tr w14:paraId="1FFBF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4D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00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0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28B6">
            <w:pPr>
              <w:jc w:val="center"/>
            </w:pPr>
            <w:r>
              <w:rPr>
                <w:rFonts w:ascii="宋体" w:hAnsi="宋体" w:eastAsia="宋体"/>
                <w:sz w:val="16"/>
              </w:rPr>
              <w:t>开展活动购置物品（万元）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C9D4">
            <w:pPr>
              <w:jc w:val="center"/>
            </w:pPr>
            <w:r>
              <w:rPr>
                <w:rFonts w:ascii="宋体" w:hAnsi="宋体" w:eastAsia="宋体"/>
                <w:sz w:val="16"/>
              </w:rPr>
              <w:t>&lt;=2.27万元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B7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AC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1B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E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30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A003">
            <w:pPr>
              <w:jc w:val="center"/>
            </w:pPr>
            <w:r>
              <w:rPr>
                <w:rFonts w:ascii="宋体" w:hAnsi="宋体" w:eastAsia="宋体"/>
                <w:sz w:val="16"/>
              </w:rPr>
              <w: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87F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E7A7B">
            <w:pPr>
              <w:jc w:val="center"/>
            </w:pPr>
          </w:p>
        </w:tc>
      </w:tr>
      <w:tr w14:paraId="10241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26A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20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DB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C01E">
            <w:pPr>
              <w:jc w:val="center"/>
            </w:pPr>
            <w:r>
              <w:rPr>
                <w:rFonts w:ascii="宋体" w:hAnsi="宋体" w:eastAsia="宋体"/>
                <w:sz w:val="16"/>
              </w:rPr>
              <w:t>慰问群众人员资金（万元）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416F">
            <w:pPr>
              <w:jc w:val="center"/>
            </w:pPr>
            <w:r>
              <w:rPr>
                <w:rFonts w:ascii="宋体" w:hAnsi="宋体" w:eastAsia="宋体"/>
                <w:sz w:val="16"/>
              </w:rPr>
              <w:t>&lt;=2.64万元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6F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8E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01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8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F3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31B7">
            <w:pPr>
              <w:jc w:val="center"/>
            </w:pPr>
            <w:r>
              <w:rPr>
                <w:rFonts w:ascii="宋体" w:hAnsi="宋体" w:eastAsia="宋体"/>
                <w:sz w:val="16"/>
              </w:rPr>
              <w:t>=2.64万元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23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0D38D">
            <w:pPr>
              <w:jc w:val="center"/>
            </w:pPr>
          </w:p>
        </w:tc>
      </w:tr>
      <w:tr w14:paraId="0E509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095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68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AC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4EE5">
            <w:pPr>
              <w:jc w:val="center"/>
            </w:pPr>
            <w:r>
              <w:rPr>
                <w:rFonts w:ascii="宋体" w:hAnsi="宋体" w:eastAsia="宋体"/>
                <w:sz w:val="16"/>
              </w:rPr>
              <w:t>保障基层工作情况需要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440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0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1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20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79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15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2A0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46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F1DA">
            <w:pPr>
              <w:jc w:val="center"/>
            </w:pPr>
          </w:p>
        </w:tc>
      </w:tr>
      <w:tr w14:paraId="37FD3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39A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E7B6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BC1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5AE5">
            <w:pPr>
              <w:jc w:val="center"/>
            </w:pPr>
            <w:r>
              <w:rPr>
                <w:rFonts w:ascii="宋体" w:hAnsi="宋体" w:eastAsia="宋体"/>
                <w:sz w:val="16"/>
              </w:rPr>
              <w:t>驻村工作队员满意度（%）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8A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1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89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37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61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0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4E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95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0E8DC">
            <w:pPr>
              <w:jc w:val="center"/>
            </w:pPr>
          </w:p>
        </w:tc>
      </w:tr>
      <w:tr w14:paraId="13DF0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01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1E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BB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8C2C">
            <w:pPr>
              <w:jc w:val="center"/>
            </w:pPr>
            <w:r>
              <w:rPr>
                <w:rFonts w:ascii="宋体" w:hAnsi="宋体" w:eastAsia="宋体"/>
                <w:sz w:val="16"/>
              </w:rPr>
              <w:t>驻村村民满意度（%）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21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B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1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A4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2A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1E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7F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F0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6A616">
            <w:pPr>
              <w:jc w:val="center"/>
            </w:pPr>
          </w:p>
        </w:tc>
      </w:tr>
      <w:tr w14:paraId="54F4D5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E54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33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9E6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70278C">
            <w:pPr>
              <w:jc w:val="center"/>
            </w:pPr>
            <w:r>
              <w:rPr>
                <w:rFonts w:ascii="宋体" w:hAnsi="宋体" w:eastAsia="宋体"/>
                <w:sz w:val="16"/>
              </w:rPr>
              <w:t>100分</w:t>
            </w:r>
          </w:p>
        </w:tc>
      </w:tr>
    </w:tbl>
    <w:p w14:paraId="7E0C39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922A2B0">
        <w:tblPrEx>
          <w:tblCellMar>
            <w:top w:w="0" w:type="dxa"/>
            <w:left w:w="108" w:type="dxa"/>
            <w:bottom w:w="0" w:type="dxa"/>
            <w:right w:w="108" w:type="dxa"/>
          </w:tblCellMar>
        </w:tblPrEx>
        <w:tc>
          <w:tcPr>
            <w:tcW w:w="8848" w:type="dxa"/>
            <w:gridSpan w:val="14"/>
            <w:vAlign w:val="center"/>
          </w:tcPr>
          <w:p w14:paraId="1D6D77EF">
            <w:pPr>
              <w:jc w:val="center"/>
            </w:pPr>
            <w:r>
              <w:rPr>
                <w:rFonts w:ascii="宋体" w:hAnsi="宋体" w:eastAsia="宋体"/>
                <w:sz w:val="24"/>
              </w:rPr>
              <w:t>项目支出绩效自评表</w:t>
            </w:r>
          </w:p>
        </w:tc>
      </w:tr>
      <w:tr w14:paraId="323D1B24">
        <w:tblPrEx>
          <w:tblCellMar>
            <w:top w:w="0" w:type="dxa"/>
            <w:left w:w="108" w:type="dxa"/>
            <w:bottom w:w="0" w:type="dxa"/>
            <w:right w:w="108" w:type="dxa"/>
          </w:tblCellMar>
        </w:tblPrEx>
        <w:tc>
          <w:tcPr>
            <w:tcW w:w="8848" w:type="dxa"/>
            <w:gridSpan w:val="14"/>
            <w:vAlign w:val="center"/>
          </w:tcPr>
          <w:p w14:paraId="4FFB0836">
            <w:pPr>
              <w:jc w:val="center"/>
            </w:pPr>
            <w:r>
              <w:rPr>
                <w:rFonts w:ascii="宋体" w:hAnsi="宋体" w:eastAsia="宋体"/>
                <w:sz w:val="24"/>
              </w:rPr>
              <w:t>(2024年度)</w:t>
            </w:r>
          </w:p>
        </w:tc>
      </w:tr>
      <w:tr w14:paraId="374A7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A8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A2F2D8">
            <w:pPr>
              <w:jc w:val="center"/>
            </w:pPr>
            <w:r>
              <w:rPr>
                <w:rFonts w:ascii="宋体" w:hAnsi="宋体" w:eastAsia="宋体"/>
                <w:sz w:val="16"/>
              </w:rPr>
              <w:t>社科基金项目</w:t>
            </w:r>
          </w:p>
        </w:tc>
      </w:tr>
      <w:tr w14:paraId="02A2B1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AA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AF5A4">
            <w:pPr>
              <w:jc w:val="center"/>
            </w:pPr>
            <w:r>
              <w:rPr>
                <w:rFonts w:ascii="宋体" w:hAnsi="宋体" w:eastAsia="宋体"/>
                <w:sz w:val="16"/>
              </w:rPr>
              <w:t>中共克孜勒苏柯尔克孜自治州委员会政策研究室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81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417B28">
            <w:pPr>
              <w:jc w:val="center"/>
            </w:pPr>
            <w:r>
              <w:rPr>
                <w:rFonts w:ascii="宋体" w:hAnsi="宋体" w:eastAsia="宋体"/>
                <w:sz w:val="16"/>
              </w:rPr>
              <w:t>中共克孜勒苏柯尔克孜自治州委员会政策研究室</w:t>
            </w:r>
          </w:p>
        </w:tc>
      </w:tr>
      <w:tr w14:paraId="49033D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03B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903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CDE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EFE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472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07D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E6B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30F4">
            <w:pPr>
              <w:jc w:val="center"/>
            </w:pPr>
            <w:r>
              <w:rPr>
                <w:rFonts w:ascii="宋体" w:hAnsi="宋体" w:eastAsia="宋体"/>
                <w:sz w:val="16"/>
              </w:rPr>
              <w:t>得分</w:t>
            </w:r>
          </w:p>
        </w:tc>
      </w:tr>
      <w:tr w14:paraId="56BD5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043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2A8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6A71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E2BB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79746">
            <w:pPr>
              <w:jc w:val="center"/>
            </w:pPr>
            <w:r>
              <w:rPr>
                <w:rFonts w:ascii="宋体" w:hAnsi="宋体" w:eastAsia="宋体"/>
                <w:sz w:val="16"/>
              </w:rPr>
              <w:t>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78F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37B7">
            <w:pPr>
              <w:jc w:val="center"/>
            </w:pPr>
            <w:r>
              <w:rPr>
                <w:rFonts w:ascii="宋体" w:hAnsi="宋体" w:eastAsia="宋体"/>
                <w:sz w:val="16"/>
              </w:rPr>
              <w:t>54.0%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C01D">
            <w:pPr>
              <w:jc w:val="center"/>
            </w:pPr>
            <w:r>
              <w:rPr>
                <w:rFonts w:ascii="宋体" w:hAnsi="宋体" w:eastAsia="宋体"/>
                <w:sz w:val="16"/>
              </w:rPr>
              <w:t>0.00分</w:t>
            </w:r>
          </w:p>
        </w:tc>
      </w:tr>
      <w:tr w14:paraId="301E5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D33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F45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895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0A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B78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E5B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74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B249">
            <w:pPr>
              <w:jc w:val="center"/>
            </w:pPr>
            <w:r>
              <w:rPr>
                <w:rFonts w:ascii="宋体" w:hAnsi="宋体" w:eastAsia="宋体"/>
                <w:sz w:val="16"/>
              </w:rPr>
              <w:t>—</w:t>
            </w:r>
          </w:p>
        </w:tc>
      </w:tr>
      <w:tr w14:paraId="419FF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95F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1BF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2E01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0534">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C480">
            <w:pPr>
              <w:jc w:val="center"/>
            </w:pPr>
            <w:r>
              <w:rPr>
                <w:rFonts w:ascii="宋体" w:hAnsi="宋体" w:eastAsia="宋体"/>
                <w:sz w:val="16"/>
              </w:rPr>
              <w:t>0.54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341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6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58BC">
            <w:pPr>
              <w:jc w:val="center"/>
            </w:pPr>
            <w:r>
              <w:rPr>
                <w:rFonts w:ascii="宋体" w:hAnsi="宋体" w:eastAsia="宋体"/>
                <w:sz w:val="16"/>
              </w:rPr>
              <w:t>—</w:t>
            </w:r>
          </w:p>
        </w:tc>
      </w:tr>
      <w:tr w14:paraId="78885F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5C4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85F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C8E22">
            <w:pPr>
              <w:jc w:val="center"/>
            </w:pPr>
            <w:r>
              <w:rPr>
                <w:rFonts w:ascii="宋体" w:hAnsi="宋体" w:eastAsia="宋体"/>
                <w:sz w:val="16"/>
              </w:rPr>
              <w:t>实际完成情况</w:t>
            </w:r>
          </w:p>
        </w:tc>
      </w:tr>
      <w:tr w14:paraId="5D2D5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F4A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326A9">
            <w:pPr>
              <w:jc w:val="both"/>
            </w:pPr>
            <w:r>
              <w:rPr>
                <w:rFonts w:ascii="宋体" w:hAnsi="宋体" w:eastAsia="宋体"/>
                <w:sz w:val="16"/>
              </w:rPr>
              <w:t>该项目总投资1万元，其中：财政资金0万元，其他资金1万元；该项目用于政研室（改革办），克州社科基金项目（课题）的2023年工作支出。为推动延边开放成为</w:t>
            </w:r>
            <w:r>
              <w:rPr>
                <w:rFonts w:hint="eastAsia" w:ascii="宋体" w:hAnsi="宋体"/>
                <w:sz w:val="16"/>
                <w:lang w:eastAsia="zh-CN"/>
              </w:rPr>
              <w:t>“十四五”期间</w:t>
            </w:r>
            <w:r>
              <w:rPr>
                <w:rFonts w:ascii="宋体" w:hAnsi="宋体" w:eastAsia="宋体"/>
                <w:sz w:val="16"/>
              </w:rPr>
              <w:t>的重要内容，以开放发展的思路推动产业政策、金融政策、人才政策、税收政策，优化调整，实现营商环境延边开放良好局面，为推进丝绸之路经济带核心区建设，提供重要参考。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B4154">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已完成调研</w:t>
            </w:r>
            <w:r>
              <w:rPr>
                <w:rFonts w:hint="eastAsia" w:ascii="宋体" w:hAnsi="宋体"/>
                <w:sz w:val="16"/>
                <w:lang w:eastAsia="zh-CN"/>
              </w:rPr>
              <w:t>人数</w:t>
            </w:r>
            <w:r>
              <w:rPr>
                <w:rFonts w:ascii="宋体" w:hAnsi="宋体" w:eastAsia="宋体"/>
                <w:sz w:val="16"/>
              </w:rPr>
              <w:t>3人，撰写调研报告精准完成率60%，撰写调研报告及时性60%，调研运转经费数0.14万元，保障人员经费数0.4万元，为实现营商环境延边开放良好局面，为推进丝绸之路经济带核心区建设，提供重要参考</w:t>
            </w:r>
          </w:p>
        </w:tc>
      </w:tr>
      <w:tr w14:paraId="6ED99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BA4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8D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9C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02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A2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B2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22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A7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D6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B9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18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94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57349">
            <w:pPr>
              <w:jc w:val="center"/>
            </w:pPr>
            <w:r>
              <w:rPr>
                <w:rFonts w:ascii="宋体" w:hAnsi="宋体" w:eastAsia="宋体"/>
                <w:sz w:val="16"/>
              </w:rPr>
              <w:t>偏差原因分析及改进措施</w:t>
            </w:r>
          </w:p>
        </w:tc>
      </w:tr>
      <w:tr w14:paraId="7B8DD9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0A0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7FA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E7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D64A">
            <w:pPr>
              <w:jc w:val="center"/>
            </w:pPr>
            <w:r>
              <w:rPr>
                <w:rFonts w:ascii="宋体" w:hAnsi="宋体" w:eastAsia="宋体"/>
                <w:sz w:val="16"/>
              </w:rPr>
              <w:t>保障调研</w:t>
            </w:r>
            <w:r>
              <w:rPr>
                <w:rFonts w:hint="eastAsia" w:ascii="宋体" w:hAnsi="宋体"/>
                <w:sz w:val="16"/>
                <w:lang w:eastAsia="zh-CN"/>
              </w:rPr>
              <w:t>人数</w:t>
            </w:r>
            <w:r>
              <w:rPr>
                <w:rFonts w:ascii="宋体" w:hAnsi="宋体" w:eastAsia="宋体"/>
                <w:sz w:val="16"/>
              </w:rPr>
              <w:t>（人）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5236">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C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0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410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B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9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498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17D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C3301">
            <w:pPr>
              <w:jc w:val="center"/>
            </w:pPr>
          </w:p>
        </w:tc>
      </w:tr>
      <w:tr w14:paraId="0AC36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97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95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C1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9BA3">
            <w:pPr>
              <w:jc w:val="center"/>
            </w:pPr>
            <w:r>
              <w:rPr>
                <w:rFonts w:ascii="宋体" w:hAnsi="宋体" w:eastAsia="宋体"/>
                <w:sz w:val="16"/>
              </w:rPr>
              <w:t>撰写调研报告精准完成率（%）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4D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2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2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153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D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F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6002">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4A0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D2822">
            <w:pPr>
              <w:jc w:val="center"/>
            </w:pPr>
            <w:r>
              <w:rPr>
                <w:rFonts w:ascii="宋体" w:hAnsi="宋体" w:eastAsia="宋体"/>
                <w:sz w:val="16"/>
              </w:rPr>
              <w:t>偏差原因：调研报告还需进一步精准修改。改进措施：加快修改的进度，及时结题。</w:t>
            </w:r>
          </w:p>
        </w:tc>
      </w:tr>
      <w:tr w14:paraId="6BE7A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3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43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92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E08C">
            <w:pPr>
              <w:jc w:val="center"/>
            </w:pPr>
            <w:r>
              <w:rPr>
                <w:rFonts w:ascii="宋体" w:hAnsi="宋体" w:eastAsia="宋体"/>
                <w:sz w:val="16"/>
              </w:rPr>
              <w:t>撰写调研报告及时性（%）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F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2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6C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9B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9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C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DBCA">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7B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E45F">
            <w:pPr>
              <w:jc w:val="center"/>
            </w:pPr>
            <w:r>
              <w:rPr>
                <w:rFonts w:ascii="宋体" w:hAnsi="宋体" w:eastAsia="宋体"/>
                <w:sz w:val="16"/>
              </w:rPr>
              <w:t>偏差原因：调研报告还需进一步精准修改。改进措施：加快修改的进度，及时结题。</w:t>
            </w:r>
          </w:p>
        </w:tc>
      </w:tr>
      <w:tr w14:paraId="5735B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B9B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234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FDE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EDEA">
            <w:pPr>
              <w:jc w:val="center"/>
            </w:pPr>
            <w:r>
              <w:rPr>
                <w:rFonts w:ascii="宋体" w:hAnsi="宋体" w:eastAsia="宋体"/>
                <w:sz w:val="16"/>
              </w:rPr>
              <w:t>调研运转经费数(万元)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D4D2">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3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9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9D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60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BC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3577">
            <w:pPr>
              <w:jc w:val="center"/>
            </w:pPr>
            <w:r>
              <w:rPr>
                <w:rFonts w:ascii="宋体" w:hAnsi="宋体" w:eastAsia="宋体"/>
                <w:sz w:val="16"/>
              </w:rPr>
              <w:t>&lt;=0.14万元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88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AE9A7">
            <w:pPr>
              <w:jc w:val="center"/>
            </w:pPr>
            <w:r>
              <w:rPr>
                <w:rFonts w:ascii="宋体" w:hAnsi="宋体" w:eastAsia="宋体"/>
                <w:sz w:val="16"/>
              </w:rPr>
              <w:t>偏差原因：经费劳务费还未计算支付。改进措施：加快经费支出进度。</w:t>
            </w:r>
          </w:p>
        </w:tc>
      </w:tr>
      <w:tr w14:paraId="44617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44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EC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B0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7DB8">
            <w:pPr>
              <w:jc w:val="center"/>
            </w:pPr>
            <w:r>
              <w:rPr>
                <w:rFonts w:ascii="宋体" w:hAnsi="宋体" w:eastAsia="宋体"/>
                <w:sz w:val="16"/>
              </w:rPr>
              <w:t>保障人员经费数（万元）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C297">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3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5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8B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E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19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BA8D">
            <w:pPr>
              <w:jc w:val="center"/>
            </w:pPr>
            <w:r>
              <w:rPr>
                <w:rFonts w:ascii="宋体" w:hAnsi="宋体" w:eastAsia="宋体"/>
                <w:sz w:val="16"/>
              </w:rPr>
              <w:t>&lt;=0.4万元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5E2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F6385">
            <w:pPr>
              <w:jc w:val="center"/>
            </w:pPr>
            <w:r>
              <w:rPr>
                <w:rFonts w:ascii="宋体" w:hAnsi="宋体" w:eastAsia="宋体"/>
                <w:sz w:val="16"/>
              </w:rPr>
              <w:t>偏差原因：经费劳务费还未计算支付。改进措施：加快经费支出进度。</w:t>
            </w:r>
          </w:p>
        </w:tc>
      </w:tr>
      <w:tr w14:paraId="59ADE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1AF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F7D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22F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F201">
            <w:pPr>
              <w:jc w:val="center"/>
            </w:pPr>
            <w:r>
              <w:rPr>
                <w:rFonts w:ascii="宋体" w:hAnsi="宋体" w:eastAsia="宋体"/>
                <w:sz w:val="16"/>
              </w:rPr>
              <w:t>优化营商环境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E4D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F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D7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B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0E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4E9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347C">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B73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4D1D3">
            <w:pPr>
              <w:jc w:val="center"/>
            </w:pPr>
            <w:r>
              <w:rPr>
                <w:rFonts w:ascii="宋体" w:hAnsi="宋体" w:eastAsia="宋体"/>
                <w:sz w:val="16"/>
              </w:rPr>
              <w:t>偏差原因：调研报告还需进一步精准修改。改进措施：加快修改的进度，及时结题。</w:t>
            </w:r>
          </w:p>
        </w:tc>
      </w:tr>
      <w:tr w14:paraId="4476B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5E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59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D5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67E2">
            <w:pPr>
              <w:jc w:val="center"/>
            </w:pPr>
            <w:r>
              <w:rPr>
                <w:rFonts w:ascii="宋体" w:hAnsi="宋体" w:eastAsia="宋体"/>
                <w:sz w:val="16"/>
              </w:rPr>
              <w:t>保障工作情况需求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E438">
            <w:pPr>
              <w:jc w:val="center"/>
            </w:pPr>
            <w:r>
              <w:rPr>
                <w:rFonts w:ascii="宋体" w:hAnsi="宋体" w:eastAsia="宋体"/>
                <w:sz w:val="16"/>
              </w:rPr>
              <w:t>有限保障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6C7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A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F0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76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0E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F811">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C4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D149">
            <w:pPr>
              <w:jc w:val="center"/>
            </w:pPr>
            <w:r>
              <w:rPr>
                <w:rFonts w:ascii="宋体" w:hAnsi="宋体" w:eastAsia="宋体"/>
                <w:sz w:val="16"/>
              </w:rPr>
              <w:t>偏差原因：调研报告还需进一步精准修改。改进措施：加快修改的进度，及时结题。</w:t>
            </w:r>
          </w:p>
        </w:tc>
      </w:tr>
      <w:tr w14:paraId="50C20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83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0F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59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25DF">
            <w:pPr>
              <w:jc w:val="center"/>
            </w:pPr>
            <w:r>
              <w:rPr>
                <w:rFonts w:ascii="宋体" w:hAnsi="宋体" w:eastAsia="宋体"/>
                <w:sz w:val="16"/>
              </w:rPr>
              <w:t>研究成果满意度（%）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74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9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5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25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FD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6A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05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2F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4CA07">
            <w:pPr>
              <w:jc w:val="center"/>
            </w:pPr>
          </w:p>
        </w:tc>
      </w:tr>
      <w:tr w14:paraId="26FA28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80E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99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D21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69B568">
            <w:pPr>
              <w:jc w:val="center"/>
            </w:pPr>
            <w:r>
              <w:rPr>
                <w:rFonts w:ascii="宋体" w:hAnsi="宋体" w:eastAsia="宋体"/>
                <w:sz w:val="16"/>
              </w:rPr>
              <w:t>37分</w:t>
            </w:r>
          </w:p>
        </w:tc>
      </w:tr>
    </w:tbl>
    <w:p w14:paraId="2811C990">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96"/>
        <w:gridCol w:w="776"/>
        <w:gridCol w:w="616"/>
        <w:gridCol w:w="626"/>
        <w:gridCol w:w="616"/>
        <w:gridCol w:w="616"/>
        <w:gridCol w:w="621"/>
        <w:gridCol w:w="776"/>
        <w:gridCol w:w="631"/>
        <w:gridCol w:w="598"/>
        <w:gridCol w:w="631"/>
      </w:tblGrid>
      <w:tr w14:paraId="5E5EB853">
        <w:tc>
          <w:tcPr>
            <w:tcW w:w="8848" w:type="dxa"/>
            <w:gridSpan w:val="14"/>
            <w:vAlign w:val="center"/>
          </w:tcPr>
          <w:p w14:paraId="39A629AC">
            <w:pPr>
              <w:jc w:val="center"/>
            </w:pPr>
            <w:r>
              <w:rPr>
                <w:rFonts w:ascii="宋体" w:hAnsi="宋体" w:eastAsia="宋体"/>
                <w:sz w:val="24"/>
              </w:rPr>
              <w:t>项目支出绩效自评表</w:t>
            </w:r>
          </w:p>
        </w:tc>
      </w:tr>
      <w:tr w14:paraId="78677246">
        <w:tblPrEx>
          <w:tblCellMar>
            <w:top w:w="0" w:type="dxa"/>
            <w:left w:w="108" w:type="dxa"/>
            <w:bottom w:w="0" w:type="dxa"/>
            <w:right w:w="108" w:type="dxa"/>
          </w:tblCellMar>
        </w:tblPrEx>
        <w:tc>
          <w:tcPr>
            <w:tcW w:w="8848" w:type="dxa"/>
            <w:gridSpan w:val="14"/>
            <w:vAlign w:val="center"/>
          </w:tcPr>
          <w:p w14:paraId="62E812AD">
            <w:pPr>
              <w:jc w:val="center"/>
            </w:pPr>
            <w:r>
              <w:rPr>
                <w:rFonts w:ascii="宋体" w:hAnsi="宋体" w:eastAsia="宋体"/>
                <w:sz w:val="24"/>
              </w:rPr>
              <w:t>(2024年度)</w:t>
            </w:r>
          </w:p>
        </w:tc>
      </w:tr>
      <w:tr w14:paraId="73670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B2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60DEFB">
            <w:pPr>
              <w:jc w:val="center"/>
            </w:pPr>
            <w:r>
              <w:rPr>
                <w:rFonts w:ascii="宋体" w:hAnsi="宋体" w:eastAsia="宋体"/>
                <w:sz w:val="16"/>
              </w:rPr>
              <w:t>调研工作经费</w:t>
            </w:r>
          </w:p>
        </w:tc>
      </w:tr>
      <w:tr w14:paraId="6AA72C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CA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E8C31">
            <w:pPr>
              <w:jc w:val="center"/>
            </w:pPr>
            <w:r>
              <w:rPr>
                <w:rFonts w:ascii="宋体" w:hAnsi="宋体" w:eastAsia="宋体"/>
                <w:sz w:val="16"/>
              </w:rPr>
              <w:t>中共克孜勒苏柯尔克孜自治州委员会政策研究室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23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74E765">
            <w:pPr>
              <w:jc w:val="center"/>
            </w:pPr>
            <w:r>
              <w:rPr>
                <w:rFonts w:ascii="宋体" w:hAnsi="宋体" w:eastAsia="宋体"/>
                <w:sz w:val="16"/>
              </w:rPr>
              <w:t>中共克孜勒苏柯尔克孜自治州委员会政策研究室</w:t>
            </w:r>
          </w:p>
        </w:tc>
      </w:tr>
      <w:tr w14:paraId="3F68E5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732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C38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6D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7E5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A59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15F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022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D755">
            <w:pPr>
              <w:jc w:val="center"/>
            </w:pPr>
            <w:r>
              <w:rPr>
                <w:rFonts w:ascii="宋体" w:hAnsi="宋体" w:eastAsia="宋体"/>
                <w:sz w:val="16"/>
              </w:rPr>
              <w:t>得分</w:t>
            </w:r>
          </w:p>
        </w:tc>
      </w:tr>
      <w:tr w14:paraId="2077A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B8D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B74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BFD7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D55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A6FC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0D5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A34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10BD">
            <w:pPr>
              <w:jc w:val="center"/>
            </w:pPr>
            <w:r>
              <w:rPr>
                <w:rFonts w:ascii="宋体" w:hAnsi="宋体" w:eastAsia="宋体"/>
                <w:sz w:val="16"/>
              </w:rPr>
              <w:t>10.00分</w:t>
            </w:r>
          </w:p>
        </w:tc>
      </w:tr>
      <w:tr w14:paraId="1F0A2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99B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1EC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B33F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0C06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AE62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A10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194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26B4">
            <w:pPr>
              <w:jc w:val="center"/>
            </w:pPr>
            <w:r>
              <w:rPr>
                <w:rFonts w:ascii="宋体" w:hAnsi="宋体" w:eastAsia="宋体"/>
                <w:sz w:val="16"/>
              </w:rPr>
              <w:t>—</w:t>
            </w:r>
          </w:p>
        </w:tc>
      </w:tr>
      <w:tr w14:paraId="07D98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6A0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78F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85D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F86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17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B62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08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19D8">
            <w:pPr>
              <w:jc w:val="center"/>
            </w:pPr>
            <w:r>
              <w:rPr>
                <w:rFonts w:ascii="宋体" w:hAnsi="宋体" w:eastAsia="宋体"/>
                <w:sz w:val="16"/>
              </w:rPr>
              <w:t>—</w:t>
            </w:r>
          </w:p>
        </w:tc>
      </w:tr>
      <w:tr w14:paraId="7C4569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345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49FC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C71FAD">
            <w:pPr>
              <w:jc w:val="center"/>
            </w:pPr>
            <w:r>
              <w:rPr>
                <w:rFonts w:ascii="宋体" w:hAnsi="宋体" w:eastAsia="宋体"/>
                <w:sz w:val="16"/>
              </w:rPr>
              <w:t>实际完成情况</w:t>
            </w:r>
          </w:p>
        </w:tc>
      </w:tr>
      <w:tr w14:paraId="4C14F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F7D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7443C">
            <w:pPr>
              <w:jc w:val="both"/>
            </w:pPr>
            <w:r>
              <w:rPr>
                <w:rFonts w:ascii="宋体" w:hAnsi="宋体" w:eastAsia="宋体"/>
                <w:sz w:val="16"/>
              </w:rPr>
              <w:t>该项目总投资12万元，其中：财政资金12万元，其他资金0万元；该项目资金用于政研室（改革办）2024年工作支出。围绕州委中心工作和决策部署，开展调查研究，当好州委、州政府的智囊团和信息库，为州委决策提供好的政策建议和参考依据，探索和研究经济社会发展中的新情况新问题，发挥参谋助手作用。组织开展全面深化改革重大问题的政策研究；统筹协调有关方面提出有关改革工作方案和措施；协调督促落实领导小组决定事项、工作部署和要求；收集汇总改革问题；负责落实领导小组安排的改革部署、会议组织、简报编印、资料管理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4951EC">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已完成 保障调研用车数量1辆，保障调研人员数量8人，撰写调研报告篇数12篇,召开会议4次，开展调查研究，为州委决策提供好的政策建议和参考依据，探索和研究经济社会发展中的新情况新问题。围绕州委中心工作和决策部署，开展调查研究，当好州委、州政府的智囊团和信息库，为州委决策提供好的政策建议和参考依据，探索和研究经济社会发展中的新情况新问题，发挥参谋助手作用。组织开展全面深化改革重大问题的政策研究；统筹协调有关方面提出有关改革工作方案和措施；协调督促落实领导小组决定事项、工作部署和要求；收集汇总改革问题；负责落实领导小组安排的改革部署、会议组织、简报编印、资料管理等工作。</w:t>
            </w:r>
          </w:p>
        </w:tc>
      </w:tr>
      <w:tr w14:paraId="42AF82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2C3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44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3D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B9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FE2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1B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48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9D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D9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78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D5A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74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722F4">
            <w:pPr>
              <w:jc w:val="center"/>
            </w:pPr>
            <w:r>
              <w:rPr>
                <w:rFonts w:ascii="宋体" w:hAnsi="宋体" w:eastAsia="宋体"/>
                <w:sz w:val="16"/>
              </w:rPr>
              <w:t>偏差原因分析及改进措施</w:t>
            </w:r>
          </w:p>
        </w:tc>
      </w:tr>
      <w:tr w14:paraId="69897D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37F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ED3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601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627B">
            <w:pPr>
              <w:jc w:val="center"/>
            </w:pPr>
            <w:r>
              <w:rPr>
                <w:rFonts w:ascii="宋体" w:hAnsi="宋体" w:eastAsia="宋体"/>
                <w:sz w:val="16"/>
              </w:rPr>
              <w:t>保障调研用车数量（辆）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929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D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5BA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ED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3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1C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4D7D">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ACB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31227">
            <w:pPr>
              <w:jc w:val="center"/>
            </w:pPr>
          </w:p>
        </w:tc>
      </w:tr>
      <w:tr w14:paraId="1B96E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B2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C4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81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A784">
            <w:pPr>
              <w:jc w:val="center"/>
            </w:pPr>
            <w:r>
              <w:rPr>
                <w:rFonts w:ascii="宋体" w:hAnsi="宋体" w:eastAsia="宋体"/>
                <w:sz w:val="16"/>
              </w:rPr>
              <w:t>保障调研</w:t>
            </w:r>
            <w:r>
              <w:rPr>
                <w:rFonts w:hint="eastAsia" w:ascii="宋体" w:hAnsi="宋体"/>
                <w:sz w:val="16"/>
                <w:lang w:eastAsia="zh-CN"/>
              </w:rPr>
              <w:t>人数</w:t>
            </w:r>
            <w:r>
              <w:rPr>
                <w:rFonts w:ascii="宋体" w:hAnsi="宋体" w:eastAsia="宋体"/>
                <w:sz w:val="16"/>
              </w:rPr>
              <w:t>（人）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C849">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1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C8E7">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D8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2B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A7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FC01">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A11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8717D">
            <w:pPr>
              <w:jc w:val="center"/>
            </w:pPr>
          </w:p>
        </w:tc>
      </w:tr>
      <w:tr w14:paraId="1C308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7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ED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8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5E8F">
            <w:pPr>
              <w:jc w:val="center"/>
            </w:pPr>
            <w:r>
              <w:rPr>
                <w:rFonts w:ascii="宋体" w:hAnsi="宋体" w:eastAsia="宋体"/>
                <w:sz w:val="16"/>
              </w:rPr>
              <w:t>撰写调研报告篇数（篇）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C0C6">
            <w:pPr>
              <w:jc w:val="center"/>
            </w:pPr>
            <w:r>
              <w:rPr>
                <w:rFonts w:ascii="宋体" w:hAnsi="宋体" w:eastAsia="宋体"/>
                <w:sz w:val="16"/>
              </w:rPr>
              <w:t>&gt;=25篇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C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6C94">
            <w:pPr>
              <w:jc w:val="center"/>
            </w:pPr>
            <w:r>
              <w:rPr>
                <w:rFonts w:ascii="宋体" w:hAnsi="宋体" w:eastAsia="宋体"/>
                <w:sz w:val="16"/>
              </w:rPr>
              <w:t>8篇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CC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F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CE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2C6A">
            <w:pPr>
              <w:jc w:val="center"/>
            </w:pPr>
            <w:r>
              <w:rPr>
                <w:rFonts w:ascii="宋体" w:hAnsi="宋体" w:eastAsia="宋体"/>
                <w:sz w:val="16"/>
              </w:rPr>
              <w:t>&gt;=25篇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97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D64C7">
            <w:pPr>
              <w:jc w:val="center"/>
            </w:pPr>
          </w:p>
        </w:tc>
      </w:tr>
      <w:tr w14:paraId="70906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22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6A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04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5CC6">
            <w:pPr>
              <w:jc w:val="center"/>
            </w:pPr>
            <w:r>
              <w:rPr>
                <w:rFonts w:ascii="宋体" w:hAnsi="宋体" w:eastAsia="宋体"/>
                <w:sz w:val="16"/>
              </w:rPr>
              <w:t>召开会议次数（次）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B27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1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5B5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72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9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03C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526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1A9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E4416">
            <w:pPr>
              <w:jc w:val="center"/>
            </w:pPr>
          </w:p>
        </w:tc>
      </w:tr>
      <w:tr w14:paraId="23472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8D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DA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39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3053">
            <w:pPr>
              <w:jc w:val="center"/>
            </w:pPr>
            <w:r>
              <w:rPr>
                <w:rFonts w:ascii="宋体" w:hAnsi="宋体" w:eastAsia="宋体"/>
                <w:sz w:val="16"/>
              </w:rPr>
              <w:t>撰写调研报告精准完成率（%）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3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0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7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D3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A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9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07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7D0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14D14">
            <w:pPr>
              <w:jc w:val="center"/>
            </w:pPr>
          </w:p>
        </w:tc>
      </w:tr>
      <w:tr w14:paraId="0B481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0F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06A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FA0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CE7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94A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4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61D8">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C2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3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3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733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6A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3B89">
            <w:pPr>
              <w:jc w:val="center"/>
            </w:pPr>
          </w:p>
        </w:tc>
      </w:tr>
      <w:tr w14:paraId="43DA7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BD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96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A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768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B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2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D89C">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9C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19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B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2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A7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6290">
            <w:pPr>
              <w:jc w:val="center"/>
            </w:pPr>
          </w:p>
        </w:tc>
      </w:tr>
      <w:tr w14:paraId="0790F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B0B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897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D85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522B">
            <w:pPr>
              <w:jc w:val="center"/>
            </w:pPr>
            <w:r>
              <w:rPr>
                <w:rFonts w:ascii="宋体" w:hAnsi="宋体" w:eastAsia="宋体"/>
                <w:sz w:val="16"/>
              </w:rPr>
              <w:t>保障车辆经费数（万元）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0AC3">
            <w:pPr>
              <w:jc w:val="center"/>
            </w:pPr>
            <w:r>
              <w:rPr>
                <w:rFonts w:ascii="宋体" w:hAnsi="宋体" w:eastAsia="宋体"/>
                <w:sz w:val="16"/>
              </w:rPr>
              <w:t>&lt;=1.55万元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D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F18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48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B1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DD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B697">
            <w:pPr>
              <w:jc w:val="center"/>
            </w:pPr>
            <w:r>
              <w:rPr>
                <w:rFonts w:ascii="宋体" w:hAnsi="宋体" w:eastAsia="宋体"/>
                <w:sz w:val="16"/>
              </w:rPr>
              <w:t>&lt;=1.55万元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FC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D336E">
            <w:pPr>
              <w:jc w:val="center"/>
            </w:pPr>
          </w:p>
        </w:tc>
      </w:tr>
      <w:tr w14:paraId="12F48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5F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BF6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31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6A40">
            <w:pPr>
              <w:jc w:val="center"/>
            </w:pPr>
            <w:r>
              <w:rPr>
                <w:rFonts w:ascii="宋体" w:hAnsi="宋体" w:eastAsia="宋体"/>
                <w:sz w:val="16"/>
              </w:rPr>
              <w:t>调研运转经费数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DBE6">
            <w:pPr>
              <w:jc w:val="center"/>
            </w:pPr>
            <w:r>
              <w:rPr>
                <w:rFonts w:ascii="宋体" w:hAnsi="宋体" w:eastAsia="宋体"/>
                <w:sz w:val="16"/>
              </w:rPr>
              <w:t>&lt;=10.45万元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4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9304">
            <w:pPr>
              <w:jc w:val="center"/>
            </w:pPr>
            <w:r>
              <w:rPr>
                <w:rFonts w:ascii="宋体" w:hAnsi="宋体" w:eastAsia="宋体"/>
                <w:sz w:val="16"/>
              </w:rPr>
              <w:t>1.25万元/人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8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1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49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6283">
            <w:pPr>
              <w:jc w:val="center"/>
            </w:pPr>
            <w:r>
              <w:rPr>
                <w:rFonts w:ascii="宋体" w:hAnsi="宋体" w:eastAsia="宋体"/>
                <w:sz w:val="16"/>
              </w:rPr>
              <w:t>&lt;=10.45万元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6D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5C7D">
            <w:pPr>
              <w:jc w:val="center"/>
            </w:pPr>
          </w:p>
        </w:tc>
      </w:tr>
      <w:tr w14:paraId="36130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53E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36E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621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D4F3">
            <w:pPr>
              <w:jc w:val="center"/>
            </w:pPr>
            <w:r>
              <w:rPr>
                <w:rFonts w:ascii="宋体" w:hAnsi="宋体" w:eastAsia="宋体"/>
                <w:sz w:val="16"/>
              </w:rPr>
              <w:t>促进我州社会稳定和经济发展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C8E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1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45A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F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08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797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83E3">
            <w:pPr>
              <w:jc w:val="center"/>
            </w:pPr>
            <w:r>
              <w:rPr>
                <w:rFonts w:ascii="宋体" w:hAnsi="宋体" w:eastAsia="宋体"/>
                <w:sz w:val="16"/>
              </w:rPr>
              <w:t>有效促进</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3D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840C0">
            <w:pPr>
              <w:jc w:val="center"/>
            </w:pPr>
          </w:p>
        </w:tc>
      </w:tr>
      <w:tr w14:paraId="510FF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5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63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A2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DB5E">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415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126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C64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6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CC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37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FFF2">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C0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4AA5">
            <w:pPr>
              <w:jc w:val="center"/>
            </w:pPr>
          </w:p>
        </w:tc>
      </w:tr>
      <w:tr w14:paraId="06683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749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9F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3C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408B">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18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B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4E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A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4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D28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0E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26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5DD1B">
            <w:pPr>
              <w:jc w:val="center"/>
            </w:pPr>
          </w:p>
        </w:tc>
      </w:tr>
      <w:tr w14:paraId="661A64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E7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F0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84F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B04D4">
            <w:pPr>
              <w:jc w:val="center"/>
            </w:pPr>
            <w:r>
              <w:rPr>
                <w:rFonts w:ascii="宋体" w:hAnsi="宋体" w:eastAsia="宋体"/>
                <w:sz w:val="16"/>
              </w:rPr>
              <w:t>100分</w:t>
            </w:r>
          </w:p>
        </w:tc>
      </w:tr>
    </w:tbl>
    <w:p w14:paraId="716F0A0C">
      <w:r>
        <w:br w:type="page"/>
      </w:r>
    </w:p>
    <w:p w14:paraId="58D8C28C">
      <w:pPr>
        <w:spacing w:line="640" w:lineRule="exact"/>
        <w:ind w:firstLine="640"/>
        <w:jc w:val="both"/>
        <w:outlineLvl w:val="2"/>
      </w:pPr>
      <w:r>
        <w:rPr>
          <w:rFonts w:ascii="黑体" w:hAnsi="黑体" w:eastAsia="黑体"/>
          <w:sz w:val="32"/>
        </w:rPr>
        <w:t>十二、其他需说明的事项</w:t>
      </w:r>
    </w:p>
    <w:p w14:paraId="7B786411">
      <w:pPr>
        <w:spacing w:line="580" w:lineRule="exact"/>
        <w:ind w:firstLine="640"/>
        <w:jc w:val="both"/>
      </w:pPr>
      <w:r>
        <w:rPr>
          <w:rFonts w:ascii="仿宋_GB2312" w:hAnsi="仿宋_GB2312" w:eastAsia="仿宋_GB2312"/>
          <w:b w:val="0"/>
          <w:sz w:val="32"/>
        </w:rPr>
        <w:t>本单位无其他需说明的事项。</w:t>
      </w:r>
    </w:p>
    <w:p w14:paraId="28572957">
      <w:r>
        <w:br w:type="page"/>
      </w:r>
    </w:p>
    <w:p w14:paraId="0CE98796">
      <w:pPr>
        <w:spacing w:line="240" w:lineRule="auto"/>
        <w:jc w:val="center"/>
        <w:outlineLvl w:val="1"/>
      </w:pPr>
      <w:r>
        <w:rPr>
          <w:rFonts w:ascii="黑体" w:hAnsi="黑体" w:eastAsia="黑体"/>
          <w:sz w:val="32"/>
        </w:rPr>
        <w:t>第三部分 专业名词解释</w:t>
      </w:r>
    </w:p>
    <w:p w14:paraId="6EB473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D3F24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45740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3F9C5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B04E1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85A9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C4B82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03AEE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9454A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4FB79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9B3F09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51F54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230537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CF750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3BF030">
      <w:r>
        <w:br w:type="page"/>
      </w:r>
    </w:p>
    <w:p w14:paraId="5F0DE796">
      <w:pPr>
        <w:spacing w:line="240" w:lineRule="auto"/>
        <w:jc w:val="center"/>
        <w:outlineLvl w:val="1"/>
      </w:pPr>
      <w:r>
        <w:rPr>
          <w:rFonts w:ascii="黑体" w:hAnsi="黑体" w:eastAsia="黑体"/>
          <w:sz w:val="32"/>
        </w:rPr>
        <w:t>第四部分 部门决算报表（见附表）</w:t>
      </w:r>
    </w:p>
    <w:p w14:paraId="4AFCC380">
      <w:pPr>
        <w:spacing w:line="240" w:lineRule="auto"/>
        <w:ind w:firstLine="640"/>
        <w:jc w:val="both"/>
      </w:pPr>
      <w:r>
        <w:rPr>
          <w:rFonts w:ascii="仿宋_GB2312" w:hAnsi="仿宋_GB2312" w:eastAsia="仿宋_GB2312"/>
          <w:b w:val="0"/>
          <w:sz w:val="32"/>
        </w:rPr>
        <w:t>一、《收入支出决算总表》</w:t>
      </w:r>
    </w:p>
    <w:p w14:paraId="25581AF1">
      <w:pPr>
        <w:spacing w:line="240" w:lineRule="auto"/>
        <w:ind w:firstLine="640"/>
        <w:jc w:val="both"/>
      </w:pPr>
      <w:r>
        <w:rPr>
          <w:rFonts w:ascii="仿宋_GB2312" w:hAnsi="仿宋_GB2312" w:eastAsia="仿宋_GB2312"/>
          <w:b w:val="0"/>
          <w:sz w:val="32"/>
        </w:rPr>
        <w:t>二、《收入决算表》</w:t>
      </w:r>
    </w:p>
    <w:p w14:paraId="47001316">
      <w:pPr>
        <w:spacing w:line="240" w:lineRule="auto"/>
        <w:ind w:firstLine="640"/>
        <w:jc w:val="both"/>
      </w:pPr>
      <w:r>
        <w:rPr>
          <w:rFonts w:ascii="仿宋_GB2312" w:hAnsi="仿宋_GB2312" w:eastAsia="仿宋_GB2312"/>
          <w:b w:val="0"/>
          <w:sz w:val="32"/>
        </w:rPr>
        <w:t>三、《支出决算表》</w:t>
      </w:r>
    </w:p>
    <w:p w14:paraId="1478950A">
      <w:pPr>
        <w:spacing w:line="240" w:lineRule="auto"/>
        <w:ind w:firstLine="640"/>
        <w:jc w:val="both"/>
      </w:pPr>
      <w:r>
        <w:rPr>
          <w:rFonts w:ascii="仿宋_GB2312" w:hAnsi="仿宋_GB2312" w:eastAsia="仿宋_GB2312"/>
          <w:b w:val="0"/>
          <w:sz w:val="32"/>
        </w:rPr>
        <w:t>四、《财政拨款收入支出决算总表》</w:t>
      </w:r>
    </w:p>
    <w:p w14:paraId="6284F253">
      <w:pPr>
        <w:spacing w:line="240" w:lineRule="auto"/>
        <w:ind w:firstLine="640"/>
        <w:jc w:val="both"/>
      </w:pPr>
      <w:r>
        <w:rPr>
          <w:rFonts w:ascii="仿宋_GB2312" w:hAnsi="仿宋_GB2312" w:eastAsia="仿宋_GB2312"/>
          <w:b w:val="0"/>
          <w:sz w:val="32"/>
        </w:rPr>
        <w:t>五、《一般公共预算财政拨款支出决算表》</w:t>
      </w:r>
    </w:p>
    <w:p w14:paraId="13DD5A56">
      <w:pPr>
        <w:spacing w:line="240" w:lineRule="auto"/>
        <w:ind w:firstLine="640"/>
        <w:jc w:val="both"/>
      </w:pPr>
      <w:r>
        <w:rPr>
          <w:rFonts w:ascii="仿宋_GB2312" w:hAnsi="仿宋_GB2312" w:eastAsia="仿宋_GB2312"/>
          <w:b w:val="0"/>
          <w:sz w:val="32"/>
        </w:rPr>
        <w:t>六、《一般公共预算财政拨款基本支出决算表》</w:t>
      </w:r>
    </w:p>
    <w:p w14:paraId="17644C6B">
      <w:pPr>
        <w:spacing w:line="240" w:lineRule="auto"/>
        <w:ind w:firstLine="640"/>
        <w:jc w:val="both"/>
      </w:pPr>
      <w:r>
        <w:rPr>
          <w:rFonts w:ascii="仿宋_GB2312" w:hAnsi="仿宋_GB2312" w:eastAsia="仿宋_GB2312"/>
          <w:b w:val="0"/>
          <w:sz w:val="32"/>
        </w:rPr>
        <w:t>七、《政府性基金预算财政拨款收入支出决算表》</w:t>
      </w:r>
    </w:p>
    <w:p w14:paraId="66A6919F">
      <w:pPr>
        <w:spacing w:line="240" w:lineRule="auto"/>
        <w:ind w:firstLine="640"/>
        <w:jc w:val="both"/>
      </w:pPr>
      <w:r>
        <w:rPr>
          <w:rFonts w:ascii="仿宋_GB2312" w:hAnsi="仿宋_GB2312" w:eastAsia="仿宋_GB2312"/>
          <w:b w:val="0"/>
          <w:sz w:val="32"/>
        </w:rPr>
        <w:t>八、《国有资本经营预算财政拨款收入支出决算表》</w:t>
      </w:r>
    </w:p>
    <w:p w14:paraId="198CDF01">
      <w:pPr>
        <w:spacing w:line="240" w:lineRule="auto"/>
        <w:ind w:firstLine="640"/>
        <w:jc w:val="both"/>
      </w:pPr>
      <w:r>
        <w:rPr>
          <w:rFonts w:ascii="仿宋_GB2312" w:hAnsi="仿宋_GB2312" w:eastAsia="仿宋_GB2312"/>
          <w:b w:val="0"/>
          <w:sz w:val="32"/>
        </w:rPr>
        <w:t>九、《财政拨款“三公”经费支出决算表》</w:t>
      </w:r>
    </w:p>
    <w:p w14:paraId="54ABAD49">
      <w:pPr>
        <w:spacing w:line="240" w:lineRule="auto"/>
        <w:ind w:firstLine="640"/>
        <w:jc w:val="both"/>
      </w:pPr>
    </w:p>
    <w:p w14:paraId="79613433">
      <w:pPr>
        <w:spacing w:line="240" w:lineRule="auto"/>
        <w:ind w:firstLine="640"/>
        <w:jc w:val="both"/>
      </w:pPr>
    </w:p>
    <w:p w14:paraId="51A27288">
      <w:pPr>
        <w:spacing w:line="240" w:lineRule="auto"/>
        <w:ind w:firstLine="640"/>
        <w:jc w:val="both"/>
      </w:pPr>
    </w:p>
    <w:p w14:paraId="0AA9D10A">
      <w:pPr>
        <w:spacing w:line="240" w:lineRule="auto"/>
        <w:ind w:firstLine="640"/>
        <w:jc w:val="both"/>
      </w:pPr>
    </w:p>
    <w:p w14:paraId="2BAB89E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7C0CA8-1CEF-42DD-A399-779E65D2E5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89C0764-83A2-47B5-A4F9-A6DBEF6B1D77}"/>
  </w:font>
  <w:font w:name="仿宋_GB2312">
    <w:altName w:val="仿宋"/>
    <w:panose1 w:val="02010609030101010101"/>
    <w:charset w:val="86"/>
    <w:family w:val="modern"/>
    <w:pitch w:val="default"/>
    <w:sig w:usb0="00000000" w:usb1="00000000" w:usb2="00000000" w:usb3="00000000" w:csb0="00040000" w:csb1="00000000"/>
    <w:embedRegular r:id="rId3" w:fontKey="{099C8C9B-6E4B-4793-8EFF-CD7A98824F6D}"/>
  </w:font>
  <w:font w:name="楷体_GB2312">
    <w:altName w:val="楷体"/>
    <w:panose1 w:val="00000000000000000000"/>
    <w:charset w:val="00"/>
    <w:family w:val="auto"/>
    <w:pitch w:val="default"/>
    <w:sig w:usb0="00000000" w:usb1="00000000" w:usb2="00000000" w:usb3="00000000" w:csb0="00000000" w:csb1="00000000"/>
    <w:embedRegular r:id="rId4" w:fontKey="{BD99B9F9-AF64-4B39-BF03-886DFE9C3DFC}"/>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A27488"/>
    <w:rsid w:val="2BEB7D86"/>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E339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4380</Words>
  <Characters>4934</Characters>
  <Lines>0</Lines>
  <Paragraphs>0</Paragraphs>
  <TotalTime>5</TotalTime>
  <ScaleCrop>false</ScaleCrop>
  <LinksUpToDate>false</LinksUpToDate>
  <CharactersWithSpaces>4942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