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克孜勒苏柯尔克孜自治州贸易促进委员会2024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2081260">
      <w:r>
        <w:br w:type="page"/>
      </w:r>
    </w:p>
    <w:p w14:paraId="2EB3636B">
      <w:pPr>
        <w:spacing w:line="640" w:lineRule="exact"/>
        <w:jc w:val="center"/>
        <w:outlineLvl w:val="1"/>
      </w:pPr>
      <w:r>
        <w:rPr>
          <w:rFonts w:ascii="黑体" w:hAnsi="黑体" w:eastAsia="黑体"/>
          <w:sz w:val="32"/>
        </w:rPr>
        <w:t>第一部分 单位概况</w:t>
      </w:r>
    </w:p>
    <w:p w14:paraId="38BE5247">
      <w:pPr>
        <w:spacing w:line="640" w:lineRule="exact"/>
        <w:ind w:firstLine="640"/>
        <w:jc w:val="both"/>
        <w:outlineLvl w:val="2"/>
      </w:pPr>
      <w:r>
        <w:rPr>
          <w:rFonts w:ascii="黑体" w:hAnsi="黑体" w:eastAsia="黑体"/>
          <w:sz w:val="32"/>
        </w:rPr>
        <w:t>一、主要职能</w:t>
      </w:r>
    </w:p>
    <w:p w14:paraId="3C6A19D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负责国际贸易政策研究和信息咨询工作。</w:t>
      </w:r>
    </w:p>
    <w:p w14:paraId="1A2E2B4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开展境外贸易联络及纠纷调解工作。</w:t>
      </w:r>
    </w:p>
    <w:p w14:paraId="7C65E525">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参与组织各类境内外展洽会。</w:t>
      </w:r>
    </w:p>
    <w:p w14:paraId="0D77FDCB">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负责出口商品原产地证明书、商事证明、货物暂准进出口单证册等的签发。</w:t>
      </w:r>
    </w:p>
    <w:p w14:paraId="4C8D1BE8">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负责对中国国际商会克孜勒苏商会的指导。</w:t>
      </w:r>
    </w:p>
    <w:p w14:paraId="1EEBE068">
      <w:pPr>
        <w:spacing w:line="640" w:lineRule="exact"/>
        <w:ind w:firstLine="640"/>
        <w:jc w:val="both"/>
        <w:outlineLvl w:val="2"/>
      </w:pPr>
      <w:r>
        <w:rPr>
          <w:rFonts w:ascii="黑体" w:hAnsi="黑体" w:eastAsia="黑体"/>
          <w:sz w:val="32"/>
        </w:rPr>
        <w:t>二、机构设置及人员情况</w:t>
      </w:r>
    </w:p>
    <w:p w14:paraId="0BFD8273">
      <w:pPr>
        <w:spacing w:line="580" w:lineRule="exact"/>
        <w:ind w:firstLine="640"/>
        <w:jc w:val="both"/>
      </w:pPr>
      <w:r>
        <w:rPr>
          <w:rFonts w:ascii="仿宋_GB2312" w:hAnsi="仿宋_GB2312" w:eastAsia="仿宋_GB2312"/>
          <w:sz w:val="32"/>
        </w:rPr>
        <w:t>克孜勒苏柯尔克孜自治州贸易促进委员会2024年度，实有人数9人，其中：在职人员7人，增加1人；离休人员0人，增加0人；退休人员2人,增加0人。</w:t>
      </w:r>
    </w:p>
    <w:p w14:paraId="5E76DAC4">
      <w:pPr>
        <w:spacing w:line="580" w:lineRule="exact"/>
        <w:ind w:firstLine="640"/>
        <w:jc w:val="both"/>
      </w:pPr>
      <w:r>
        <w:rPr>
          <w:rFonts w:ascii="仿宋_GB2312" w:hAnsi="仿宋_GB2312" w:eastAsia="仿宋_GB2312"/>
          <w:sz w:val="32"/>
        </w:rPr>
        <w:t>克孜勒苏柯尔克孜自治州贸易促进委员会无下属预算单位，下设2个科室，分别是：办公室、业务科。</w:t>
      </w:r>
    </w:p>
    <w:p w14:paraId="581BE03B">
      <w:r>
        <w:br w:type="page"/>
      </w:r>
    </w:p>
    <w:p w14:paraId="4CCBE0F3">
      <w:pPr>
        <w:spacing w:line="240" w:lineRule="auto"/>
        <w:jc w:val="center"/>
        <w:outlineLvl w:val="1"/>
      </w:pPr>
      <w:r>
        <w:rPr>
          <w:rFonts w:ascii="黑体" w:hAnsi="黑体" w:eastAsia="黑体"/>
          <w:sz w:val="32"/>
        </w:rPr>
        <w:t>第二部分 部门决算情况说明</w:t>
      </w:r>
    </w:p>
    <w:p w14:paraId="149C1490">
      <w:pPr>
        <w:spacing w:line="640" w:lineRule="exact"/>
        <w:ind w:firstLine="640"/>
        <w:jc w:val="both"/>
        <w:outlineLvl w:val="2"/>
      </w:pPr>
      <w:r>
        <w:rPr>
          <w:rFonts w:ascii="黑体" w:hAnsi="黑体" w:eastAsia="黑体"/>
          <w:sz w:val="32"/>
        </w:rPr>
        <w:t>一、收入支出决算总体情况说明</w:t>
      </w:r>
    </w:p>
    <w:p w14:paraId="74B03138">
      <w:pPr>
        <w:spacing w:line="580" w:lineRule="exact"/>
        <w:ind w:firstLine="640"/>
        <w:jc w:val="both"/>
      </w:pPr>
      <w:r>
        <w:rPr>
          <w:rFonts w:ascii="仿宋_GB2312" w:hAnsi="仿宋_GB2312" w:eastAsia="仿宋_GB2312"/>
          <w:b/>
          <w:sz w:val="32"/>
        </w:rPr>
        <w:t>2024年度收入总计288.59万元，</w:t>
      </w:r>
      <w:r>
        <w:rPr>
          <w:rFonts w:ascii="仿宋_GB2312" w:hAnsi="仿宋_GB2312" w:eastAsia="仿宋_GB2312"/>
          <w:b w:val="0"/>
          <w:sz w:val="32"/>
        </w:rPr>
        <w:t>其中：本年收入合计288.57万元，使用非财政拨款结余（含专用结余）0.00万元，年初结转和结余0.01万元。</w:t>
      </w:r>
    </w:p>
    <w:p w14:paraId="67241605">
      <w:pPr>
        <w:spacing w:line="580" w:lineRule="exact"/>
        <w:ind w:firstLine="640"/>
        <w:jc w:val="both"/>
      </w:pPr>
      <w:r>
        <w:rPr>
          <w:rFonts w:ascii="仿宋_GB2312" w:hAnsi="仿宋_GB2312" w:eastAsia="仿宋_GB2312"/>
          <w:b/>
          <w:sz w:val="32"/>
        </w:rPr>
        <w:t>2024年度支出总计288.59万元，</w:t>
      </w:r>
      <w:r>
        <w:rPr>
          <w:rFonts w:ascii="仿宋_GB2312" w:hAnsi="仿宋_GB2312" w:eastAsia="仿宋_GB2312"/>
          <w:b w:val="0"/>
          <w:sz w:val="32"/>
        </w:rPr>
        <w:t>其中：本年支出合计251.19万元，结余分配0.00万元，年末结转和结余37.40万元。</w:t>
      </w:r>
    </w:p>
    <w:p w14:paraId="41877B6F">
      <w:pPr>
        <w:spacing w:line="580" w:lineRule="exact"/>
        <w:ind w:firstLine="640"/>
        <w:jc w:val="both"/>
      </w:pPr>
      <w:r>
        <w:rPr>
          <w:rFonts w:ascii="仿宋_GB2312" w:hAnsi="仿宋_GB2312" w:eastAsia="仿宋_GB2312"/>
          <w:b w:val="0"/>
          <w:sz w:val="32"/>
        </w:rPr>
        <w:t>收入支出总体与上年相比，增加129.56万元，增长81.47%，主要原因是：2024年5月、7月、9月组织参加“中亚行”活动，增加援疆资金用于出国经费资金。</w:t>
      </w:r>
    </w:p>
    <w:p w14:paraId="6CE19464">
      <w:pPr>
        <w:spacing w:line="640" w:lineRule="exact"/>
        <w:ind w:firstLine="640"/>
        <w:jc w:val="both"/>
        <w:outlineLvl w:val="2"/>
      </w:pPr>
      <w:r>
        <w:rPr>
          <w:rFonts w:ascii="黑体" w:hAnsi="黑体" w:eastAsia="黑体"/>
          <w:sz w:val="32"/>
        </w:rPr>
        <w:t>二、收入决算情况说明</w:t>
      </w:r>
    </w:p>
    <w:p w14:paraId="2BAE6135">
      <w:pPr>
        <w:spacing w:line="580" w:lineRule="exact"/>
        <w:ind w:firstLine="640"/>
        <w:jc w:val="both"/>
      </w:pPr>
      <w:r>
        <w:rPr>
          <w:rFonts w:ascii="仿宋_GB2312" w:hAnsi="仿宋_GB2312" w:eastAsia="仿宋_GB2312"/>
          <w:b/>
          <w:sz w:val="32"/>
        </w:rPr>
        <w:t>本年收入288.57万元，</w:t>
      </w:r>
      <w:r>
        <w:rPr>
          <w:rFonts w:ascii="仿宋_GB2312" w:hAnsi="仿宋_GB2312" w:eastAsia="仿宋_GB2312"/>
          <w:b w:val="0"/>
          <w:sz w:val="32"/>
        </w:rPr>
        <w:t>其中：财政拨款收入153.97万元，占53.36%；上级补助收入0.00万元，占0.00%；事业收入0.00万元，占0.00%；经营收入0.00万元，占0.00%；附属单位上缴收入0.00万元，占0.00%；其他收入134.60万元，占46.64%。</w:t>
      </w:r>
    </w:p>
    <w:p w14:paraId="68D3312F">
      <w:pPr>
        <w:spacing w:line="640" w:lineRule="exact"/>
        <w:ind w:firstLine="640"/>
        <w:jc w:val="both"/>
        <w:outlineLvl w:val="2"/>
      </w:pPr>
      <w:r>
        <w:rPr>
          <w:rFonts w:ascii="黑体" w:hAnsi="黑体" w:eastAsia="黑体"/>
          <w:sz w:val="32"/>
        </w:rPr>
        <w:t>三、支出决算情况说明</w:t>
      </w:r>
    </w:p>
    <w:p w14:paraId="456273BD">
      <w:pPr>
        <w:spacing w:line="580" w:lineRule="exact"/>
        <w:ind w:firstLine="640"/>
        <w:jc w:val="both"/>
      </w:pPr>
      <w:r>
        <w:rPr>
          <w:rFonts w:ascii="仿宋_GB2312" w:hAnsi="仿宋_GB2312" w:eastAsia="仿宋_GB2312"/>
          <w:b/>
          <w:sz w:val="32"/>
        </w:rPr>
        <w:t>本年支出251.19万元，</w:t>
      </w:r>
      <w:r>
        <w:rPr>
          <w:rFonts w:ascii="仿宋_GB2312" w:hAnsi="仿宋_GB2312" w:eastAsia="仿宋_GB2312"/>
          <w:b w:val="0"/>
          <w:sz w:val="32"/>
        </w:rPr>
        <w:t>其中：基本支出251.19万元，占100.00%；项目支出0.00万元，占0.00%；上缴上级支出0.00万元，占0.00%；经营支出0.00万元，占0.00%；对附属单位补助支出0.00万元，占0.00%。</w:t>
      </w:r>
    </w:p>
    <w:p w14:paraId="285827B8">
      <w:pPr>
        <w:spacing w:line="640" w:lineRule="exact"/>
        <w:ind w:firstLine="640"/>
        <w:jc w:val="both"/>
        <w:outlineLvl w:val="2"/>
      </w:pPr>
      <w:r>
        <w:rPr>
          <w:rFonts w:ascii="黑体" w:hAnsi="黑体" w:eastAsia="黑体"/>
          <w:sz w:val="32"/>
        </w:rPr>
        <w:t>四、财政拨款收入支出决算总体情况说明</w:t>
      </w:r>
    </w:p>
    <w:p w14:paraId="41696E54">
      <w:pPr>
        <w:spacing w:line="580" w:lineRule="exact"/>
        <w:ind w:firstLine="640"/>
        <w:jc w:val="both"/>
      </w:pPr>
      <w:r>
        <w:rPr>
          <w:rFonts w:ascii="仿宋_GB2312" w:hAnsi="仿宋_GB2312" w:eastAsia="仿宋_GB2312"/>
          <w:b/>
          <w:sz w:val="32"/>
        </w:rPr>
        <w:t>2024年度财政拨款收入总计153.97万元，</w:t>
      </w:r>
      <w:r>
        <w:rPr>
          <w:rFonts w:ascii="仿宋_GB2312" w:hAnsi="仿宋_GB2312" w:eastAsia="仿宋_GB2312"/>
          <w:b w:val="0"/>
          <w:sz w:val="32"/>
        </w:rPr>
        <w:t>其中：年初财政拨款结转和结余0.00万元，本年财政拨款收入153.97万元。</w:t>
      </w:r>
      <w:r>
        <w:rPr>
          <w:rFonts w:ascii="仿宋_GB2312" w:hAnsi="仿宋_GB2312" w:eastAsia="仿宋_GB2312"/>
          <w:b/>
          <w:sz w:val="32"/>
        </w:rPr>
        <w:t>财政拨款支出总计153.97万元，</w:t>
      </w:r>
      <w:r>
        <w:rPr>
          <w:rFonts w:ascii="仿宋_GB2312" w:hAnsi="仿宋_GB2312" w:eastAsia="仿宋_GB2312"/>
          <w:b w:val="0"/>
          <w:sz w:val="32"/>
        </w:rPr>
        <w:t>其中：年末财政拨款结转和结余0.00万元，本年财政拨款支出153.97万元。</w:t>
      </w:r>
    </w:p>
    <w:p w14:paraId="49BE1D8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增加17.06万元，增长12.46%，主要原因是：本年在职人员新增，工资调增，导致相关人员经费较上年有所增加。</w:t>
      </w:r>
      <w:r>
        <w:rPr>
          <w:rFonts w:ascii="仿宋_GB2312" w:hAnsi="仿宋_GB2312" w:eastAsia="仿宋_GB2312"/>
          <w:b/>
          <w:sz w:val="32"/>
        </w:rPr>
        <w:t>与年初预算相比，</w:t>
      </w:r>
      <w:r>
        <w:rPr>
          <w:rFonts w:ascii="仿宋_GB2312" w:hAnsi="仿宋_GB2312" w:eastAsia="仿宋_GB2312"/>
          <w:b w:val="0"/>
          <w:sz w:val="32"/>
        </w:rPr>
        <w:t>年初预算数128.12万元，决算数153.97万元，预决算差异率20.18%，主要原因是：年中追加人员工资、社保、公积金基数调增部分资金，导致预决算存在差异。</w:t>
      </w:r>
    </w:p>
    <w:p w14:paraId="37C74101">
      <w:pPr>
        <w:spacing w:line="640" w:lineRule="exact"/>
        <w:ind w:firstLine="640"/>
        <w:jc w:val="both"/>
        <w:outlineLvl w:val="2"/>
      </w:pPr>
      <w:r>
        <w:rPr>
          <w:rFonts w:ascii="黑体" w:hAnsi="黑体" w:eastAsia="黑体"/>
          <w:sz w:val="32"/>
        </w:rPr>
        <w:t>五、一般公共预算财政拨款支出决算情况说明</w:t>
      </w:r>
    </w:p>
    <w:p w14:paraId="33E9C3C8">
      <w:pPr>
        <w:spacing w:line="640" w:lineRule="exact"/>
        <w:ind w:firstLine="640"/>
        <w:jc w:val="both"/>
        <w:outlineLvl w:val="3"/>
      </w:pPr>
      <w:r>
        <w:rPr>
          <w:rFonts w:ascii="楷体_GB2312" w:hAnsi="楷体_GB2312" w:eastAsia="楷体_GB2312"/>
          <w:b/>
          <w:sz w:val="32"/>
        </w:rPr>
        <w:t>（一）一般公共预算财政拨款支出决算总体情况</w:t>
      </w:r>
    </w:p>
    <w:p w14:paraId="4C2C6E9F">
      <w:pPr>
        <w:spacing w:line="580" w:lineRule="exact"/>
        <w:ind w:firstLine="640"/>
        <w:jc w:val="both"/>
      </w:pPr>
      <w:r>
        <w:rPr>
          <w:rFonts w:ascii="仿宋_GB2312" w:hAnsi="仿宋_GB2312" w:eastAsia="仿宋_GB2312"/>
          <w:b/>
          <w:sz w:val="32"/>
        </w:rPr>
        <w:t>2024年度一般公共预算财政拨款支出153.97万元，</w:t>
      </w:r>
      <w:r>
        <w:rPr>
          <w:rFonts w:ascii="仿宋_GB2312" w:hAnsi="仿宋_GB2312" w:eastAsia="仿宋_GB2312"/>
          <w:b w:val="0"/>
          <w:sz w:val="32"/>
        </w:rPr>
        <w:t>占本年支出合计的61.30%。</w:t>
      </w:r>
      <w:r>
        <w:rPr>
          <w:rFonts w:ascii="仿宋_GB2312" w:hAnsi="仿宋_GB2312" w:eastAsia="仿宋_GB2312"/>
          <w:b/>
          <w:sz w:val="32"/>
        </w:rPr>
        <w:t>与上年相比，</w:t>
      </w:r>
      <w:r>
        <w:rPr>
          <w:rFonts w:ascii="仿宋_GB2312" w:hAnsi="仿宋_GB2312" w:eastAsia="仿宋_GB2312"/>
          <w:b w:val="0"/>
          <w:sz w:val="32"/>
        </w:rPr>
        <w:t>增加17.06万元，增长12.46%，主要原因是：本年在职人员新增，工资调增，导致相关人员经费较上年有所增加。</w:t>
      </w:r>
      <w:r>
        <w:rPr>
          <w:rFonts w:ascii="仿宋_GB2312" w:hAnsi="仿宋_GB2312" w:eastAsia="仿宋_GB2312"/>
          <w:b/>
          <w:sz w:val="32"/>
        </w:rPr>
        <w:t>与年初预算相比,</w:t>
      </w:r>
      <w:r>
        <w:rPr>
          <w:rFonts w:ascii="仿宋_GB2312" w:hAnsi="仿宋_GB2312" w:eastAsia="仿宋_GB2312"/>
          <w:b w:val="0"/>
          <w:sz w:val="32"/>
        </w:rPr>
        <w:t>年初预算数128.12万元，决算数153.97万元，预决算差异率20.18%，主要原因是：年中追加人员工资、社保、公积金基数调增部分资金，导致预决算存在差异。</w:t>
      </w:r>
    </w:p>
    <w:p w14:paraId="6509696F">
      <w:pPr>
        <w:spacing w:line="640" w:lineRule="exact"/>
        <w:ind w:firstLine="640"/>
        <w:jc w:val="both"/>
        <w:outlineLvl w:val="3"/>
      </w:pPr>
      <w:r>
        <w:rPr>
          <w:rFonts w:ascii="楷体_GB2312" w:hAnsi="楷体_GB2312" w:eastAsia="楷体_GB2312"/>
          <w:b/>
          <w:sz w:val="32"/>
        </w:rPr>
        <w:t>（二）一般公共预算财政拨款支出决算结构情况</w:t>
      </w:r>
    </w:p>
    <w:p w14:paraId="3B048A18">
      <w:pPr>
        <w:spacing w:line="580" w:lineRule="exact"/>
        <w:ind w:firstLine="640"/>
        <w:jc w:val="both"/>
      </w:pPr>
      <w:r>
        <w:rPr>
          <w:rFonts w:ascii="仿宋_GB2312" w:hAnsi="仿宋_GB2312" w:eastAsia="仿宋_GB2312"/>
          <w:b w:val="0"/>
          <w:sz w:val="32"/>
        </w:rPr>
        <w:t>1.一般公共服务支出(类)137.87万元,占89.54%。</w:t>
      </w:r>
    </w:p>
    <w:p w14:paraId="4E1FD5A7">
      <w:pPr>
        <w:spacing w:line="580" w:lineRule="exact"/>
        <w:ind w:firstLine="640"/>
        <w:jc w:val="both"/>
      </w:pPr>
      <w:r>
        <w:rPr>
          <w:rFonts w:ascii="仿宋_GB2312" w:hAnsi="仿宋_GB2312" w:eastAsia="仿宋_GB2312"/>
          <w:b w:val="0"/>
          <w:sz w:val="32"/>
        </w:rPr>
        <w:t>2.社会保障和就业支出(类)16.11万元,占10.46%。</w:t>
      </w:r>
    </w:p>
    <w:p w14:paraId="4733F8FA">
      <w:pPr>
        <w:spacing w:line="640" w:lineRule="exact"/>
        <w:ind w:firstLine="640"/>
        <w:jc w:val="both"/>
        <w:outlineLvl w:val="3"/>
      </w:pPr>
      <w:r>
        <w:rPr>
          <w:rFonts w:ascii="楷体_GB2312" w:hAnsi="楷体_GB2312" w:eastAsia="楷体_GB2312"/>
          <w:b/>
          <w:sz w:val="32"/>
        </w:rPr>
        <w:t>（三）一般公共预算财政拨款支出决算具体情况</w:t>
      </w:r>
    </w:p>
    <w:p w14:paraId="29834C8F">
      <w:pPr>
        <w:spacing w:line="580" w:lineRule="exact"/>
        <w:ind w:firstLine="640"/>
        <w:jc w:val="both"/>
      </w:pPr>
      <w:r>
        <w:rPr>
          <w:rFonts w:ascii="仿宋_GB2312" w:hAnsi="仿宋_GB2312" w:eastAsia="仿宋_GB2312"/>
          <w:b w:val="0"/>
          <w:sz w:val="32"/>
        </w:rPr>
        <w:t>1.一般公共服务支出(类)群众团体事务(款)行政运行(项):支出决算数为137.87万元，比上年决算增加16.10万元，增长13.22%,主要原因是：本年在职人员新增，工资调增，导致相关人员经费较上年有所增加。</w:t>
      </w:r>
    </w:p>
    <w:p w14:paraId="57906EC9">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3.77万元，比上年决算减少0.47万元，下降11.08%,主要原因是：本年政策调整，退休人员医疗费用不再由本单位缴纳，导致经费较上年减少。</w:t>
      </w:r>
    </w:p>
    <w:p w14:paraId="7295F56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12.33万元，比上年决算增加1.43万元，增长13.12%,主要原因是：本年在职人员增加，养老保险缴费较上年增加。</w:t>
      </w:r>
    </w:p>
    <w:p w14:paraId="4C6FFA11">
      <w:pPr>
        <w:spacing w:line="640" w:lineRule="exact"/>
        <w:ind w:firstLine="640"/>
        <w:jc w:val="both"/>
        <w:outlineLvl w:val="2"/>
      </w:pPr>
      <w:r>
        <w:rPr>
          <w:rFonts w:ascii="黑体" w:hAnsi="黑体" w:eastAsia="黑体"/>
          <w:sz w:val="32"/>
        </w:rPr>
        <w:t>六、一般公共预算财政拨款基本支出决算情况说明</w:t>
      </w:r>
    </w:p>
    <w:p w14:paraId="4307017F">
      <w:pPr>
        <w:spacing w:line="580" w:lineRule="exact"/>
        <w:ind w:firstLine="640"/>
        <w:jc w:val="both"/>
      </w:pPr>
      <w:r>
        <w:rPr>
          <w:rFonts w:ascii="仿宋_GB2312" w:hAnsi="仿宋_GB2312" w:eastAsia="仿宋_GB2312"/>
          <w:b w:val="0"/>
          <w:sz w:val="32"/>
        </w:rPr>
        <w:t>2024年度一般公共预算财政拨款基本支出153.97万元，其中：</w:t>
      </w:r>
      <w:r>
        <w:rPr>
          <w:rFonts w:ascii="仿宋_GB2312" w:hAnsi="仿宋_GB2312" w:eastAsia="仿宋_GB2312"/>
          <w:b/>
          <w:sz w:val="32"/>
        </w:rPr>
        <w:t>人员经费146.28万元，</w:t>
      </w:r>
      <w:r>
        <w:rPr>
          <w:rFonts w:ascii="仿宋_GB2312" w:hAnsi="仿宋_GB2312" w:eastAsia="仿宋_GB2312"/>
          <w:b w:val="0"/>
          <w:sz w:val="32"/>
        </w:rPr>
        <w:t>包括：基本工资、津贴补贴、奖金、机关事业单位基本养老保险缴费、职工基本医疗保险缴费、其他社会保障缴费、住房公积金、退休费、奖励金。</w:t>
      </w:r>
    </w:p>
    <w:p w14:paraId="6B37CDC7">
      <w:pPr>
        <w:spacing w:line="580" w:lineRule="exact"/>
        <w:ind w:firstLine="640"/>
        <w:jc w:val="both"/>
      </w:pPr>
      <w:r>
        <w:rPr>
          <w:rFonts w:ascii="仿宋_GB2312" w:hAnsi="仿宋_GB2312" w:eastAsia="仿宋_GB2312"/>
          <w:b/>
          <w:sz w:val="32"/>
        </w:rPr>
        <w:t>公用经费7.69万元，</w:t>
      </w:r>
      <w:r>
        <w:rPr>
          <w:rFonts w:ascii="仿宋_GB2312" w:hAnsi="仿宋_GB2312" w:eastAsia="仿宋_GB2312"/>
          <w:b w:val="0"/>
          <w:sz w:val="32"/>
        </w:rPr>
        <w:t>包括：办公费、水费、电费、邮电费、差旅费、公务接待费、工会经费、福利费、公务用车运行维护费、其他商品和服务支出、办公设备购置。</w:t>
      </w:r>
    </w:p>
    <w:p w14:paraId="1CD3CD07">
      <w:pPr>
        <w:spacing w:line="640" w:lineRule="exact"/>
        <w:ind w:firstLine="640"/>
        <w:jc w:val="both"/>
        <w:outlineLvl w:val="2"/>
      </w:pPr>
      <w:r>
        <w:rPr>
          <w:rFonts w:ascii="黑体" w:hAnsi="黑体" w:eastAsia="黑体"/>
          <w:sz w:val="32"/>
        </w:rPr>
        <w:t>七、政府性基金预算财政拨款收入支出决算情况说明</w:t>
      </w:r>
    </w:p>
    <w:p w14:paraId="10A86D3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BE08B1D">
      <w:pPr>
        <w:spacing w:line="640" w:lineRule="exact"/>
        <w:ind w:firstLine="640"/>
        <w:jc w:val="both"/>
        <w:outlineLvl w:val="2"/>
      </w:pPr>
      <w:r>
        <w:rPr>
          <w:rFonts w:ascii="黑体" w:hAnsi="黑体" w:eastAsia="黑体"/>
          <w:sz w:val="32"/>
        </w:rPr>
        <w:t>八、国有资本经营预算财政拨款收入支出决算情况说明</w:t>
      </w:r>
    </w:p>
    <w:p w14:paraId="56BED74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4BB93E7">
      <w:pPr>
        <w:spacing w:line="640" w:lineRule="exact"/>
        <w:ind w:firstLine="640"/>
        <w:jc w:val="both"/>
        <w:outlineLvl w:val="2"/>
      </w:pPr>
      <w:r>
        <w:rPr>
          <w:rFonts w:ascii="黑体" w:hAnsi="黑体" w:eastAsia="黑体"/>
          <w:sz w:val="32"/>
        </w:rPr>
        <w:t>九、财政拨款“三公”经费支出决算情况说明</w:t>
      </w:r>
    </w:p>
    <w:p w14:paraId="7FA480D6">
      <w:pPr>
        <w:spacing w:line="580" w:lineRule="exact"/>
        <w:ind w:firstLine="640"/>
        <w:jc w:val="both"/>
      </w:pPr>
      <w:r>
        <w:rPr>
          <w:rFonts w:ascii="仿宋_GB2312" w:hAnsi="仿宋_GB2312" w:eastAsia="仿宋_GB2312"/>
          <w:b/>
          <w:sz w:val="32"/>
        </w:rPr>
        <w:t>2024年度财政拨款“三公”经费支出1.20万元，</w:t>
      </w:r>
      <w:r>
        <w:rPr>
          <w:rFonts w:ascii="仿宋_GB2312" w:hAnsi="仿宋_GB2312" w:eastAsia="仿宋_GB2312"/>
          <w:b w:val="0"/>
          <w:sz w:val="32"/>
        </w:rPr>
        <w:t>比上年减少10.74万元，下降89.95%，主要原因是：本年出国（境）经费由援疆资金保障，导致财政拨款因公出国（境）费支出较上年减少。其中：因公出国（境）费支出0.00万元，占0.00%，比上年减少11.94万元，下降100.00%，主要原因是：本年出国（境）经费由援疆资金保障，导致财政拨款因公出国（境）费支出较上年减少。公务用车购置及运行维护费支出0.80万元，占66.67%，比上年增加0.80万元，增长100.00%，主要原因是：本年因业务需求，用车次数增加，燃油费增加，导致公务用车运行维护费较上年增加。公务接待费支出0.40万元，占33.33%，比上年增加0.40万元，增长100.00%，主要原因是：本年因业务需求，增加公务接待工作，导致公务接待费较上年增加。</w:t>
      </w:r>
    </w:p>
    <w:p w14:paraId="100B78B1">
      <w:pPr>
        <w:spacing w:line="580" w:lineRule="exact"/>
        <w:ind w:firstLine="640"/>
        <w:jc w:val="both"/>
      </w:pPr>
      <w:r>
        <w:rPr>
          <w:rFonts w:ascii="仿宋_GB2312" w:hAnsi="仿宋_GB2312" w:eastAsia="仿宋_GB2312"/>
          <w:b/>
          <w:sz w:val="32"/>
        </w:rPr>
        <w:t>具体情况如下：</w:t>
      </w:r>
    </w:p>
    <w:p w14:paraId="761B37F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D544E51">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3D8F5659">
      <w:pPr>
        <w:spacing w:line="580" w:lineRule="exact"/>
        <w:ind w:firstLine="640"/>
        <w:jc w:val="both"/>
      </w:pPr>
      <w:r>
        <w:rPr>
          <w:rFonts w:ascii="仿宋_GB2312" w:hAnsi="仿宋_GB2312" w:eastAsia="仿宋_GB2312"/>
          <w:b w:val="0"/>
          <w:sz w:val="32"/>
        </w:rPr>
        <w:t>公务接待费0.40万元，开支内容包括接待上级领导检查产生的就餐费。单位全年安排的国内公务接待3批次，36人次。</w:t>
      </w:r>
    </w:p>
    <w:p w14:paraId="0FE3DFF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万元，决算数1.20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0.80万元，决算数0.80万元，预决算差异率0.00%，主要原因是：严格按照预算执行，预决算无差异。公务接待费全年预算数0.40万元，决算数0.40万元，预决算差异率0.00%，主要原因是：严格按照预算执行，预决算无差异。</w:t>
      </w:r>
    </w:p>
    <w:p w14:paraId="7A69891D">
      <w:pPr>
        <w:spacing w:line="640" w:lineRule="exact"/>
        <w:ind w:firstLine="640"/>
        <w:jc w:val="both"/>
        <w:outlineLvl w:val="2"/>
      </w:pPr>
      <w:r>
        <w:rPr>
          <w:rFonts w:ascii="黑体" w:hAnsi="黑体" w:eastAsia="黑体"/>
          <w:sz w:val="32"/>
        </w:rPr>
        <w:t>十、其他重要事项的情况说明</w:t>
      </w:r>
    </w:p>
    <w:p w14:paraId="397E8C5C">
      <w:pPr>
        <w:spacing w:line="640" w:lineRule="exact"/>
        <w:ind w:firstLine="640"/>
        <w:jc w:val="both"/>
        <w:outlineLvl w:val="3"/>
      </w:pPr>
      <w:r>
        <w:rPr>
          <w:rFonts w:ascii="楷体_GB2312" w:hAnsi="楷体_GB2312" w:eastAsia="楷体_GB2312"/>
          <w:b/>
          <w:sz w:val="32"/>
        </w:rPr>
        <w:t>（一）机关运行经费及公用经费支出情况</w:t>
      </w:r>
    </w:p>
    <w:p w14:paraId="362830C3">
      <w:pPr>
        <w:spacing w:line="580" w:lineRule="exact"/>
        <w:ind w:firstLine="640"/>
        <w:jc w:val="both"/>
      </w:pPr>
      <w:r>
        <w:rPr>
          <w:rFonts w:ascii="仿宋_GB2312" w:hAnsi="仿宋_GB2312" w:eastAsia="仿宋_GB2312"/>
          <w:b w:val="0"/>
          <w:sz w:val="32"/>
        </w:rPr>
        <w:t>2024年度克孜勒苏柯尔克孜自治州贸易促进委员会（行政单位和参照公务员法管理事业单位）机关运行经费支出7.69万元，比上年减少11.86万元，下降60.66%，主要原因是：本年出国（境）经费由援疆资金保障，导致财政拨款因公出国（境）费支出较上年减少。</w:t>
      </w:r>
    </w:p>
    <w:p w14:paraId="4746D4C5">
      <w:pPr>
        <w:spacing w:line="640" w:lineRule="exact"/>
        <w:ind w:firstLine="640"/>
        <w:jc w:val="both"/>
        <w:outlineLvl w:val="3"/>
      </w:pPr>
      <w:r>
        <w:rPr>
          <w:rFonts w:ascii="楷体_GB2312" w:hAnsi="楷体_GB2312" w:eastAsia="楷体_GB2312"/>
          <w:b/>
          <w:sz w:val="32"/>
        </w:rPr>
        <w:t>（二）政府采购情况</w:t>
      </w:r>
    </w:p>
    <w:p w14:paraId="46812448">
      <w:pPr>
        <w:spacing w:line="580" w:lineRule="exact"/>
        <w:ind w:firstLine="640"/>
        <w:jc w:val="both"/>
      </w:pPr>
      <w:r>
        <w:rPr>
          <w:rFonts w:ascii="仿宋_GB2312" w:hAnsi="仿宋_GB2312" w:eastAsia="仿宋_GB2312"/>
          <w:b w:val="0"/>
          <w:sz w:val="32"/>
        </w:rPr>
        <w:t>2024年度政府采购支出总额2.93万元，其中：政府采购货物支出1.78万元、政府采购工程支出0.00万元、政府采购服务支出1.15万元。</w:t>
      </w:r>
    </w:p>
    <w:p w14:paraId="68D972F1">
      <w:pPr>
        <w:spacing w:line="580" w:lineRule="exact"/>
        <w:ind w:firstLine="640"/>
        <w:jc w:val="both"/>
      </w:pPr>
      <w:r>
        <w:rPr>
          <w:rFonts w:ascii="仿宋_GB2312" w:hAnsi="仿宋_GB2312" w:eastAsia="仿宋_GB2312"/>
          <w:b w:val="0"/>
          <w:sz w:val="32"/>
        </w:rPr>
        <w:t>授予中小企业合同金额2.79万元，占政府采购支出总额的95.22%，其中：授予小微企业合同金额2.22万元，占政府采购支出总额的75.77%。</w:t>
      </w:r>
    </w:p>
    <w:p w14:paraId="29520DE7">
      <w:pPr>
        <w:spacing w:line="640" w:lineRule="exact"/>
        <w:ind w:firstLine="640"/>
        <w:jc w:val="both"/>
        <w:outlineLvl w:val="3"/>
      </w:pPr>
      <w:r>
        <w:rPr>
          <w:rFonts w:ascii="楷体_GB2312" w:hAnsi="楷体_GB2312" w:eastAsia="楷体_GB2312"/>
          <w:b/>
          <w:sz w:val="32"/>
        </w:rPr>
        <w:t>（三）国有资产占用情况说明</w:t>
      </w:r>
    </w:p>
    <w:p w14:paraId="0F788CD2">
      <w:pPr>
        <w:spacing w:line="580" w:lineRule="exact"/>
        <w:ind w:firstLine="640"/>
        <w:jc w:val="both"/>
      </w:pPr>
      <w:r>
        <w:rPr>
          <w:rFonts w:ascii="仿宋_GB2312" w:hAnsi="仿宋_GB2312" w:eastAsia="仿宋_GB2312"/>
          <w:b w:val="0"/>
          <w:sz w:val="32"/>
        </w:rPr>
        <w:t>截至2024年12月31日，房屋0.00平方米，价值0.00万元。车辆1辆，价值20.00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4D60B8DB">
      <w:pPr>
        <w:spacing w:line="640" w:lineRule="exact"/>
        <w:ind w:firstLine="640"/>
        <w:jc w:val="both"/>
        <w:outlineLvl w:val="2"/>
      </w:pPr>
      <w:r>
        <w:rPr>
          <w:rFonts w:ascii="黑体" w:hAnsi="黑体" w:eastAsia="黑体"/>
          <w:sz w:val="32"/>
        </w:rPr>
        <w:t>十一、预算绩效的情况说明</w:t>
      </w:r>
    </w:p>
    <w:p w14:paraId="5BFB417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288.59万元，实际执行总额251.19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14:paraId="5EB0ADF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D35F491">
        <w:tblPrEx>
          <w:tblCellMar>
            <w:top w:w="0" w:type="dxa"/>
            <w:left w:w="108" w:type="dxa"/>
            <w:bottom w:w="0" w:type="dxa"/>
            <w:right w:w="108" w:type="dxa"/>
          </w:tblCellMar>
        </w:tblPrEx>
        <w:tc>
          <w:tcPr>
            <w:tcW w:w="8840" w:type="dxa"/>
            <w:gridSpan w:val="8"/>
            <w:vAlign w:val="center"/>
          </w:tcPr>
          <w:p w14:paraId="64A0B01E">
            <w:pPr>
              <w:jc w:val="center"/>
            </w:pPr>
            <w:r>
              <w:rPr>
                <w:rFonts w:ascii="宋体" w:hAnsi="宋体" w:eastAsia="宋体"/>
                <w:sz w:val="24"/>
              </w:rPr>
              <w:t>单位整体支出绩效自评表</w:t>
            </w:r>
          </w:p>
        </w:tc>
      </w:tr>
      <w:tr w14:paraId="170F8082">
        <w:tblPrEx>
          <w:tblCellMar>
            <w:top w:w="0" w:type="dxa"/>
            <w:left w:w="108" w:type="dxa"/>
            <w:bottom w:w="0" w:type="dxa"/>
            <w:right w:w="108" w:type="dxa"/>
          </w:tblCellMar>
        </w:tblPrEx>
        <w:tc>
          <w:tcPr>
            <w:tcW w:w="8840" w:type="dxa"/>
            <w:gridSpan w:val="8"/>
            <w:vAlign w:val="center"/>
          </w:tcPr>
          <w:p w14:paraId="03E7BC79">
            <w:pPr>
              <w:jc w:val="center"/>
            </w:pPr>
            <w:r>
              <w:rPr>
                <w:rFonts w:ascii="宋体" w:hAnsi="宋体" w:eastAsia="宋体"/>
                <w:sz w:val="24"/>
              </w:rPr>
              <w:t>（2024年度）</w:t>
            </w:r>
          </w:p>
        </w:tc>
      </w:tr>
      <w:tr w14:paraId="2F2E713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E694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831B5">
            <w:pPr>
              <w:jc w:val="center"/>
            </w:pPr>
            <w:r>
              <w:rPr>
                <w:rFonts w:ascii="宋体" w:hAnsi="宋体" w:eastAsia="宋体"/>
                <w:sz w:val="16"/>
              </w:rPr>
              <w:t>克孜勒苏柯尔克孜自治州贸易促进委员会</w:t>
            </w:r>
          </w:p>
        </w:tc>
      </w:tr>
      <w:tr w14:paraId="2F5EFC4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2A268">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E8B05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79CF2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41FEE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21563">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F400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6A68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C311FA">
            <w:pPr>
              <w:jc w:val="center"/>
            </w:pPr>
            <w:r>
              <w:rPr>
                <w:rFonts w:ascii="宋体" w:hAnsi="宋体" w:eastAsia="宋体"/>
                <w:sz w:val="16"/>
              </w:rPr>
              <w:t>得分</w:t>
            </w:r>
          </w:p>
        </w:tc>
      </w:tr>
      <w:tr w14:paraId="0984C4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C96BD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88B9B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A9DC9">
            <w:pPr>
              <w:jc w:val="center"/>
            </w:pPr>
            <w:r>
              <w:rPr>
                <w:rFonts w:ascii="宋体" w:hAnsi="宋体" w:eastAsia="宋体"/>
                <w:sz w:val="16"/>
              </w:rPr>
              <w:t>128.12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E5112">
            <w:pPr>
              <w:jc w:val="center"/>
            </w:pPr>
            <w:r>
              <w:rPr>
                <w:rFonts w:ascii="宋体" w:hAnsi="宋体" w:eastAsia="宋体"/>
                <w:sz w:val="16"/>
              </w:rPr>
              <w:t>288.59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546F40">
            <w:pPr>
              <w:jc w:val="center"/>
            </w:pPr>
            <w:r>
              <w:rPr>
                <w:rFonts w:ascii="宋体" w:hAnsi="宋体" w:eastAsia="宋体"/>
                <w:sz w:val="16"/>
              </w:rPr>
              <w:t>251.19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F931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A4B3B1">
            <w:pPr>
              <w:jc w:val="center"/>
            </w:pPr>
            <w:r>
              <w:rPr>
                <w:rFonts w:ascii="宋体" w:hAnsi="宋体" w:eastAsia="宋体"/>
                <w:sz w:val="16"/>
              </w:rPr>
              <w:t>87.04%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A0B8B6">
            <w:pPr>
              <w:jc w:val="center"/>
              <w:rPr>
                <w:rFonts w:hint="default" w:eastAsia="宋体"/>
                <w:lang w:val="en-US" w:eastAsia="zh-CN"/>
              </w:rPr>
            </w:pPr>
            <w:r>
              <w:rPr>
                <w:rFonts w:ascii="宋体" w:hAnsi="宋体" w:eastAsia="宋体"/>
                <w:sz w:val="16"/>
              </w:rPr>
              <w:t>8</w:t>
            </w:r>
            <w:r>
              <w:rPr>
                <w:rFonts w:hint="eastAsia" w:ascii="宋体" w:hAnsi="宋体"/>
                <w:sz w:val="16"/>
                <w:lang w:val="en-US" w:eastAsia="zh-CN"/>
              </w:rPr>
              <w:t>.</w:t>
            </w:r>
            <w:r>
              <w:rPr>
                <w:rFonts w:ascii="宋体" w:hAnsi="宋体" w:eastAsia="宋体"/>
                <w:sz w:val="16"/>
              </w:rPr>
              <w:t>7</w:t>
            </w:r>
            <w:r>
              <w:rPr>
                <w:rFonts w:hint="eastAsia" w:ascii="宋体" w:hAnsi="宋体"/>
                <w:sz w:val="16"/>
                <w:lang w:val="en-US" w:eastAsia="zh-CN"/>
              </w:rPr>
              <w:t>0分</w:t>
            </w:r>
            <w:bookmarkStart w:id="0" w:name="_GoBack"/>
            <w:bookmarkEnd w:id="0"/>
          </w:p>
        </w:tc>
      </w:tr>
      <w:tr w14:paraId="268BB23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4C005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03D62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4DF24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2914D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93A4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C43F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42869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765B06">
            <w:pPr>
              <w:jc w:val="center"/>
            </w:pPr>
            <w:r>
              <w:rPr>
                <w:rFonts w:ascii="宋体" w:hAnsi="宋体" w:eastAsia="宋体"/>
                <w:sz w:val="16"/>
              </w:rPr>
              <w:t>—</w:t>
            </w:r>
          </w:p>
        </w:tc>
      </w:tr>
      <w:tr w14:paraId="5515CE5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79298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8534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C10AC">
            <w:pPr>
              <w:jc w:val="center"/>
            </w:pPr>
            <w:r>
              <w:rPr>
                <w:rFonts w:ascii="宋体" w:hAnsi="宋体" w:eastAsia="宋体"/>
                <w:sz w:val="16"/>
              </w:rPr>
              <w:t>128.12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57430">
            <w:pPr>
              <w:jc w:val="center"/>
            </w:pPr>
            <w:r>
              <w:rPr>
                <w:rFonts w:ascii="宋体" w:hAnsi="宋体" w:eastAsia="宋体"/>
                <w:sz w:val="16"/>
              </w:rPr>
              <w:t>128.12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ACFBBB">
            <w:pPr>
              <w:jc w:val="center"/>
            </w:pPr>
            <w:r>
              <w:rPr>
                <w:rFonts w:ascii="宋体" w:hAnsi="宋体" w:eastAsia="宋体"/>
                <w:sz w:val="16"/>
              </w:rPr>
              <w:t>128.12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419C0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F57E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A398D">
            <w:pPr>
              <w:jc w:val="center"/>
            </w:pPr>
            <w:r>
              <w:rPr>
                <w:rFonts w:ascii="宋体" w:hAnsi="宋体" w:eastAsia="宋体"/>
                <w:sz w:val="16"/>
              </w:rPr>
              <w:t>—</w:t>
            </w:r>
          </w:p>
        </w:tc>
      </w:tr>
      <w:tr w14:paraId="087BE4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8D17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F336D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E8A8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4625D">
            <w:pPr>
              <w:jc w:val="center"/>
            </w:pPr>
            <w:r>
              <w:rPr>
                <w:rFonts w:ascii="宋体" w:hAnsi="宋体" w:eastAsia="宋体"/>
                <w:sz w:val="16"/>
              </w:rPr>
              <w:t>160.47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B5B80E">
            <w:pPr>
              <w:jc w:val="center"/>
            </w:pPr>
            <w:r>
              <w:rPr>
                <w:rFonts w:ascii="宋体" w:hAnsi="宋体" w:eastAsia="宋体"/>
                <w:sz w:val="16"/>
              </w:rPr>
              <w:t>123.07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B88E2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629F4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ED89CD">
            <w:pPr>
              <w:jc w:val="center"/>
            </w:pPr>
            <w:r>
              <w:rPr>
                <w:rFonts w:ascii="宋体" w:hAnsi="宋体" w:eastAsia="宋体"/>
                <w:sz w:val="16"/>
              </w:rPr>
              <w:t>—</w:t>
            </w:r>
          </w:p>
        </w:tc>
      </w:tr>
      <w:tr w14:paraId="6D42FA7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C3D6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DF3C1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5141EE">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14B3984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23969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9CB702">
            <w:pPr>
              <w:jc w:val="both"/>
            </w:pPr>
            <w:r>
              <w:rPr>
                <w:rFonts w:ascii="宋体" w:hAnsi="宋体" w:eastAsia="宋体"/>
                <w:sz w:val="16"/>
              </w:rPr>
              <w:t>通过组织参加境外展会，贸促业务会议、培训等活动，有效提高单位人员的业务能力，推介克州投资环境，展示克州社会经济发展状况，为企业提供更多交流合作的机会，帮助我州企业提升对国际、国内市场竞争力，充分发挥克州贸促会在“一带一路”核心区建设中的重要作用，为我州地产品“走出去”打下坚实的基础；通过举办涉外商事法律及外经贸业务培训，发布经贸摩擦预警信息，提高我州贸促会系统商事法律服务水平，提升企业经贸摩擦应对及法律风险防范能力，促进我州贸易便利化。</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B91A91">
            <w:pPr>
              <w:jc w:val="both"/>
            </w:pPr>
            <w:r>
              <w:rPr>
                <w:rFonts w:ascii="宋体" w:hAnsi="宋体" w:eastAsia="宋体"/>
                <w:sz w:val="16"/>
              </w:rPr>
              <w:t>截至2024年12月31日，1.精心组织“援疆省区企业中亚行、克州行”活动，不断扩大国际朋友圈。5月至9月，圆满完成家具商贸、家用电器、农产品和电动车四个专题“援疆省区企业中亚行、克州行”活动，全年组织江苏、江西和克州企业共73家103人分别赴哈萨克斯坦、乌兹别克斯坦和吉尔吉斯斯坦开展经贸洽谈活动。2.成功组织开展新疆贸促会商事法律服务系列培训第二场之克州商事法律服务暨外经贸业务培训1场次，组织各县（市）商务部门及企业80多名代表参加培训。3.组成调研组，聚焦当前外向型企业存在的突出问题赴伊尔克什坦口岸园区及各县（市）工业园区49家企业进行调研，涉及仓储、物流、矿产品开采、水环境治理等多个行业，重点调研了解了企业上一年以及近期的生产经营情况、2024年度计划、存在的困难和问题，对企业存在的困难和诉求，建立台账并积极协调州直各部门、各县（市）协助解决。</w:t>
            </w:r>
          </w:p>
        </w:tc>
      </w:tr>
      <w:tr w14:paraId="1AC3EC7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F9A01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514B5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2998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E055E">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80201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13814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23A8A3">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BFFB3D">
            <w:pPr>
              <w:jc w:val="center"/>
            </w:pPr>
            <w:r>
              <w:rPr>
                <w:rFonts w:ascii="宋体" w:hAnsi="宋体" w:eastAsia="宋体"/>
                <w:sz w:val="16"/>
              </w:rPr>
              <w:t>得分</w:t>
            </w:r>
          </w:p>
        </w:tc>
      </w:tr>
      <w:tr w14:paraId="78F4A1E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CBDB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DEB7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98E44">
            <w:pPr>
              <w:jc w:val="center"/>
            </w:pPr>
            <w:r>
              <w:rPr>
                <w:rFonts w:ascii="宋体" w:hAnsi="宋体" w:eastAsia="宋体"/>
                <w:sz w:val="16"/>
              </w:rPr>
              <w:t>组织企业参加境外展会（次）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3D14A">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4691B8">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96B3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0773A">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D48FF">
            <w:pPr>
              <w:jc w:val="center"/>
            </w:pPr>
            <w:r>
              <w:rPr>
                <w:rFonts w:ascii="宋体" w:hAnsi="宋体" w:eastAsia="宋体"/>
                <w:sz w:val="16"/>
              </w:rPr>
              <w:t>30</w:t>
            </w:r>
          </w:p>
        </w:tc>
      </w:tr>
      <w:tr w14:paraId="4F3B659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C38D7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DB6A3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2C0C53">
            <w:pPr>
              <w:jc w:val="center"/>
            </w:pPr>
            <w:r>
              <w:rPr>
                <w:rFonts w:ascii="宋体" w:hAnsi="宋体" w:eastAsia="宋体"/>
                <w:sz w:val="16"/>
              </w:rPr>
              <w:t>涉外商事法律及外经贸业务培训班（期）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1E089">
            <w:pPr>
              <w:jc w:val="center"/>
            </w:pPr>
            <w:r>
              <w:rPr>
                <w:rFonts w:ascii="宋体" w:hAnsi="宋体" w:eastAsia="宋体"/>
                <w:sz w:val="16"/>
              </w:rPr>
              <w:t>=1期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FF21B">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574C5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3817E">
            <w:pPr>
              <w:jc w:val="center"/>
            </w:pPr>
            <w:r>
              <w:rPr>
                <w:rFonts w:ascii="宋体" w:hAnsi="宋体" w:eastAsia="宋体"/>
                <w:sz w:val="16"/>
              </w:rPr>
              <w:t>1期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5391B6">
            <w:pPr>
              <w:jc w:val="center"/>
            </w:pPr>
            <w:r>
              <w:rPr>
                <w:rFonts w:ascii="宋体" w:hAnsi="宋体" w:eastAsia="宋体"/>
                <w:sz w:val="16"/>
              </w:rPr>
              <w:t>30</w:t>
            </w:r>
          </w:p>
        </w:tc>
      </w:tr>
      <w:tr w14:paraId="3917A62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996C2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6EBD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0649E">
            <w:pPr>
              <w:jc w:val="center"/>
            </w:pPr>
            <w:r>
              <w:rPr>
                <w:rFonts w:ascii="宋体" w:hAnsi="宋体" w:eastAsia="宋体"/>
                <w:sz w:val="16"/>
              </w:rPr>
              <w:t>调研外贸企业（次）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06D11">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821F9">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DFFA3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3D71B">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E2769">
            <w:pPr>
              <w:jc w:val="center"/>
            </w:pPr>
            <w:r>
              <w:rPr>
                <w:rFonts w:ascii="宋体" w:hAnsi="宋体" w:eastAsia="宋体"/>
                <w:sz w:val="16"/>
              </w:rPr>
              <w:t>30</w:t>
            </w:r>
          </w:p>
        </w:tc>
      </w:tr>
    </w:tbl>
    <w:p w14:paraId="25161D85">
      <w:r>
        <w:br w:type="page"/>
      </w:r>
    </w:p>
    <w:p w14:paraId="62872052">
      <w:pPr>
        <w:spacing w:line="640" w:lineRule="exact"/>
        <w:ind w:firstLine="640"/>
        <w:jc w:val="both"/>
        <w:outlineLvl w:val="2"/>
      </w:pPr>
      <w:r>
        <w:rPr>
          <w:rFonts w:ascii="黑体" w:hAnsi="黑体" w:eastAsia="黑体"/>
          <w:sz w:val="32"/>
        </w:rPr>
        <w:t>十二、其他需说明的事项</w:t>
      </w:r>
    </w:p>
    <w:p w14:paraId="08F8BDA5">
      <w:pPr>
        <w:spacing w:line="580" w:lineRule="exact"/>
        <w:ind w:firstLine="640"/>
        <w:jc w:val="both"/>
      </w:pPr>
      <w:r>
        <w:rPr>
          <w:rFonts w:ascii="仿宋_GB2312" w:hAnsi="仿宋_GB2312" w:eastAsia="仿宋_GB2312"/>
          <w:b w:val="0"/>
          <w:sz w:val="32"/>
        </w:rPr>
        <w:t>本单位无其他需说明的事项。</w:t>
      </w:r>
    </w:p>
    <w:p w14:paraId="01AFD07B">
      <w:r>
        <w:br w:type="page"/>
      </w:r>
    </w:p>
    <w:p w14:paraId="053D6D02">
      <w:pPr>
        <w:spacing w:line="240" w:lineRule="auto"/>
        <w:jc w:val="center"/>
        <w:outlineLvl w:val="1"/>
      </w:pPr>
      <w:r>
        <w:rPr>
          <w:rFonts w:ascii="黑体" w:hAnsi="黑体" w:eastAsia="黑体"/>
          <w:sz w:val="32"/>
        </w:rPr>
        <w:t>第三部分 专业名词解释</w:t>
      </w:r>
    </w:p>
    <w:p w14:paraId="1B4083D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6C484D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2F40ED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8C051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D1FC9C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A9AB95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FCCE1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A6C51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3DF32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725B8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9D1DC9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62D57F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B2E7C9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5910D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F6E8152">
      <w:r>
        <w:br w:type="page"/>
      </w:r>
    </w:p>
    <w:p w14:paraId="5A2671DA">
      <w:pPr>
        <w:spacing w:line="240" w:lineRule="auto"/>
        <w:jc w:val="center"/>
        <w:outlineLvl w:val="1"/>
      </w:pPr>
      <w:r>
        <w:rPr>
          <w:rFonts w:ascii="黑体" w:hAnsi="黑体" w:eastAsia="黑体"/>
          <w:sz w:val="32"/>
        </w:rPr>
        <w:t>第四部分 部门决算报表（见附表）</w:t>
      </w:r>
    </w:p>
    <w:p w14:paraId="2D9DE424">
      <w:pPr>
        <w:spacing w:line="240" w:lineRule="auto"/>
        <w:ind w:firstLine="640"/>
        <w:jc w:val="both"/>
      </w:pPr>
      <w:r>
        <w:rPr>
          <w:rFonts w:ascii="仿宋_GB2312" w:hAnsi="仿宋_GB2312" w:eastAsia="仿宋_GB2312"/>
          <w:b w:val="0"/>
          <w:sz w:val="32"/>
        </w:rPr>
        <w:t>一、《收入支出决算总表》</w:t>
      </w:r>
    </w:p>
    <w:p w14:paraId="4D6A1A6C">
      <w:pPr>
        <w:spacing w:line="240" w:lineRule="auto"/>
        <w:ind w:firstLine="640"/>
        <w:jc w:val="both"/>
      </w:pPr>
      <w:r>
        <w:rPr>
          <w:rFonts w:ascii="仿宋_GB2312" w:hAnsi="仿宋_GB2312" w:eastAsia="仿宋_GB2312"/>
          <w:b w:val="0"/>
          <w:sz w:val="32"/>
        </w:rPr>
        <w:t>二、《收入决算表》</w:t>
      </w:r>
    </w:p>
    <w:p w14:paraId="71A4B1AE">
      <w:pPr>
        <w:spacing w:line="240" w:lineRule="auto"/>
        <w:ind w:firstLine="640"/>
        <w:jc w:val="both"/>
      </w:pPr>
      <w:r>
        <w:rPr>
          <w:rFonts w:ascii="仿宋_GB2312" w:hAnsi="仿宋_GB2312" w:eastAsia="仿宋_GB2312"/>
          <w:b w:val="0"/>
          <w:sz w:val="32"/>
        </w:rPr>
        <w:t>三、《支出决算表》</w:t>
      </w:r>
    </w:p>
    <w:p w14:paraId="423DD953">
      <w:pPr>
        <w:spacing w:line="240" w:lineRule="auto"/>
        <w:ind w:firstLine="640"/>
        <w:jc w:val="both"/>
      </w:pPr>
      <w:r>
        <w:rPr>
          <w:rFonts w:ascii="仿宋_GB2312" w:hAnsi="仿宋_GB2312" w:eastAsia="仿宋_GB2312"/>
          <w:b w:val="0"/>
          <w:sz w:val="32"/>
        </w:rPr>
        <w:t>四、《财政拨款收入支出决算总表》</w:t>
      </w:r>
    </w:p>
    <w:p w14:paraId="5145C369">
      <w:pPr>
        <w:spacing w:line="240" w:lineRule="auto"/>
        <w:ind w:firstLine="640"/>
        <w:jc w:val="both"/>
      </w:pPr>
      <w:r>
        <w:rPr>
          <w:rFonts w:ascii="仿宋_GB2312" w:hAnsi="仿宋_GB2312" w:eastAsia="仿宋_GB2312"/>
          <w:b w:val="0"/>
          <w:sz w:val="32"/>
        </w:rPr>
        <w:t>五、《一般公共预算财政拨款支出决算表》</w:t>
      </w:r>
    </w:p>
    <w:p w14:paraId="35017DD0">
      <w:pPr>
        <w:spacing w:line="240" w:lineRule="auto"/>
        <w:ind w:firstLine="640"/>
        <w:jc w:val="both"/>
      </w:pPr>
      <w:r>
        <w:rPr>
          <w:rFonts w:ascii="仿宋_GB2312" w:hAnsi="仿宋_GB2312" w:eastAsia="仿宋_GB2312"/>
          <w:b w:val="0"/>
          <w:sz w:val="32"/>
        </w:rPr>
        <w:t>六、《一般公共预算财政拨款基本支出决算表》</w:t>
      </w:r>
    </w:p>
    <w:p w14:paraId="6CF6D633">
      <w:pPr>
        <w:spacing w:line="240" w:lineRule="auto"/>
        <w:ind w:firstLine="640"/>
        <w:jc w:val="both"/>
      </w:pPr>
      <w:r>
        <w:rPr>
          <w:rFonts w:ascii="仿宋_GB2312" w:hAnsi="仿宋_GB2312" w:eastAsia="仿宋_GB2312"/>
          <w:b w:val="0"/>
          <w:sz w:val="32"/>
        </w:rPr>
        <w:t>七、《政府性基金预算财政拨款收入支出决算表》</w:t>
      </w:r>
    </w:p>
    <w:p w14:paraId="2CF96A1D">
      <w:pPr>
        <w:spacing w:line="240" w:lineRule="auto"/>
        <w:ind w:firstLine="640"/>
        <w:jc w:val="both"/>
      </w:pPr>
      <w:r>
        <w:rPr>
          <w:rFonts w:ascii="仿宋_GB2312" w:hAnsi="仿宋_GB2312" w:eastAsia="仿宋_GB2312"/>
          <w:b w:val="0"/>
          <w:sz w:val="32"/>
        </w:rPr>
        <w:t>八、《国有资本经营预算财政拨款收入支出决算表》</w:t>
      </w:r>
    </w:p>
    <w:p w14:paraId="22C40C2C">
      <w:pPr>
        <w:spacing w:line="240" w:lineRule="auto"/>
        <w:ind w:firstLine="640"/>
        <w:jc w:val="both"/>
      </w:pPr>
      <w:r>
        <w:rPr>
          <w:rFonts w:ascii="仿宋_GB2312" w:hAnsi="仿宋_GB2312" w:eastAsia="仿宋_GB2312"/>
          <w:b w:val="0"/>
          <w:sz w:val="32"/>
        </w:rPr>
        <w:t>九、《财政拨款“三公”经费支出决算表》</w:t>
      </w:r>
    </w:p>
    <w:p w14:paraId="7065939B">
      <w:pPr>
        <w:spacing w:line="240" w:lineRule="auto"/>
        <w:ind w:firstLine="640"/>
        <w:jc w:val="both"/>
      </w:pPr>
    </w:p>
    <w:p w14:paraId="681DAC9C">
      <w:pPr>
        <w:spacing w:line="240" w:lineRule="auto"/>
        <w:ind w:firstLine="640"/>
        <w:jc w:val="both"/>
      </w:pPr>
    </w:p>
    <w:p w14:paraId="780D97A7">
      <w:pPr>
        <w:spacing w:line="240" w:lineRule="auto"/>
        <w:ind w:firstLine="640"/>
        <w:jc w:val="both"/>
      </w:pPr>
    </w:p>
    <w:p w14:paraId="0B5A5147">
      <w:pPr>
        <w:spacing w:line="240" w:lineRule="auto"/>
        <w:ind w:firstLine="640"/>
        <w:jc w:val="both"/>
      </w:pPr>
    </w:p>
    <w:p w14:paraId="4B437B9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069371-2BEB-494C-A81E-D1A325D810F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57A545B-9760-4564-A7C0-78358D59C6C5}"/>
  </w:font>
  <w:font w:name="仿宋_GB2312">
    <w:panose1 w:val="02010609030101010101"/>
    <w:charset w:val="86"/>
    <w:family w:val="modern"/>
    <w:pitch w:val="default"/>
    <w:sig w:usb0="00000001" w:usb1="080E0000" w:usb2="00000000" w:usb3="00000000" w:csb0="00040000" w:csb1="00000000"/>
    <w:embedRegular r:id="rId3" w:fontKey="{CDCDF2F4-5DCB-4B61-81D9-1AACFD7E7EC4}"/>
  </w:font>
  <w:font w:name="楷体_GB2312">
    <w:panose1 w:val="02010609030101010101"/>
    <w:charset w:val="86"/>
    <w:family w:val="auto"/>
    <w:pitch w:val="default"/>
    <w:sig w:usb0="00000001" w:usb1="080E0000" w:usb2="00000000" w:usb3="00000000" w:csb0="00040000" w:csb1="00000000"/>
    <w:embedRegular r:id="rId4" w:fontKey="{0759455B-6501-4E90-AA35-6493DDD7335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1648DA"/>
    <w:rsid w:val="043E5B56"/>
    <w:rsid w:val="06792773"/>
    <w:rsid w:val="09A729D8"/>
    <w:rsid w:val="0A3C58E8"/>
    <w:rsid w:val="0A7B4867"/>
    <w:rsid w:val="0B8C3ECC"/>
    <w:rsid w:val="0C3613A3"/>
    <w:rsid w:val="0C7227A7"/>
    <w:rsid w:val="0DCA6EF7"/>
    <w:rsid w:val="0E4B1576"/>
    <w:rsid w:val="0EA04331"/>
    <w:rsid w:val="0F9811B3"/>
    <w:rsid w:val="11E15093"/>
    <w:rsid w:val="120E0809"/>
    <w:rsid w:val="153B3977"/>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E636FF"/>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0CD2B03"/>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4626</Words>
  <Characters>5272</Characters>
  <Lines>0</Lines>
  <Paragraphs>0</Paragraphs>
  <TotalTime>0</TotalTime>
  <ScaleCrop>false</ScaleCrop>
  <LinksUpToDate>false</LinksUpToDate>
  <CharactersWithSpaces>5280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2025-09-02T05:18:10Z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