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克孜勒苏柯尔克孜自治州工业和信息化局2024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44A780">
      <w:r>
        <w:br w:type="page"/>
      </w:r>
    </w:p>
    <w:p w14:paraId="52346796">
      <w:pPr>
        <w:spacing w:line="640" w:lineRule="exact"/>
        <w:jc w:val="center"/>
        <w:outlineLvl w:val="1"/>
      </w:pPr>
      <w:r>
        <w:rPr>
          <w:rFonts w:ascii="黑体" w:hAnsi="黑体" w:eastAsia="黑体"/>
          <w:sz w:val="32"/>
        </w:rPr>
        <w:t>第一部分 单位概况</w:t>
      </w:r>
    </w:p>
    <w:p w14:paraId="35088655">
      <w:pPr>
        <w:spacing w:line="640" w:lineRule="exact"/>
        <w:ind w:firstLine="640"/>
        <w:jc w:val="both"/>
        <w:outlineLvl w:val="2"/>
      </w:pPr>
      <w:r>
        <w:rPr>
          <w:rFonts w:ascii="黑体" w:hAnsi="黑体" w:eastAsia="黑体"/>
          <w:sz w:val="32"/>
        </w:rPr>
        <w:t>一、主要职能</w:t>
      </w:r>
    </w:p>
    <w:p w14:paraId="7A63BC5C">
      <w:pPr>
        <w:spacing w:line="580" w:lineRule="exact"/>
        <w:ind w:firstLine="640"/>
        <w:jc w:val="both"/>
      </w:pPr>
      <w:r>
        <w:rPr>
          <w:rFonts w:ascii="仿宋_GB2312" w:hAnsi="仿宋_GB2312" w:eastAsia="仿宋_GB2312"/>
          <w:sz w:val="32"/>
        </w:rPr>
        <w:t>新疆克州工业和信息化局贯彻落实自治区工业和信息化的法律和方针决策，提出自治州工业和信息化发展规划和政策建议；拟定工业和信息化发展的综合性法规、规章、政策，并组织实施和监督检查；推进信息化和工业化融合。拟定工业和信息化发展规划；根据国家和自治区产业政策，拟定自治州产业政策，并组织实施和监督检查；指导产业合理布局和结构调整；组织协调重点产业调整和高质量规划的拟定和实施等。</w:t>
      </w:r>
    </w:p>
    <w:p w14:paraId="1F88E9B6">
      <w:pPr>
        <w:spacing w:line="640" w:lineRule="exact"/>
        <w:ind w:firstLine="640"/>
        <w:jc w:val="both"/>
        <w:outlineLvl w:val="2"/>
      </w:pPr>
      <w:r>
        <w:rPr>
          <w:rFonts w:ascii="黑体" w:hAnsi="黑体" w:eastAsia="黑体"/>
          <w:sz w:val="32"/>
        </w:rPr>
        <w:t>二、机构设置及人员情况</w:t>
      </w:r>
    </w:p>
    <w:p w14:paraId="3BA50636">
      <w:pPr>
        <w:spacing w:line="580" w:lineRule="exact"/>
        <w:ind w:firstLine="640"/>
        <w:jc w:val="both"/>
      </w:pPr>
      <w:r>
        <w:rPr>
          <w:rFonts w:ascii="仿宋_GB2312" w:hAnsi="仿宋_GB2312" w:eastAsia="仿宋_GB2312"/>
          <w:sz w:val="32"/>
        </w:rPr>
        <w:t>克孜勒苏柯尔克孜自治州工业和信息化局2024年度，实有人数71人，其中：在职人员28人，增加3人；离休人员1人，增加0人；退休人员42人,减少1人。</w:t>
      </w:r>
    </w:p>
    <w:p w14:paraId="0906FD37">
      <w:pPr>
        <w:spacing w:line="580" w:lineRule="exact"/>
        <w:ind w:firstLine="640"/>
        <w:jc w:val="both"/>
      </w:pPr>
      <w:r>
        <w:rPr>
          <w:rFonts w:ascii="仿宋_GB2312" w:hAnsi="仿宋_GB2312" w:eastAsia="仿宋_GB2312"/>
          <w:sz w:val="32"/>
        </w:rPr>
        <w:t>克孜勒苏柯尔克孜自治州工业和信息化局无下属预算单位，下设9个科室，分别是：办公室、综合科、经济运行科、投资规划科、企业科、经济协作科、环境和资源综合利用科、信息化办公室、行业管理科。</w:t>
      </w:r>
    </w:p>
    <w:p w14:paraId="603E72CB">
      <w:r>
        <w:br w:type="page"/>
      </w:r>
    </w:p>
    <w:p w14:paraId="4F9549B6">
      <w:pPr>
        <w:spacing w:line="240" w:lineRule="auto"/>
        <w:jc w:val="center"/>
        <w:outlineLvl w:val="1"/>
      </w:pPr>
      <w:r>
        <w:rPr>
          <w:rFonts w:ascii="黑体" w:hAnsi="黑体" w:eastAsia="黑体"/>
          <w:sz w:val="32"/>
        </w:rPr>
        <w:t>第二部分 部门决算情况说明</w:t>
      </w:r>
    </w:p>
    <w:p w14:paraId="7BD6288F">
      <w:pPr>
        <w:spacing w:line="640" w:lineRule="exact"/>
        <w:ind w:firstLine="640"/>
        <w:jc w:val="both"/>
        <w:outlineLvl w:val="2"/>
      </w:pPr>
      <w:r>
        <w:rPr>
          <w:rFonts w:ascii="黑体" w:hAnsi="黑体" w:eastAsia="黑体"/>
          <w:sz w:val="32"/>
        </w:rPr>
        <w:t>一、收入支出决算总体情况说明</w:t>
      </w:r>
    </w:p>
    <w:p w14:paraId="08C13673">
      <w:pPr>
        <w:spacing w:line="580" w:lineRule="exact"/>
        <w:ind w:firstLine="640"/>
        <w:jc w:val="both"/>
      </w:pPr>
      <w:r>
        <w:rPr>
          <w:rFonts w:ascii="仿宋_GB2312" w:hAnsi="仿宋_GB2312" w:eastAsia="仿宋_GB2312"/>
          <w:b/>
          <w:sz w:val="32"/>
        </w:rPr>
        <w:t>2024年度收入总计867.54万元，</w:t>
      </w:r>
      <w:r>
        <w:rPr>
          <w:rFonts w:ascii="仿宋_GB2312" w:hAnsi="仿宋_GB2312" w:eastAsia="仿宋_GB2312"/>
          <w:b w:val="0"/>
          <w:sz w:val="32"/>
        </w:rPr>
        <w:t>其中：本年收入合计814.39万元，使用非财政拨款结余（含专用结余）0.00万元，年初结转和结余53.15万元。</w:t>
      </w:r>
    </w:p>
    <w:p w14:paraId="7793C55D">
      <w:pPr>
        <w:spacing w:line="580" w:lineRule="exact"/>
        <w:ind w:firstLine="640"/>
        <w:jc w:val="both"/>
      </w:pPr>
      <w:r>
        <w:rPr>
          <w:rFonts w:ascii="仿宋_GB2312" w:hAnsi="仿宋_GB2312" w:eastAsia="仿宋_GB2312"/>
          <w:b/>
          <w:sz w:val="32"/>
        </w:rPr>
        <w:t>2024年度支出总计867.54万元，</w:t>
      </w:r>
      <w:r>
        <w:rPr>
          <w:rFonts w:ascii="仿宋_GB2312" w:hAnsi="仿宋_GB2312" w:eastAsia="仿宋_GB2312"/>
          <w:b w:val="0"/>
          <w:sz w:val="32"/>
        </w:rPr>
        <w:t>其中：本年支出合计860.85万元，结余分配0.00万元，年末结转和结余6.69万元。</w:t>
      </w:r>
    </w:p>
    <w:p w14:paraId="0054F58D">
      <w:pPr>
        <w:spacing w:line="580" w:lineRule="exact"/>
        <w:ind w:firstLine="640"/>
        <w:jc w:val="both"/>
      </w:pPr>
      <w:r>
        <w:rPr>
          <w:rFonts w:ascii="仿宋_GB2312" w:hAnsi="仿宋_GB2312" w:eastAsia="仿宋_GB2312"/>
          <w:b w:val="0"/>
          <w:sz w:val="32"/>
        </w:rPr>
        <w:t>收入支出总体与上年相比，减少238.47万元，下降21.56%，主要原因是：本年援疆项目江苏产业园西入口项目、江苏产业园企业服务中心文化环境提升项目资金较上年减少。</w:t>
      </w:r>
    </w:p>
    <w:p w14:paraId="041C3FBB">
      <w:pPr>
        <w:spacing w:line="640" w:lineRule="exact"/>
        <w:ind w:firstLine="640"/>
        <w:jc w:val="both"/>
        <w:outlineLvl w:val="2"/>
      </w:pPr>
      <w:r>
        <w:rPr>
          <w:rFonts w:ascii="黑体" w:hAnsi="黑体" w:eastAsia="黑体"/>
          <w:sz w:val="32"/>
        </w:rPr>
        <w:t>二、收入决算情况说明</w:t>
      </w:r>
    </w:p>
    <w:p w14:paraId="1B96AED2">
      <w:pPr>
        <w:spacing w:line="580" w:lineRule="exact"/>
        <w:ind w:firstLine="640"/>
        <w:jc w:val="both"/>
      </w:pPr>
      <w:r>
        <w:rPr>
          <w:rFonts w:ascii="仿宋_GB2312" w:hAnsi="仿宋_GB2312" w:eastAsia="仿宋_GB2312"/>
          <w:b/>
          <w:sz w:val="32"/>
        </w:rPr>
        <w:t>本年收入814.39万元，</w:t>
      </w:r>
      <w:r>
        <w:rPr>
          <w:rFonts w:ascii="仿宋_GB2312" w:hAnsi="仿宋_GB2312" w:eastAsia="仿宋_GB2312"/>
          <w:b w:val="0"/>
          <w:sz w:val="32"/>
        </w:rPr>
        <w:t>其中：财政拨款收入733.84万元，占90.11%；上级补助收入0.00万元，占0.00%；事业收入0.00万元，占0.00%；经营收入0.00万元，占0.00%；附属单位上缴收入0.00万元，占0.00%；其他收入80.55万元，占9.89%。</w:t>
      </w:r>
    </w:p>
    <w:p w14:paraId="1FF04688">
      <w:pPr>
        <w:spacing w:line="640" w:lineRule="exact"/>
        <w:ind w:firstLine="640"/>
        <w:jc w:val="both"/>
        <w:outlineLvl w:val="2"/>
      </w:pPr>
      <w:r>
        <w:rPr>
          <w:rFonts w:ascii="黑体" w:hAnsi="黑体" w:eastAsia="黑体"/>
          <w:sz w:val="32"/>
        </w:rPr>
        <w:t>三、支出决算情况说明</w:t>
      </w:r>
    </w:p>
    <w:p w14:paraId="3EDFA8B3">
      <w:pPr>
        <w:spacing w:line="580" w:lineRule="exact"/>
        <w:ind w:firstLine="640"/>
        <w:jc w:val="both"/>
      </w:pPr>
      <w:r>
        <w:rPr>
          <w:rFonts w:ascii="仿宋_GB2312" w:hAnsi="仿宋_GB2312" w:eastAsia="仿宋_GB2312"/>
          <w:b/>
          <w:sz w:val="32"/>
        </w:rPr>
        <w:t>本年支出860.85万元，</w:t>
      </w:r>
      <w:r>
        <w:rPr>
          <w:rFonts w:ascii="仿宋_GB2312" w:hAnsi="仿宋_GB2312" w:eastAsia="仿宋_GB2312"/>
          <w:b w:val="0"/>
          <w:sz w:val="32"/>
        </w:rPr>
        <w:t>其中：基本支出756.28万元，占87.85%；项目支出104.57万元，占12.15%；上缴上级支出0.00万元，占0.00%；经营支出0.00万元，占0.00%；对附属单位补助支出0.00万元，占0.00%。</w:t>
      </w:r>
    </w:p>
    <w:p w14:paraId="1CD95E3C">
      <w:pPr>
        <w:spacing w:line="640" w:lineRule="exact"/>
        <w:ind w:firstLine="640"/>
        <w:jc w:val="both"/>
        <w:outlineLvl w:val="2"/>
      </w:pPr>
      <w:r>
        <w:rPr>
          <w:rFonts w:ascii="黑体" w:hAnsi="黑体" w:eastAsia="黑体"/>
          <w:sz w:val="32"/>
        </w:rPr>
        <w:t>四、财政拨款收入支出决算总体情况说明</w:t>
      </w:r>
    </w:p>
    <w:p w14:paraId="7B06F7E3">
      <w:pPr>
        <w:spacing w:line="580" w:lineRule="exact"/>
        <w:ind w:firstLine="640"/>
        <w:jc w:val="both"/>
      </w:pPr>
      <w:r>
        <w:rPr>
          <w:rFonts w:ascii="仿宋_GB2312" w:hAnsi="仿宋_GB2312" w:eastAsia="仿宋_GB2312"/>
          <w:b/>
          <w:sz w:val="32"/>
        </w:rPr>
        <w:t>2024年度财政拨款收入总计733.84万元，</w:t>
      </w:r>
      <w:r>
        <w:rPr>
          <w:rFonts w:ascii="仿宋_GB2312" w:hAnsi="仿宋_GB2312" w:eastAsia="仿宋_GB2312"/>
          <w:b w:val="0"/>
          <w:sz w:val="32"/>
        </w:rPr>
        <w:t>其中：年初财政拨款结转和结余0.00万元，本年财政拨款收入733.84万元。</w:t>
      </w:r>
      <w:r>
        <w:rPr>
          <w:rFonts w:ascii="仿宋_GB2312" w:hAnsi="仿宋_GB2312" w:eastAsia="仿宋_GB2312"/>
          <w:b/>
          <w:sz w:val="32"/>
        </w:rPr>
        <w:t>财政拨款支出总计733.84万元，</w:t>
      </w:r>
      <w:r>
        <w:rPr>
          <w:rFonts w:ascii="仿宋_GB2312" w:hAnsi="仿宋_GB2312" w:eastAsia="仿宋_GB2312"/>
          <w:b w:val="0"/>
          <w:sz w:val="32"/>
        </w:rPr>
        <w:t>其中：年末财政拨款结转和结余0.00万元，本年财政拨款支出733.84万元。</w:t>
      </w:r>
    </w:p>
    <w:p w14:paraId="143325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增加50.29万元，增长7.36%，主要原因是：本年在职人员增加，在职人员工资调薪，社保基数调整相关人员经费增加。</w:t>
      </w:r>
      <w:r>
        <w:rPr>
          <w:rFonts w:ascii="仿宋_GB2312" w:hAnsi="仿宋_GB2312" w:eastAsia="仿宋_GB2312"/>
          <w:b/>
          <w:sz w:val="32"/>
        </w:rPr>
        <w:t>与年初预算相比，</w:t>
      </w:r>
      <w:r>
        <w:rPr>
          <w:rFonts w:ascii="仿宋_GB2312" w:hAnsi="仿宋_GB2312" w:eastAsia="仿宋_GB2312"/>
          <w:b w:val="0"/>
          <w:sz w:val="32"/>
        </w:rPr>
        <w:t>年初预算数603.81万元，决算数733.84万元，预决算差异率21.53%，主要原因是：本年在职人员增加，年中追加人员经费及人员工资、社保、公积金基数调增部分资金，导致预决算差异。</w:t>
      </w:r>
    </w:p>
    <w:p w14:paraId="4B7BDADB">
      <w:pPr>
        <w:spacing w:line="640" w:lineRule="exact"/>
        <w:ind w:firstLine="640"/>
        <w:jc w:val="both"/>
        <w:outlineLvl w:val="2"/>
      </w:pPr>
      <w:r>
        <w:rPr>
          <w:rFonts w:ascii="黑体" w:hAnsi="黑体" w:eastAsia="黑体"/>
          <w:sz w:val="32"/>
        </w:rPr>
        <w:t>五、一般公共预算财政拨款支出决算情况说明</w:t>
      </w:r>
    </w:p>
    <w:p w14:paraId="25B514BF">
      <w:pPr>
        <w:spacing w:line="640" w:lineRule="exact"/>
        <w:ind w:firstLine="640"/>
        <w:jc w:val="both"/>
        <w:outlineLvl w:val="3"/>
      </w:pPr>
      <w:r>
        <w:rPr>
          <w:rFonts w:ascii="楷体_GB2312" w:hAnsi="楷体_GB2312" w:eastAsia="楷体_GB2312"/>
          <w:b/>
          <w:sz w:val="32"/>
        </w:rPr>
        <w:t>（一）一般公共预算财政拨款支出决算总体情况</w:t>
      </w:r>
    </w:p>
    <w:p w14:paraId="485F70E6">
      <w:pPr>
        <w:spacing w:line="580" w:lineRule="exact"/>
        <w:ind w:firstLine="640"/>
        <w:jc w:val="both"/>
      </w:pPr>
      <w:r>
        <w:rPr>
          <w:rFonts w:ascii="仿宋_GB2312" w:hAnsi="仿宋_GB2312" w:eastAsia="仿宋_GB2312"/>
          <w:b/>
          <w:sz w:val="32"/>
        </w:rPr>
        <w:t>2024年度一般公共预算财政拨款支出733.84万元，</w:t>
      </w:r>
      <w:r>
        <w:rPr>
          <w:rFonts w:ascii="仿宋_GB2312" w:hAnsi="仿宋_GB2312" w:eastAsia="仿宋_GB2312"/>
          <w:b w:val="0"/>
          <w:sz w:val="32"/>
        </w:rPr>
        <w:t>占本年支出合计的85.25%。</w:t>
      </w:r>
      <w:r>
        <w:rPr>
          <w:rFonts w:ascii="仿宋_GB2312" w:hAnsi="仿宋_GB2312" w:eastAsia="仿宋_GB2312"/>
          <w:b/>
          <w:sz w:val="32"/>
        </w:rPr>
        <w:t>与上年相比，</w:t>
      </w:r>
      <w:r>
        <w:rPr>
          <w:rFonts w:ascii="仿宋_GB2312" w:hAnsi="仿宋_GB2312" w:eastAsia="仿宋_GB2312"/>
          <w:b w:val="0"/>
          <w:sz w:val="32"/>
        </w:rPr>
        <w:t>增加50.29万元，增长7.36%，主要原因是：本年在职人员增加，在职人员工资调增、社保、公积金基数调增，人员经费增加。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年初预算数603.81万元，决算数733.84万元，预决算差异率21.53%，主要原因是：本年在职人员增加，年中追加人员经费及人员工资、社保、公积金基数调增部分资金，导致预决算差异。</w:t>
      </w:r>
    </w:p>
    <w:p w14:paraId="7B4F410B">
      <w:pPr>
        <w:spacing w:line="640" w:lineRule="exact"/>
        <w:ind w:firstLine="640"/>
        <w:jc w:val="both"/>
        <w:outlineLvl w:val="3"/>
      </w:pPr>
      <w:r>
        <w:rPr>
          <w:rFonts w:ascii="楷体_GB2312" w:hAnsi="楷体_GB2312" w:eastAsia="楷体_GB2312"/>
          <w:b/>
          <w:sz w:val="32"/>
        </w:rPr>
        <w:t>（二）一般公共预算财政拨款支出决算结构情况</w:t>
      </w:r>
    </w:p>
    <w:p w14:paraId="46636006">
      <w:pPr>
        <w:spacing w:line="580" w:lineRule="exact"/>
        <w:ind w:firstLine="640"/>
        <w:jc w:val="both"/>
      </w:pPr>
      <w:r>
        <w:rPr>
          <w:rFonts w:ascii="仿宋_GB2312" w:hAnsi="仿宋_GB2312" w:eastAsia="仿宋_GB2312"/>
          <w:b w:val="0"/>
          <w:sz w:val="32"/>
        </w:rPr>
        <w:t>1.一般公共服务支出(类)576.79万元,占78.60%。</w:t>
      </w:r>
    </w:p>
    <w:p w14:paraId="7D581366">
      <w:pPr>
        <w:spacing w:line="580" w:lineRule="exact"/>
        <w:ind w:firstLine="640"/>
        <w:jc w:val="both"/>
      </w:pPr>
      <w:r>
        <w:rPr>
          <w:rFonts w:ascii="仿宋_GB2312" w:hAnsi="仿宋_GB2312" w:eastAsia="仿宋_GB2312"/>
          <w:b w:val="0"/>
          <w:sz w:val="32"/>
        </w:rPr>
        <w:t>2.社会保障和就业支出(类)157.06万元,占21.40%。</w:t>
      </w:r>
    </w:p>
    <w:p w14:paraId="744900B6">
      <w:pPr>
        <w:spacing w:line="640" w:lineRule="exact"/>
        <w:ind w:firstLine="640"/>
        <w:jc w:val="both"/>
        <w:outlineLvl w:val="3"/>
      </w:pPr>
      <w:r>
        <w:rPr>
          <w:rFonts w:ascii="楷体_GB2312" w:hAnsi="楷体_GB2312" w:eastAsia="楷体_GB2312"/>
          <w:b/>
          <w:sz w:val="32"/>
        </w:rPr>
        <w:t>（三）一般公共预算财政拨款支出决算具体情况</w:t>
      </w:r>
    </w:p>
    <w:p w14:paraId="7CEE195F">
      <w:pPr>
        <w:spacing w:line="580" w:lineRule="exact"/>
        <w:ind w:firstLine="640"/>
        <w:jc w:val="both"/>
      </w:pPr>
      <w:r>
        <w:rPr>
          <w:rFonts w:ascii="仿宋_GB2312" w:hAnsi="仿宋_GB2312" w:eastAsia="仿宋_GB2312"/>
          <w:b w:val="0"/>
          <w:sz w:val="32"/>
        </w:rPr>
        <w:t>1.一般公共服务支出(类)商贸事务(款)行政运行(项):支出决算数为469.87万元，比上年决算增加17.60万元，增长3.89%,主要原因是：本年新增在职人员，人员经费增加，在职人员工资调增，导致经费较上年有所增加。</w:t>
      </w:r>
    </w:p>
    <w:p w14:paraId="3C4D1E4B">
      <w:pPr>
        <w:spacing w:line="580" w:lineRule="exact"/>
        <w:ind w:firstLine="640"/>
        <w:jc w:val="both"/>
      </w:pPr>
      <w:r>
        <w:rPr>
          <w:rFonts w:ascii="仿宋_GB2312" w:hAnsi="仿宋_GB2312" w:eastAsia="仿宋_GB2312"/>
          <w:b w:val="0"/>
          <w:sz w:val="32"/>
        </w:rPr>
        <w:t>2.一般公共服务支出(类)商贸事务(款)事业运行(项):支出决算数为81.92万元，比上年决算增加35.93万元，增长78.13%,主要原因是：本年新增在职人员，人员经费增加，导致经费较上年有所增加。</w:t>
      </w:r>
    </w:p>
    <w:p w14:paraId="05D0F256">
      <w:pPr>
        <w:spacing w:line="580" w:lineRule="exact"/>
        <w:ind w:firstLine="640"/>
        <w:jc w:val="both"/>
      </w:pPr>
      <w:r>
        <w:rPr>
          <w:rFonts w:ascii="仿宋_GB2312" w:hAnsi="仿宋_GB2312" w:eastAsia="仿宋_GB2312"/>
          <w:b w:val="0"/>
          <w:sz w:val="32"/>
        </w:rPr>
        <w:t>3.一般公共服务支出(类)商贸事务(款)其他商贸事务支出(项):支出决算数为25.00万元，比上年决算减少0.50万元，下降1.96%,主要原因是：为民办实事及第一书记经费项目较上年减少。</w:t>
      </w:r>
    </w:p>
    <w:p w14:paraId="0306AEF7">
      <w:pPr>
        <w:spacing w:line="580" w:lineRule="exact"/>
        <w:ind w:firstLine="640"/>
        <w:jc w:val="both"/>
      </w:pPr>
      <w:r>
        <w:rPr>
          <w:rFonts w:ascii="仿宋_GB2312" w:hAnsi="仿宋_GB2312" w:eastAsia="仿宋_GB2312"/>
          <w:b w:val="0"/>
          <w:sz w:val="32"/>
        </w:rPr>
        <w:t>4.教育支出(类)普通教育(款)学前教育(项):支出决算数为0.00万元，比上年决算减少0.26万元，下降100.00%,主要原因是：本年无支教人员项目资金，导致经费较上年减少。</w:t>
      </w:r>
    </w:p>
    <w:p w14:paraId="49C4E18E">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5.社会保障和就业支出(类)行政事业单位养老支出(款)行政单位离退休(项):支出决算数为90.95万元，比上年决算增加13.06万元，增长16.77%,主要原因是：本年增加退休人员基础绩效奖，退休费支出增加。</w:t>
      </w:r>
    </w:p>
    <w:p w14:paraId="46F5E0A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47.42万元，比上年决算增加4.79万元，增长11.24%,主要原因是：本年在职人员工资基数调增，养老缴费基数上涨，相应支出增加。</w:t>
      </w:r>
    </w:p>
    <w:p w14:paraId="194DC02F">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7.社会保障和就业支出(类)行政事业单位养老支出(款)机关事业单位职业年金缴费支出(项):支出决算数为18.68万元，比上年决算减少19.39万元，下降50.93%,主要原因是：本年</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退休人员较上年减少，职业年金缴费较上年减少。</w:t>
      </w:r>
    </w:p>
    <w:p w14:paraId="3512B7A2">
      <w:pPr>
        <w:spacing w:line="580" w:lineRule="exact"/>
        <w:ind w:firstLine="640"/>
        <w:jc w:val="both"/>
      </w:pPr>
      <w:r>
        <w:rPr>
          <w:rFonts w:ascii="仿宋_GB2312" w:hAnsi="仿宋_GB2312" w:eastAsia="仿宋_GB2312"/>
          <w:b w:val="0"/>
          <w:sz w:val="32"/>
        </w:rPr>
        <w:t>8.卫生健康支出(类)医疗保障管理事务(款)医疗保障经办事务(项):支出决算数为0.00万元，比上年决算减少0.92万元，下降100.00%,主要原因是：本年减少克州一建退休人员2人医保项目资金。</w:t>
      </w:r>
    </w:p>
    <w:p w14:paraId="35EC35D9">
      <w:pPr>
        <w:spacing w:line="640" w:lineRule="exact"/>
        <w:ind w:firstLine="640"/>
        <w:jc w:val="both"/>
        <w:outlineLvl w:val="2"/>
      </w:pPr>
      <w:r>
        <w:rPr>
          <w:rFonts w:ascii="黑体" w:hAnsi="黑体" w:eastAsia="黑体"/>
          <w:sz w:val="32"/>
        </w:rPr>
        <w:t>六、一般公共预算财政拨款基本支出决算情况说明</w:t>
      </w:r>
    </w:p>
    <w:p w14:paraId="1BFB8952">
      <w:pPr>
        <w:spacing w:line="580" w:lineRule="exact"/>
        <w:ind w:firstLine="640"/>
        <w:jc w:val="both"/>
      </w:pPr>
      <w:r>
        <w:rPr>
          <w:rFonts w:ascii="仿宋_GB2312" w:hAnsi="仿宋_GB2312" w:eastAsia="仿宋_GB2312"/>
          <w:b w:val="0"/>
          <w:sz w:val="32"/>
        </w:rPr>
        <w:t>2024年度一般公共预算财政拨款基本支出708.84万元，其中：</w:t>
      </w:r>
      <w:r>
        <w:rPr>
          <w:rFonts w:ascii="仿宋_GB2312" w:hAnsi="仿宋_GB2312" w:eastAsia="仿宋_GB2312"/>
          <w:b/>
          <w:sz w:val="32"/>
        </w:rPr>
        <w:t>人员经费679.38万元，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抚恤金、生活补助、奖励金、其他对个人和家庭的补助。</w:t>
      </w:r>
    </w:p>
    <w:p w14:paraId="3FCE58EE">
      <w:pPr>
        <w:spacing w:line="580" w:lineRule="exact"/>
        <w:ind w:firstLine="640"/>
        <w:jc w:val="both"/>
      </w:pPr>
      <w:r>
        <w:rPr>
          <w:rFonts w:ascii="仿宋_GB2312" w:hAnsi="仿宋_GB2312" w:eastAsia="仿宋_GB2312"/>
          <w:b/>
          <w:sz w:val="32"/>
        </w:rPr>
        <w:t>公用经费29.46万元，</w:t>
      </w:r>
      <w:r>
        <w:rPr>
          <w:rFonts w:ascii="仿宋_GB2312" w:hAnsi="仿宋_GB2312" w:eastAsia="仿宋_GB2312"/>
          <w:b w:val="0"/>
          <w:sz w:val="32"/>
        </w:rPr>
        <w:t>包括：办公费、印刷费、咨询费、水费、电费、邮电费、取暖费、差旅费、公务接待费、工会经费、福利费、公务用车运行维护费。</w:t>
      </w:r>
    </w:p>
    <w:p w14:paraId="43DFD3DA">
      <w:pPr>
        <w:spacing w:line="640" w:lineRule="exact"/>
        <w:ind w:firstLine="640"/>
        <w:jc w:val="both"/>
        <w:outlineLvl w:val="2"/>
      </w:pPr>
      <w:r>
        <w:rPr>
          <w:rFonts w:ascii="黑体" w:hAnsi="黑体" w:eastAsia="黑体"/>
          <w:sz w:val="32"/>
        </w:rPr>
        <w:t>七、政府性基金预算财政拨款收入支出决算情况说明</w:t>
      </w:r>
    </w:p>
    <w:p w14:paraId="3531C83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93EA25">
      <w:pPr>
        <w:spacing w:line="640" w:lineRule="exact"/>
        <w:ind w:firstLine="640"/>
        <w:jc w:val="both"/>
        <w:outlineLvl w:val="2"/>
      </w:pPr>
      <w:r>
        <w:rPr>
          <w:rFonts w:ascii="黑体" w:hAnsi="黑体" w:eastAsia="黑体"/>
          <w:sz w:val="32"/>
        </w:rPr>
        <w:t>八、国有资本经营预算财政拨款收入支出决算情况说明</w:t>
      </w:r>
    </w:p>
    <w:p w14:paraId="699598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B3C469">
      <w:pPr>
        <w:spacing w:line="640" w:lineRule="exact"/>
        <w:ind w:firstLine="640"/>
        <w:jc w:val="both"/>
        <w:outlineLvl w:val="2"/>
      </w:pPr>
      <w:r>
        <w:rPr>
          <w:rFonts w:ascii="黑体" w:hAnsi="黑体" w:eastAsia="黑体"/>
          <w:sz w:val="32"/>
        </w:rPr>
        <w:t>九、财政拨款“三公”经费支出决算情况说明</w:t>
      </w:r>
    </w:p>
    <w:p w14:paraId="350638AA">
      <w:pPr>
        <w:spacing w:line="580" w:lineRule="exact"/>
        <w:ind w:firstLine="640"/>
        <w:jc w:val="both"/>
      </w:pPr>
      <w:r>
        <w:rPr>
          <w:rFonts w:ascii="仿宋_GB2312" w:hAnsi="仿宋_GB2312" w:eastAsia="仿宋_GB2312"/>
          <w:b/>
          <w:sz w:val="32"/>
        </w:rPr>
        <w:t>2024年度财政拨款“三公”经费支出9.92万元，</w:t>
      </w:r>
      <w:r>
        <w:rPr>
          <w:rFonts w:ascii="仿宋_GB2312" w:hAnsi="仿宋_GB2312" w:eastAsia="仿宋_GB2312"/>
          <w:b w:val="0"/>
          <w:sz w:val="32"/>
        </w:rPr>
        <w:t>比上年减少2.90万元，下降22.62%，主要原因是：严格落实中央八项规定精神，厉行节约，减少公务接待费、减少公务用车运行维护费。其中：因公出国（境）费支出0.00万元，占0.00%，比上年增加0.00万元，增长0.00%，主要原因是：2023年与2024年均未安排因公出国（境）费支出。公务用车购置及运行维护费支出7.00万元，占70.56%，比上年减少2.82万元，下降28.72%，主要原因是：严格落实中央八项规定精神，厉行节约，减少公务用车运行维护费。公务接待费支出2.92万元，占29.44%，比上年减少0.08万元，下降2.67%，主要原因是：严格落实中央八项规定精神，厉行节约，减少公务接待费。</w:t>
      </w:r>
    </w:p>
    <w:p w14:paraId="21C6CD54">
      <w:pPr>
        <w:spacing w:line="580" w:lineRule="exact"/>
        <w:ind w:firstLine="640"/>
        <w:jc w:val="both"/>
      </w:pPr>
      <w:r>
        <w:rPr>
          <w:rFonts w:ascii="仿宋_GB2312" w:hAnsi="仿宋_GB2312" w:eastAsia="仿宋_GB2312"/>
          <w:b/>
          <w:sz w:val="32"/>
        </w:rPr>
        <w:t>具体情况如下：</w:t>
      </w:r>
    </w:p>
    <w:p w14:paraId="3F66DB1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50B4BB">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15CBD011">
      <w:pPr>
        <w:spacing w:line="580" w:lineRule="exact"/>
        <w:ind w:firstLine="640"/>
        <w:jc w:val="both"/>
      </w:pPr>
      <w:r>
        <w:rPr>
          <w:rFonts w:ascii="仿宋_GB2312" w:hAnsi="仿宋_GB2312" w:eastAsia="仿宋_GB2312"/>
          <w:b w:val="0"/>
          <w:sz w:val="32"/>
        </w:rPr>
        <w:t>公务接待费2.92万元，开支内容包括因接待上级领导检查工作产生的就餐费。单位全年安排的国内公务接待19批次，199人次。</w:t>
      </w:r>
    </w:p>
    <w:p w14:paraId="7DEEA15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9.92万元，决算数9.92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7.00万元，决算数7.00万元，预决算差异率0.00%，主要原因是：严格按照预算执行，预决算无差异。公务接待费全年预算数2.92万元，决算数2.92万元，预决算差异率0.00%，主要原因是：严格按照预算执行，预决算无差异。</w:t>
      </w:r>
    </w:p>
    <w:p w14:paraId="0E90DD1D">
      <w:pPr>
        <w:spacing w:line="640" w:lineRule="exact"/>
        <w:ind w:firstLine="640"/>
        <w:jc w:val="both"/>
        <w:outlineLvl w:val="2"/>
      </w:pPr>
      <w:r>
        <w:rPr>
          <w:rFonts w:ascii="黑体" w:hAnsi="黑体" w:eastAsia="黑体"/>
          <w:sz w:val="32"/>
        </w:rPr>
        <w:t>十、其他重要事项的情况说明</w:t>
      </w:r>
    </w:p>
    <w:p w14:paraId="5B94942C">
      <w:pPr>
        <w:spacing w:line="640" w:lineRule="exact"/>
        <w:ind w:firstLine="640"/>
        <w:jc w:val="both"/>
        <w:outlineLvl w:val="3"/>
      </w:pPr>
      <w:r>
        <w:rPr>
          <w:rFonts w:ascii="楷体_GB2312" w:hAnsi="楷体_GB2312" w:eastAsia="楷体_GB2312"/>
          <w:b/>
          <w:sz w:val="32"/>
        </w:rPr>
        <w:t>（一）机关运行经费及公用经费支出情况</w:t>
      </w:r>
    </w:p>
    <w:p w14:paraId="0674BFD5">
      <w:pPr>
        <w:spacing w:line="580" w:lineRule="exact"/>
        <w:ind w:firstLine="640"/>
        <w:jc w:val="both"/>
      </w:pPr>
      <w:r>
        <w:rPr>
          <w:rFonts w:ascii="仿宋_GB2312" w:hAnsi="仿宋_GB2312" w:eastAsia="仿宋_GB2312"/>
          <w:b w:val="0"/>
          <w:sz w:val="32"/>
        </w:rPr>
        <w:t>2024年度克孜勒苏柯尔克孜自治州工业和信息化局（行政单位和参照公务员法管理事业单位）机关运行经费支出29.46万元，比上年增加0.61万元，增长2.11%，主要原因是：本年更新、维护补充办公用品，导致经费较上年增加。</w:t>
      </w:r>
    </w:p>
    <w:p w14:paraId="73933F93">
      <w:pPr>
        <w:spacing w:line="640" w:lineRule="exact"/>
        <w:ind w:firstLine="640"/>
        <w:jc w:val="both"/>
        <w:outlineLvl w:val="3"/>
      </w:pPr>
      <w:r>
        <w:rPr>
          <w:rFonts w:ascii="楷体_GB2312" w:hAnsi="楷体_GB2312" w:eastAsia="楷体_GB2312"/>
          <w:b/>
          <w:sz w:val="32"/>
        </w:rPr>
        <w:t>（二）政府采购情况</w:t>
      </w:r>
    </w:p>
    <w:p w14:paraId="79383B10">
      <w:pPr>
        <w:spacing w:line="580" w:lineRule="exact"/>
        <w:ind w:firstLine="640"/>
        <w:jc w:val="both"/>
      </w:pPr>
      <w:r>
        <w:rPr>
          <w:rFonts w:ascii="仿宋_GB2312" w:hAnsi="仿宋_GB2312" w:eastAsia="仿宋_GB2312"/>
          <w:b w:val="0"/>
          <w:sz w:val="32"/>
        </w:rPr>
        <w:t>2024年度政府采购支出总额89.03万元，其中：政府采购货物支出0.75万元、政府采购工程支出0.00万元、政府采购服务支出88.28万元。</w:t>
      </w:r>
    </w:p>
    <w:p w14:paraId="71951146">
      <w:pPr>
        <w:spacing w:line="580" w:lineRule="exact"/>
        <w:ind w:firstLine="640"/>
        <w:jc w:val="both"/>
      </w:pPr>
      <w:r>
        <w:rPr>
          <w:rFonts w:ascii="仿宋_GB2312" w:hAnsi="仿宋_GB2312" w:eastAsia="仿宋_GB2312"/>
          <w:b w:val="0"/>
          <w:sz w:val="32"/>
        </w:rPr>
        <w:t>授予中小企业合同金额89.03万元，占政府采购支出总额的100.00%，其中：授予小微企业合同金额18.59万元，占政府采购支出总额的20.88%。</w:t>
      </w:r>
    </w:p>
    <w:p w14:paraId="0ED1C039">
      <w:pPr>
        <w:spacing w:line="640" w:lineRule="exact"/>
        <w:ind w:firstLine="640"/>
        <w:jc w:val="both"/>
        <w:outlineLvl w:val="3"/>
      </w:pPr>
      <w:r>
        <w:rPr>
          <w:rFonts w:ascii="楷体_GB2312" w:hAnsi="楷体_GB2312" w:eastAsia="楷体_GB2312"/>
          <w:b/>
          <w:sz w:val="32"/>
        </w:rPr>
        <w:t>（三）国有资产占用情况说明</w:t>
      </w:r>
    </w:p>
    <w:p w14:paraId="7AEF2267">
      <w:pPr>
        <w:spacing w:line="580" w:lineRule="exact"/>
        <w:ind w:firstLine="640"/>
        <w:jc w:val="both"/>
      </w:pPr>
      <w:r>
        <w:rPr>
          <w:rFonts w:ascii="仿宋_GB2312" w:hAnsi="仿宋_GB2312" w:eastAsia="仿宋_GB2312"/>
          <w:b w:val="0"/>
          <w:sz w:val="32"/>
        </w:rPr>
        <w:t>截至2024年12月31日，房屋1,522.00平方米，价值51.40万元。车辆3辆，价值105.32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5603B1B">
      <w:pPr>
        <w:spacing w:line="640" w:lineRule="exact"/>
        <w:ind w:firstLine="640"/>
        <w:jc w:val="both"/>
        <w:outlineLvl w:val="2"/>
      </w:pPr>
      <w:r>
        <w:rPr>
          <w:rFonts w:ascii="黑体" w:hAnsi="黑体" w:eastAsia="黑体"/>
          <w:sz w:val="32"/>
        </w:rPr>
        <w:t>十一、预算绩效的情况说明</w:t>
      </w:r>
    </w:p>
    <w:p w14:paraId="7BD4ED3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867.53万元，实际执行总额860.85万元；预算绩效评价项目4个，全年预算数110.81万元，全年执行数104.58万元。预算绩效管理取得的成效：为加强预算管理，规范财务行为，已制定各项管理制度，有效保障了高效履行工作职能，加强了制度建设，打牢绩效管理工作基础。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6BEEEDB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253"/>
        <w:gridCol w:w="957"/>
        <w:gridCol w:w="1105"/>
        <w:gridCol w:w="1105"/>
        <w:gridCol w:w="1105"/>
        <w:gridCol w:w="1105"/>
      </w:tblGrid>
      <w:tr w14:paraId="1F057A74">
        <w:tblPrEx>
          <w:tblCellMar>
            <w:top w:w="0" w:type="dxa"/>
            <w:left w:w="108" w:type="dxa"/>
            <w:bottom w:w="0" w:type="dxa"/>
            <w:right w:w="108" w:type="dxa"/>
          </w:tblCellMar>
        </w:tblPrEx>
        <w:tc>
          <w:tcPr>
            <w:tcW w:w="8840" w:type="dxa"/>
            <w:gridSpan w:val="8"/>
            <w:vAlign w:val="center"/>
          </w:tcPr>
          <w:p w14:paraId="0E70989C">
            <w:pPr>
              <w:jc w:val="center"/>
            </w:pPr>
            <w:r>
              <w:rPr>
                <w:rFonts w:ascii="宋体" w:hAnsi="宋体" w:eastAsia="宋体"/>
                <w:sz w:val="24"/>
              </w:rPr>
              <w:t>单位整体支出绩效自评表</w:t>
            </w:r>
          </w:p>
        </w:tc>
      </w:tr>
      <w:tr w14:paraId="058A1F38">
        <w:tblPrEx>
          <w:tblCellMar>
            <w:top w:w="0" w:type="dxa"/>
            <w:left w:w="108" w:type="dxa"/>
            <w:bottom w:w="0" w:type="dxa"/>
            <w:right w:w="108" w:type="dxa"/>
          </w:tblCellMar>
        </w:tblPrEx>
        <w:tc>
          <w:tcPr>
            <w:tcW w:w="8840" w:type="dxa"/>
            <w:gridSpan w:val="8"/>
            <w:vAlign w:val="center"/>
          </w:tcPr>
          <w:p w14:paraId="7ED5A464">
            <w:pPr>
              <w:jc w:val="center"/>
            </w:pPr>
            <w:r>
              <w:rPr>
                <w:rFonts w:ascii="宋体" w:hAnsi="宋体" w:eastAsia="宋体"/>
                <w:sz w:val="24"/>
              </w:rPr>
              <w:t>（2024年度）</w:t>
            </w:r>
          </w:p>
        </w:tc>
      </w:tr>
      <w:tr w14:paraId="5A53970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222D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ECCDF">
            <w:pPr>
              <w:jc w:val="center"/>
            </w:pPr>
            <w:r>
              <w:rPr>
                <w:rFonts w:ascii="宋体" w:hAnsi="宋体" w:eastAsia="宋体"/>
                <w:sz w:val="16"/>
              </w:rPr>
              <w:t>克孜勒苏柯尔克孜自治州工业和信息化局</w:t>
            </w:r>
          </w:p>
        </w:tc>
      </w:tr>
      <w:tr w14:paraId="7A01EFD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D4C4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9E1FB">
            <w:pPr>
              <w:jc w:val="center"/>
            </w:pPr>
            <w:r>
              <w:rPr>
                <w:rFonts w:ascii="宋体" w:hAnsi="宋体" w:eastAsia="宋体"/>
                <w:sz w:val="16"/>
              </w:rPr>
              <w:t>资金来源</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4080511B">
            <w:pPr>
              <w:jc w:val="center"/>
            </w:pPr>
            <w:r>
              <w:rPr>
                <w:rFonts w:ascii="宋体" w:hAnsi="宋体" w:eastAsia="宋体"/>
                <w:sz w:val="16"/>
              </w:rPr>
              <w:t>年初预算数</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3CFE07B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7661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1B2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5946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61672">
            <w:pPr>
              <w:jc w:val="center"/>
            </w:pPr>
            <w:r>
              <w:rPr>
                <w:rFonts w:ascii="宋体" w:hAnsi="宋体" w:eastAsia="宋体"/>
                <w:sz w:val="16"/>
              </w:rPr>
              <w:t>得分</w:t>
            </w:r>
          </w:p>
        </w:tc>
      </w:tr>
      <w:tr w14:paraId="6B435B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2C49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8925D">
            <w:pPr>
              <w:jc w:val="center"/>
            </w:pPr>
            <w:r>
              <w:rPr>
                <w:rFonts w:ascii="宋体" w:hAnsi="宋体" w:eastAsia="宋体"/>
                <w:sz w:val="16"/>
              </w:rPr>
              <w:t>年度总资金：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5D35CAA2">
            <w:pPr>
              <w:jc w:val="center"/>
            </w:pPr>
            <w:r>
              <w:rPr>
                <w:rFonts w:ascii="宋体" w:hAnsi="宋体" w:eastAsia="宋体"/>
                <w:sz w:val="16"/>
              </w:rPr>
              <w:t>696.81</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4020BF9E">
            <w:pPr>
              <w:jc w:val="center"/>
            </w:pPr>
            <w:r>
              <w:rPr>
                <w:rFonts w:ascii="宋体" w:hAnsi="宋体" w:eastAsia="宋体"/>
                <w:sz w:val="16"/>
              </w:rPr>
              <w:t>867.53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B26B7">
            <w:pPr>
              <w:jc w:val="center"/>
            </w:pPr>
            <w:r>
              <w:rPr>
                <w:rFonts w:ascii="宋体" w:hAnsi="宋体" w:eastAsia="宋体"/>
                <w:sz w:val="16"/>
              </w:rPr>
              <w:t>860.85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EE74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5D4F9">
            <w:pPr>
              <w:jc w:val="center"/>
            </w:pPr>
            <w:r>
              <w:rPr>
                <w:rFonts w:ascii="宋体" w:hAnsi="宋体" w:eastAsia="宋体"/>
                <w:sz w:val="16"/>
              </w:rPr>
              <w:t>99.23%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29DF7">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92</w:t>
            </w:r>
          </w:p>
        </w:tc>
      </w:tr>
      <w:tr w14:paraId="1DF269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EF36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45B9F">
            <w:pPr>
              <w:jc w:val="center"/>
            </w:pPr>
            <w:r>
              <w:rPr>
                <w:rFonts w:ascii="宋体" w:hAnsi="宋体" w:eastAsia="宋体"/>
                <w:sz w:val="16"/>
              </w:rPr>
              <w:t>上级资金：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2662597E">
            <w:pPr>
              <w:jc w:val="center"/>
            </w:pPr>
            <w:r>
              <w:rPr>
                <w:rFonts w:ascii="宋体" w:hAnsi="宋体" w:eastAsia="宋体"/>
                <w:sz w:val="16"/>
              </w:rPr>
              <w:t>0.00</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2A3FCF47">
            <w:pPr>
              <w:jc w:val="center"/>
            </w:pPr>
            <w:r>
              <w:rPr>
                <w:rFonts w:ascii="宋体" w:hAnsi="宋体" w:eastAsia="宋体"/>
                <w:sz w:val="16"/>
              </w:rPr>
              <w:t>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DECAB">
            <w:pPr>
              <w:jc w:val="center"/>
            </w:pPr>
            <w:r>
              <w:rPr>
                <w:rFonts w:ascii="宋体" w:hAnsi="宋体" w:eastAsia="宋体"/>
                <w:sz w:val="16"/>
              </w:rPr>
              <w:t>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834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A59D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A61E3">
            <w:pPr>
              <w:jc w:val="center"/>
            </w:pPr>
            <w:r>
              <w:rPr>
                <w:rFonts w:ascii="宋体" w:hAnsi="宋体" w:eastAsia="宋体"/>
                <w:sz w:val="16"/>
              </w:rPr>
              <w:t>—</w:t>
            </w:r>
          </w:p>
        </w:tc>
      </w:tr>
      <w:tr w14:paraId="4F3229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1C78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B9C43">
            <w:pPr>
              <w:jc w:val="center"/>
            </w:pPr>
            <w:r>
              <w:rPr>
                <w:rFonts w:ascii="宋体" w:hAnsi="宋体" w:eastAsia="宋体"/>
                <w:sz w:val="16"/>
              </w:rPr>
              <w:t>本级资金：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7F4BD672">
            <w:pPr>
              <w:jc w:val="center"/>
            </w:pPr>
            <w:r>
              <w:rPr>
                <w:rFonts w:ascii="宋体" w:hAnsi="宋体" w:eastAsia="宋体"/>
                <w:sz w:val="16"/>
              </w:rPr>
              <w:t>603.81</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09A9F75E">
            <w:pPr>
              <w:jc w:val="center"/>
            </w:pPr>
            <w:r>
              <w:rPr>
                <w:rFonts w:ascii="宋体" w:hAnsi="宋体" w:eastAsia="宋体"/>
                <w:sz w:val="16"/>
              </w:rPr>
              <w:t>770.96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8105D">
            <w:pPr>
              <w:jc w:val="center"/>
            </w:pPr>
            <w:r>
              <w:rPr>
                <w:rFonts w:ascii="宋体" w:hAnsi="宋体" w:eastAsia="宋体"/>
                <w:sz w:val="16"/>
              </w:rPr>
              <w:t>764.28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0C3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146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E27A7">
            <w:pPr>
              <w:jc w:val="center"/>
            </w:pPr>
            <w:r>
              <w:rPr>
                <w:rFonts w:ascii="宋体" w:hAnsi="宋体" w:eastAsia="宋体"/>
                <w:sz w:val="16"/>
              </w:rPr>
              <w:t>—</w:t>
            </w:r>
          </w:p>
        </w:tc>
      </w:tr>
      <w:tr w14:paraId="0899E40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2E8F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FF183">
            <w:pPr>
              <w:jc w:val="center"/>
            </w:pPr>
            <w:r>
              <w:rPr>
                <w:rFonts w:ascii="宋体" w:hAnsi="宋体" w:eastAsia="宋体"/>
                <w:sz w:val="16"/>
              </w:rPr>
              <w:t>其他资金：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10AA11B6">
            <w:pPr>
              <w:jc w:val="center"/>
            </w:pPr>
            <w:r>
              <w:rPr>
                <w:rFonts w:ascii="宋体" w:hAnsi="宋体" w:eastAsia="宋体"/>
                <w:sz w:val="16"/>
              </w:rPr>
              <w:t>93.00</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43B4086D">
            <w:pPr>
              <w:jc w:val="center"/>
            </w:pPr>
            <w:r>
              <w:rPr>
                <w:rFonts w:ascii="宋体" w:hAnsi="宋体" w:eastAsia="宋体"/>
                <w:sz w:val="16"/>
              </w:rPr>
              <w:t>79.57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41AE2">
            <w:pPr>
              <w:jc w:val="center"/>
            </w:pPr>
            <w:r>
              <w:rPr>
                <w:rFonts w:ascii="宋体" w:hAnsi="宋体" w:eastAsia="宋体"/>
                <w:sz w:val="16"/>
              </w:rPr>
              <w:t>79.57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1886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83B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3173A">
            <w:pPr>
              <w:jc w:val="center"/>
            </w:pPr>
            <w:r>
              <w:rPr>
                <w:rFonts w:ascii="宋体" w:hAnsi="宋体" w:eastAsia="宋体"/>
                <w:sz w:val="16"/>
              </w:rPr>
              <w:t>—</w:t>
            </w:r>
          </w:p>
        </w:tc>
      </w:tr>
      <w:tr w14:paraId="6DC773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C4AA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27A0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5085BA">
            <w:pPr>
              <w:jc w:val="center"/>
            </w:pPr>
            <w:r>
              <w:rPr>
                <w:rFonts w:ascii="宋体" w:hAnsi="宋体" w:eastAsia="宋体"/>
                <w:sz w:val="16"/>
              </w:rPr>
              <w:t>实际完成情况</w:t>
            </w:r>
          </w:p>
        </w:tc>
      </w:tr>
      <w:tr w14:paraId="5109F4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9F83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F7CDC1">
            <w:pPr>
              <w:jc w:val="both"/>
            </w:pPr>
            <w:r>
              <w:rPr>
                <w:rFonts w:ascii="宋体" w:hAnsi="宋体" w:eastAsia="宋体"/>
                <w:sz w:val="16"/>
              </w:rPr>
              <w:t>1.全州</w:t>
            </w:r>
            <w:r>
              <w:rPr>
                <w:rFonts w:hint="eastAsia" w:ascii="宋体" w:hAnsi="宋体"/>
                <w:sz w:val="16"/>
                <w:lang w:eastAsia="zh-CN"/>
              </w:rPr>
              <w:t>规模</w:t>
            </w:r>
            <w:r>
              <w:rPr>
                <w:rFonts w:ascii="宋体" w:hAnsi="宋体" w:eastAsia="宋体"/>
                <w:sz w:val="16"/>
              </w:rPr>
              <w:t>以上工业增加值预计增长8%；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2.培育小升规企业25家；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3.积极推进新疆紫金黄金有限公司萨瓦亚尔顿金矿120万吨采选项目；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4.积极推进克州乌恰县紫金黄金冶炼3</w:t>
            </w:r>
            <w:r>
              <w:rPr>
                <w:rFonts w:hint="eastAsia" w:ascii="宋体" w:hAnsi="宋体"/>
                <w:sz w:val="16"/>
                <w:lang w:eastAsia="zh-CN"/>
              </w:rPr>
              <w:t>～</w:t>
            </w:r>
            <w:r>
              <w:rPr>
                <w:rFonts w:ascii="宋体" w:hAnsi="宋体" w:eastAsia="宋体"/>
                <w:sz w:val="16"/>
              </w:rPr>
              <w:t>5吨项目。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BA61B5">
            <w:pPr>
              <w:jc w:val="both"/>
            </w:pPr>
            <w:r>
              <w:rPr>
                <w:rFonts w:ascii="宋体" w:hAnsi="宋体" w:eastAsia="宋体"/>
                <w:sz w:val="16"/>
              </w:rPr>
              <w:t>积极推进全州</w:t>
            </w:r>
            <w:r>
              <w:rPr>
                <w:rFonts w:hint="eastAsia" w:ascii="宋体" w:hAnsi="宋体"/>
                <w:sz w:val="16"/>
                <w:lang w:eastAsia="zh-CN"/>
              </w:rPr>
              <w:t>规模</w:t>
            </w:r>
            <w:r>
              <w:rPr>
                <w:rFonts w:ascii="宋体" w:hAnsi="宋体" w:eastAsia="宋体"/>
                <w:sz w:val="16"/>
              </w:rPr>
              <w:t>以上工业增加值工作，通过了解市场需求帮助企业提前做好应对准备，避免因市场波动导致生产大幅起落，最终完成指标值11.6%，超额完成任务；根据州实际工业规上企业实际情况，积极与统计部门对接，推进小升规企业培育工作，指导企业做好生产经营，加大生产要素保障，促进企业升规入统，基本完成年初目标培育小升规企业22家；紫金黄金萨瓦亚尔顿金矿采选和冶炼项目已于今年7月试生产；紫金锌业120万吨采矿能力，技改扩建项目已正式核准；克州乌恰县紫金黄金冶炼项目已试生产，具备3</w:t>
            </w:r>
            <w:r>
              <w:rPr>
                <w:rFonts w:hint="eastAsia" w:ascii="宋体" w:hAnsi="宋体"/>
                <w:sz w:val="16"/>
                <w:lang w:eastAsia="zh-CN"/>
              </w:rPr>
              <w:t>～</w:t>
            </w:r>
            <w:r>
              <w:rPr>
                <w:rFonts w:ascii="宋体" w:hAnsi="宋体" w:eastAsia="宋体"/>
                <w:sz w:val="16"/>
              </w:rPr>
              <w:t>5吨的产能。通过以上工作的实施，保障了</w:t>
            </w:r>
            <w:r>
              <w:rPr>
                <w:rFonts w:hint="eastAsia" w:ascii="宋体" w:hAnsi="宋体"/>
                <w:sz w:val="16"/>
                <w:lang w:eastAsia="zh-CN"/>
              </w:rPr>
              <w:t>本单位</w:t>
            </w:r>
            <w:r>
              <w:rPr>
                <w:rFonts w:ascii="宋体" w:hAnsi="宋体" w:eastAsia="宋体"/>
                <w:sz w:val="16"/>
              </w:rPr>
              <w:t>29名职工的工资、福利及社保正常发放及缴纳，确保民生工作落实到位；保障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3辆公务用车的运行及维护，保障单位各项工作的正常运转，确保机构运转正常</w:t>
            </w:r>
          </w:p>
        </w:tc>
      </w:tr>
      <w:tr w14:paraId="54FB871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BAC8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83ABB">
            <w:pPr>
              <w:jc w:val="center"/>
            </w:pPr>
            <w:r>
              <w:rPr>
                <w:rFonts w:ascii="宋体" w:hAnsi="宋体" w:eastAsia="宋体"/>
                <w:sz w:val="16"/>
              </w:rPr>
              <w:t>二级指标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2067B320">
            <w:pPr>
              <w:jc w:val="center"/>
            </w:pPr>
            <w:r>
              <w:rPr>
                <w:rFonts w:ascii="宋体" w:hAnsi="宋体" w:eastAsia="宋体"/>
                <w:sz w:val="16"/>
              </w:rPr>
              <w:t>三级指标</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370F17D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C0B5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23E5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B255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BDF84">
            <w:pPr>
              <w:jc w:val="center"/>
            </w:pPr>
            <w:r>
              <w:rPr>
                <w:rFonts w:ascii="宋体" w:hAnsi="宋体" w:eastAsia="宋体"/>
                <w:sz w:val="16"/>
              </w:rPr>
              <w:t>得分</w:t>
            </w:r>
          </w:p>
        </w:tc>
      </w:tr>
      <w:tr w14:paraId="333C59D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2AE2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613EA">
            <w:pPr>
              <w:jc w:val="center"/>
            </w:pPr>
            <w:r>
              <w:rPr>
                <w:rFonts w:ascii="宋体" w:hAnsi="宋体" w:eastAsia="宋体"/>
                <w:sz w:val="16"/>
              </w:rPr>
              <w:t>数量指标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5E66FD4C">
            <w:pPr>
              <w:jc w:val="center"/>
            </w:pPr>
            <w:r>
              <w:rPr>
                <w:rFonts w:ascii="宋体" w:hAnsi="宋体" w:eastAsia="宋体"/>
                <w:sz w:val="16"/>
              </w:rPr>
              <w:t>全州</w:t>
            </w:r>
            <w:r>
              <w:rPr>
                <w:rFonts w:hint="eastAsia" w:ascii="宋体" w:hAnsi="宋体"/>
                <w:sz w:val="16"/>
                <w:lang w:eastAsia="zh-CN"/>
              </w:rPr>
              <w:t>规模</w:t>
            </w:r>
            <w:r>
              <w:rPr>
                <w:rFonts w:ascii="宋体" w:hAnsi="宋体" w:eastAsia="宋体"/>
                <w:sz w:val="16"/>
              </w:rPr>
              <w:t>以上工业增加值预计增长率</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32E347E2">
            <w:pPr>
              <w:jc w:val="center"/>
            </w:pPr>
            <w:r>
              <w:rPr>
                <w:rFonts w:ascii="宋体" w:hAnsi="宋体" w:eastAsia="宋体"/>
                <w:sz w:val="16"/>
              </w:rPr>
              <w:t>&gt;=8%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AD522">
            <w:pPr>
              <w:jc w:val="center"/>
            </w:pPr>
            <w:r>
              <w:rPr>
                <w:rFonts w:ascii="宋体" w:hAnsi="宋体" w:eastAsia="宋体"/>
                <w:sz w:val="16"/>
              </w:rPr>
              <w:t>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EE29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B18BB">
            <w:pPr>
              <w:jc w:val="center"/>
            </w:pPr>
            <w:r>
              <w:rPr>
                <w:rFonts w:ascii="宋体" w:hAnsi="宋体" w:eastAsia="宋体"/>
                <w:sz w:val="16"/>
              </w:rPr>
              <w:t>11.6%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C6D7D">
            <w:pPr>
              <w:jc w:val="center"/>
            </w:pPr>
            <w:r>
              <w:rPr>
                <w:rFonts w:ascii="宋体" w:hAnsi="宋体" w:eastAsia="宋体"/>
                <w:sz w:val="16"/>
              </w:rPr>
              <w:t>25</w:t>
            </w:r>
          </w:p>
        </w:tc>
      </w:tr>
      <w:tr w14:paraId="4D858D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A5E23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AEF618"/>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4353181B">
            <w:pPr>
              <w:jc w:val="center"/>
            </w:pPr>
            <w:r>
              <w:rPr>
                <w:rFonts w:ascii="宋体" w:hAnsi="宋体" w:eastAsia="宋体"/>
                <w:sz w:val="16"/>
              </w:rPr>
              <w:t>培育小升规企业</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395F572F">
            <w:pPr>
              <w:jc w:val="center"/>
            </w:pPr>
            <w:r>
              <w:rPr>
                <w:rFonts w:ascii="宋体" w:hAnsi="宋体" w:eastAsia="宋体"/>
                <w:sz w:val="16"/>
              </w:rPr>
              <w:t>&gt;=25家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8F93F">
            <w:pPr>
              <w:jc w:val="center"/>
            </w:pPr>
            <w:r>
              <w:rPr>
                <w:rFonts w:ascii="宋体" w:hAnsi="宋体" w:eastAsia="宋体"/>
                <w:sz w:val="16"/>
              </w:rPr>
              <w:t>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1AB7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5509B">
            <w:pPr>
              <w:jc w:val="center"/>
            </w:pPr>
            <w:r>
              <w:rPr>
                <w:rFonts w:ascii="宋体" w:hAnsi="宋体" w:eastAsia="宋体"/>
                <w:sz w:val="16"/>
              </w:rPr>
              <w:t>22家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6D89A">
            <w:pPr>
              <w:jc w:val="center"/>
            </w:pPr>
            <w:r>
              <w:rPr>
                <w:rFonts w:ascii="宋体" w:hAnsi="宋体" w:eastAsia="宋体"/>
                <w:sz w:val="16"/>
              </w:rPr>
              <w:t>22</w:t>
            </w:r>
          </w:p>
        </w:tc>
      </w:tr>
      <w:tr w14:paraId="3FE378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DB602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387C33"/>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4481D535">
            <w:pPr>
              <w:jc w:val="center"/>
            </w:pPr>
            <w:r>
              <w:rPr>
                <w:rFonts w:ascii="宋体" w:hAnsi="宋体" w:eastAsia="宋体"/>
                <w:sz w:val="16"/>
              </w:rPr>
              <w:t>积极推进新疆紫金黄金有限公司萨瓦亚尔顿金矿采选项目</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28C31B47">
            <w:pPr>
              <w:jc w:val="center"/>
            </w:pPr>
            <w:r>
              <w:rPr>
                <w:rFonts w:ascii="宋体" w:hAnsi="宋体" w:eastAsia="宋体"/>
                <w:sz w:val="16"/>
              </w:rPr>
              <w:t>&gt;=120万吨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B3571">
            <w:pPr>
              <w:jc w:val="center"/>
            </w:pPr>
            <w:r>
              <w:rPr>
                <w:rFonts w:ascii="宋体" w:hAnsi="宋体" w:eastAsia="宋体"/>
                <w:sz w:val="16"/>
              </w:rPr>
              <w:t>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A37D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ED9E4">
            <w:pPr>
              <w:jc w:val="center"/>
            </w:pPr>
            <w:r>
              <w:rPr>
                <w:rFonts w:ascii="宋体" w:hAnsi="宋体" w:eastAsia="宋体"/>
                <w:sz w:val="16"/>
              </w:rPr>
              <w:t>120万吨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0F099">
            <w:pPr>
              <w:jc w:val="center"/>
            </w:pPr>
            <w:r>
              <w:rPr>
                <w:rFonts w:ascii="宋体" w:hAnsi="宋体" w:eastAsia="宋体"/>
                <w:sz w:val="16"/>
              </w:rPr>
              <w:t>20</w:t>
            </w:r>
          </w:p>
        </w:tc>
      </w:tr>
      <w:tr w14:paraId="18F276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DC7A5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0A79FE"/>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4AFF7FF2">
            <w:pPr>
              <w:jc w:val="center"/>
            </w:pPr>
            <w:r>
              <w:rPr>
                <w:rFonts w:ascii="宋体" w:hAnsi="宋体" w:eastAsia="宋体"/>
                <w:sz w:val="16"/>
              </w:rPr>
              <w:t>积极推进克州乌恰县紫金黄金冶炼项目</w:t>
            </w:r>
          </w:p>
        </w:tc>
        <w:tc>
          <w:tcPr>
            <w:tcW w:w="957" w:type="dxa"/>
            <w:tcBorders>
              <w:top w:val="single" w:color="auto" w:sz="10" w:space="0"/>
              <w:left w:val="single" w:color="auto" w:sz="10" w:space="0"/>
              <w:bottom w:val="single" w:color="auto" w:sz="10" w:space="0"/>
              <w:right w:val="single" w:color="auto" w:sz="10" w:space="0"/>
              <w:insideV w:val="single" w:sz="10" w:space="0"/>
            </w:tcBorders>
            <w:vAlign w:val="center"/>
          </w:tcPr>
          <w:p w14:paraId="15F8F2D3">
            <w:pPr>
              <w:jc w:val="center"/>
            </w:pPr>
            <w:r>
              <w:rPr>
                <w:rFonts w:ascii="宋体" w:hAnsi="宋体" w:eastAsia="宋体"/>
                <w:sz w:val="16"/>
              </w:rPr>
              <w:t>&gt;=3-5吨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6BB27">
            <w:pPr>
              <w:jc w:val="center"/>
            </w:pPr>
            <w:r>
              <w:rPr>
                <w:rFonts w:ascii="宋体" w:hAnsi="宋体" w:eastAsia="宋体"/>
                <w:sz w:val="16"/>
              </w:rPr>
              <w:t>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F192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85CA1">
            <w:pPr>
              <w:jc w:val="center"/>
            </w:pPr>
            <w:r>
              <w:rPr>
                <w:rFonts w:ascii="宋体" w:hAnsi="宋体" w:eastAsia="宋体"/>
                <w:sz w:val="16"/>
              </w:rPr>
              <w:t>3</w:t>
            </w:r>
            <w:r>
              <w:rPr>
                <w:rFonts w:hint="eastAsia" w:ascii="宋体" w:hAnsi="宋体"/>
                <w:sz w:val="16"/>
                <w:lang w:eastAsia="zh-CN"/>
              </w:rPr>
              <w:t>～</w:t>
            </w:r>
            <w:r>
              <w:rPr>
                <w:rFonts w:ascii="宋体" w:hAnsi="宋体" w:eastAsia="宋体"/>
                <w:sz w:val="16"/>
              </w:rPr>
              <w:t>5吨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A1ADB">
            <w:pPr>
              <w:jc w:val="center"/>
            </w:pPr>
            <w:r>
              <w:rPr>
                <w:rFonts w:ascii="宋体" w:hAnsi="宋体" w:eastAsia="宋体"/>
                <w:sz w:val="16"/>
              </w:rPr>
              <w:t>20</w:t>
            </w:r>
          </w:p>
        </w:tc>
      </w:tr>
    </w:tbl>
    <w:p w14:paraId="1958D1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939BFC">
        <w:tblPrEx>
          <w:tblCellMar>
            <w:top w:w="0" w:type="dxa"/>
            <w:left w:w="108" w:type="dxa"/>
            <w:bottom w:w="0" w:type="dxa"/>
            <w:right w:w="108" w:type="dxa"/>
          </w:tblCellMar>
        </w:tblPrEx>
        <w:tc>
          <w:tcPr>
            <w:tcW w:w="8848" w:type="dxa"/>
            <w:gridSpan w:val="14"/>
            <w:vAlign w:val="center"/>
          </w:tcPr>
          <w:p w14:paraId="41D338BA">
            <w:pPr>
              <w:jc w:val="center"/>
            </w:pPr>
            <w:r>
              <w:rPr>
                <w:rFonts w:ascii="宋体" w:hAnsi="宋体" w:eastAsia="宋体"/>
                <w:sz w:val="24"/>
              </w:rPr>
              <w:t>项目支出绩效自评表</w:t>
            </w:r>
          </w:p>
        </w:tc>
      </w:tr>
      <w:tr w14:paraId="5577C925">
        <w:tblPrEx>
          <w:tblCellMar>
            <w:top w:w="0" w:type="dxa"/>
            <w:left w:w="108" w:type="dxa"/>
            <w:bottom w:w="0" w:type="dxa"/>
            <w:right w:w="108" w:type="dxa"/>
          </w:tblCellMar>
        </w:tblPrEx>
        <w:tc>
          <w:tcPr>
            <w:tcW w:w="8848" w:type="dxa"/>
            <w:gridSpan w:val="14"/>
            <w:vAlign w:val="center"/>
          </w:tcPr>
          <w:p w14:paraId="3D0B3B8E">
            <w:pPr>
              <w:jc w:val="center"/>
            </w:pPr>
            <w:r>
              <w:rPr>
                <w:rFonts w:ascii="宋体" w:hAnsi="宋体" w:eastAsia="宋体"/>
                <w:sz w:val="24"/>
              </w:rPr>
              <w:t>(2024年度)</w:t>
            </w:r>
          </w:p>
        </w:tc>
      </w:tr>
      <w:tr w14:paraId="72909E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0B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2B99C0">
            <w:pPr>
              <w:jc w:val="center"/>
            </w:pPr>
            <w:r>
              <w:rPr>
                <w:rFonts w:ascii="宋体" w:hAnsi="宋体" w:eastAsia="宋体"/>
                <w:sz w:val="16"/>
              </w:rPr>
              <w:t>2024年第一书记及为民办实事经费</w:t>
            </w:r>
          </w:p>
        </w:tc>
      </w:tr>
      <w:tr w14:paraId="59F83C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51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5A493">
            <w:pPr>
              <w:jc w:val="center"/>
            </w:pPr>
            <w:r>
              <w:rPr>
                <w:rFonts w:ascii="宋体" w:hAnsi="宋体" w:eastAsia="宋体"/>
                <w:sz w:val="16"/>
              </w:rPr>
              <w:t>中共克孜勒苏柯尔克孜自治州工业和信息化局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7A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52B84A">
            <w:pPr>
              <w:jc w:val="center"/>
            </w:pPr>
            <w:r>
              <w:rPr>
                <w:rFonts w:ascii="宋体" w:hAnsi="宋体" w:eastAsia="宋体"/>
                <w:sz w:val="16"/>
              </w:rPr>
              <w:t>克孜勒苏柯尔克孜自治州工业和信息化局</w:t>
            </w:r>
          </w:p>
        </w:tc>
      </w:tr>
      <w:tr w14:paraId="0A7DB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925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38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F63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933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E3A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59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C5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194E">
            <w:pPr>
              <w:jc w:val="center"/>
            </w:pPr>
            <w:r>
              <w:rPr>
                <w:rFonts w:ascii="宋体" w:hAnsi="宋体" w:eastAsia="宋体"/>
                <w:sz w:val="16"/>
              </w:rPr>
              <w:t>得分</w:t>
            </w:r>
          </w:p>
        </w:tc>
      </w:tr>
      <w:tr w14:paraId="51EFE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DB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DE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063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DD1D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E048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A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9FC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490F">
            <w:pPr>
              <w:jc w:val="center"/>
            </w:pPr>
            <w:r>
              <w:rPr>
                <w:rFonts w:ascii="宋体" w:hAnsi="宋体" w:eastAsia="宋体"/>
                <w:sz w:val="16"/>
              </w:rPr>
              <w:t>10.00分</w:t>
            </w:r>
          </w:p>
        </w:tc>
      </w:tr>
      <w:tr w14:paraId="51E26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3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51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7352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3DB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7D5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16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5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B5F0">
            <w:pPr>
              <w:jc w:val="center"/>
            </w:pPr>
            <w:r>
              <w:rPr>
                <w:rFonts w:ascii="宋体" w:hAnsi="宋体" w:eastAsia="宋体"/>
                <w:sz w:val="16"/>
              </w:rPr>
              <w:t>—</w:t>
            </w:r>
          </w:p>
        </w:tc>
      </w:tr>
      <w:tr w14:paraId="550B4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0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C29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D0A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2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66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1A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AB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D01D">
            <w:pPr>
              <w:jc w:val="center"/>
            </w:pPr>
            <w:r>
              <w:rPr>
                <w:rFonts w:ascii="宋体" w:hAnsi="宋体" w:eastAsia="宋体"/>
                <w:sz w:val="16"/>
              </w:rPr>
              <w:t>—</w:t>
            </w:r>
          </w:p>
        </w:tc>
      </w:tr>
      <w:tr w14:paraId="2617C8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3A3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9A3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C9B347">
            <w:pPr>
              <w:jc w:val="center"/>
            </w:pPr>
            <w:r>
              <w:rPr>
                <w:rFonts w:ascii="宋体" w:hAnsi="宋体" w:eastAsia="宋体"/>
                <w:sz w:val="16"/>
              </w:rPr>
              <w:t>实际完成情况</w:t>
            </w:r>
          </w:p>
        </w:tc>
      </w:tr>
      <w:tr w14:paraId="0AAD0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AD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C8966">
            <w:pPr>
              <w:jc w:val="both"/>
            </w:pPr>
            <w:r>
              <w:rPr>
                <w:rFonts w:hint="eastAsia" w:ascii="宋体" w:hAnsi="宋体"/>
                <w:sz w:val="16"/>
                <w:lang w:eastAsia="zh-CN"/>
              </w:rPr>
              <w:t>本单位</w:t>
            </w:r>
            <w:r>
              <w:rPr>
                <w:rFonts w:ascii="宋体" w:hAnsi="宋体" w:eastAsia="宋体"/>
                <w:sz w:val="16"/>
              </w:rPr>
              <w:t>收到自治区下达资金17万元，其他资金0万元。主要用于开展各类文体活动、重大节日慰问活动、民族团结活动、积分制管理奖励活动、维修完善文化广场、扶持村集体产业发展等，通过该项目的实施，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C4D34D">
            <w:pPr>
              <w:jc w:val="both"/>
            </w:pPr>
            <w:r>
              <w:rPr>
                <w:rFonts w:hint="eastAsia" w:ascii="宋体" w:hAnsi="宋体"/>
                <w:sz w:val="16"/>
                <w:lang w:eastAsia="zh-CN"/>
              </w:rPr>
              <w:t>截至2024</w:t>
            </w:r>
            <w:r>
              <w:rPr>
                <w:rFonts w:ascii="宋体" w:hAnsi="宋体" w:eastAsia="宋体"/>
                <w:sz w:val="16"/>
              </w:rPr>
              <w:t>年12月31日，该项目为民办实事5件、开展活动5次、维修完善文化广场1次和扶持村集体产业发展1件，通过该项目的实施，提高群众幸福度和归属感。</w:t>
            </w:r>
          </w:p>
        </w:tc>
      </w:tr>
      <w:tr w14:paraId="20DE9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322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3D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07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5F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9A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EC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3B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C2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34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F3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FD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E4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1025">
            <w:pPr>
              <w:jc w:val="center"/>
            </w:pPr>
            <w:r>
              <w:rPr>
                <w:rFonts w:ascii="宋体" w:hAnsi="宋体" w:eastAsia="宋体"/>
                <w:sz w:val="16"/>
              </w:rPr>
              <w:t>偏差原因分析及改进措施</w:t>
            </w:r>
          </w:p>
        </w:tc>
      </w:tr>
      <w:tr w14:paraId="523AE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14F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953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208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949A">
            <w:pPr>
              <w:jc w:val="center"/>
            </w:pPr>
            <w:r>
              <w:rPr>
                <w:rFonts w:ascii="宋体" w:hAnsi="宋体" w:eastAsia="宋体"/>
                <w:sz w:val="16"/>
              </w:rPr>
              <w:t>为民办实事件数（件）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C1DF">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5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E68D">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AC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4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0285">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5F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3822">
            <w:pPr>
              <w:jc w:val="center"/>
            </w:pPr>
          </w:p>
        </w:tc>
      </w:tr>
      <w:tr w14:paraId="75BE7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0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E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34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15AD">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FE2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D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9C3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68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C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F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A3A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4F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3885">
            <w:pPr>
              <w:jc w:val="center"/>
            </w:pPr>
          </w:p>
        </w:tc>
      </w:tr>
      <w:tr w14:paraId="221D6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F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0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6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14B4">
            <w:pPr>
              <w:jc w:val="center"/>
            </w:pPr>
            <w:r>
              <w:rPr>
                <w:rFonts w:ascii="宋体" w:hAnsi="宋体" w:eastAsia="宋体"/>
                <w:sz w:val="16"/>
              </w:rPr>
              <w:t>维修完善文化广场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585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8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8B0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6E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2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D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ED7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48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2FE82">
            <w:pPr>
              <w:jc w:val="center"/>
            </w:pPr>
          </w:p>
        </w:tc>
      </w:tr>
      <w:tr w14:paraId="4E76F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D9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E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2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996C">
            <w:pPr>
              <w:jc w:val="center"/>
            </w:pPr>
            <w:r>
              <w:rPr>
                <w:rFonts w:ascii="宋体" w:hAnsi="宋体" w:eastAsia="宋体"/>
                <w:sz w:val="16"/>
              </w:rPr>
              <w:t>扶持村集体产业发展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F09F">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78B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66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3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6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A7E6">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BF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AD3FD">
            <w:pPr>
              <w:jc w:val="center"/>
            </w:pPr>
          </w:p>
        </w:tc>
      </w:tr>
      <w:tr w14:paraId="4AEF3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2D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886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81B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8E6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B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B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D2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4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B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A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8A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3B7C2">
            <w:pPr>
              <w:jc w:val="center"/>
            </w:pPr>
          </w:p>
        </w:tc>
      </w:tr>
      <w:tr w14:paraId="499BA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8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D2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B2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2AAA">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9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9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4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5B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2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2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4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0D0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3EDC">
            <w:pPr>
              <w:jc w:val="center"/>
            </w:pPr>
          </w:p>
        </w:tc>
      </w:tr>
      <w:tr w14:paraId="06F69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7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E4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D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50E">
            <w:pPr>
              <w:jc w:val="center"/>
            </w:pPr>
            <w:r>
              <w:rPr>
                <w:rFonts w:ascii="宋体" w:hAnsi="宋体" w:eastAsia="宋体"/>
                <w:sz w:val="16"/>
              </w:rPr>
              <w:t>维修文化广场验收质量合格率(%)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A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9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5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7A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9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B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C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FB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F05D">
            <w:pPr>
              <w:jc w:val="center"/>
            </w:pPr>
          </w:p>
        </w:tc>
      </w:tr>
      <w:tr w14:paraId="734D9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C5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98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D7E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C7B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3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C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7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62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E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2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4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13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D183">
            <w:pPr>
              <w:jc w:val="center"/>
            </w:pPr>
          </w:p>
        </w:tc>
      </w:tr>
      <w:tr w14:paraId="1E3EC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93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FC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CA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654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C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E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A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8C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6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9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C9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561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955A">
            <w:pPr>
              <w:jc w:val="center"/>
            </w:pPr>
          </w:p>
        </w:tc>
      </w:tr>
      <w:tr w14:paraId="64FF1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D93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F12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F22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B7D8">
            <w:pPr>
              <w:jc w:val="center"/>
            </w:pPr>
            <w:r>
              <w:rPr>
                <w:rFonts w:ascii="宋体" w:hAnsi="宋体" w:eastAsia="宋体"/>
                <w:sz w:val="16"/>
              </w:rPr>
              <w:t>开展慰问、活动经费（万元）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B40C">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9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B23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C2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4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9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1A23">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0AA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47478">
            <w:pPr>
              <w:jc w:val="center"/>
            </w:pPr>
          </w:p>
        </w:tc>
      </w:tr>
      <w:tr w14:paraId="054CD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44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C1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F4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0B36">
            <w:pPr>
              <w:jc w:val="center"/>
            </w:pPr>
            <w:r>
              <w:rPr>
                <w:rFonts w:ascii="宋体" w:hAnsi="宋体" w:eastAsia="宋体"/>
                <w:sz w:val="16"/>
              </w:rPr>
              <w:t>维修文化广场经费（万元）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988">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D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68D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42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E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0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A7F1">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7D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615A">
            <w:pPr>
              <w:jc w:val="center"/>
            </w:pPr>
          </w:p>
        </w:tc>
      </w:tr>
      <w:tr w14:paraId="6FA79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C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AE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1B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608F">
            <w:pPr>
              <w:jc w:val="center"/>
            </w:pPr>
            <w:r>
              <w:rPr>
                <w:rFonts w:ascii="宋体" w:hAnsi="宋体" w:eastAsia="宋体"/>
                <w:sz w:val="16"/>
              </w:rPr>
              <w:t>扶持村集体产业发展（万元）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0783">
            <w:pPr>
              <w:jc w:val="center"/>
            </w:pPr>
            <w:r>
              <w:rPr>
                <w:rFonts w:ascii="宋体" w:hAnsi="宋体" w:eastAsia="宋体"/>
                <w:sz w:val="16"/>
              </w:rPr>
              <w:t>&lt;=6.98万元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7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B2A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BA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9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4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B580">
            <w:pPr>
              <w:jc w:val="center"/>
            </w:pPr>
            <w:r>
              <w:rPr>
                <w:rFonts w:ascii="宋体" w:hAnsi="宋体" w:eastAsia="宋体"/>
                <w:sz w:val="16"/>
              </w:rPr>
              <w: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8B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68757">
            <w:pPr>
              <w:jc w:val="center"/>
            </w:pPr>
          </w:p>
        </w:tc>
      </w:tr>
      <w:tr w14:paraId="39A2E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03A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005F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465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2645">
            <w:pPr>
              <w:jc w:val="center"/>
            </w:pPr>
            <w:r>
              <w:rPr>
                <w:rFonts w:ascii="宋体" w:hAnsi="宋体" w:eastAsia="宋体"/>
                <w:sz w:val="16"/>
              </w:rPr>
              <w:t>保障基层工作情况需要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816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B76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0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BC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A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CD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4331">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2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890E2">
            <w:pPr>
              <w:jc w:val="center"/>
            </w:pPr>
          </w:p>
        </w:tc>
      </w:tr>
      <w:tr w14:paraId="29FBB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3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3F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7A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2F31">
            <w:pPr>
              <w:jc w:val="center"/>
            </w:pPr>
            <w:r>
              <w:rPr>
                <w:rFonts w:ascii="宋体" w:hAnsi="宋体" w:eastAsia="宋体"/>
                <w:sz w:val="16"/>
              </w:rPr>
              <w:t>有效提高农牧民的幸福指数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D4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6E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F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A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C6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F9C5">
            <w:pPr>
              <w:jc w:val="center"/>
            </w:pPr>
            <w:r>
              <w:rPr>
                <w:rFonts w:ascii="宋体" w:hAnsi="宋体" w:eastAsia="宋体"/>
                <w:sz w:val="16"/>
              </w:rPr>
              <w:t>有效提高</w:t>
            </w:r>
            <w:r>
              <w:rPr>
                <w:rFonts w:ascii="宋体" w:hAnsi="宋体" w:eastAsia="宋体"/>
                <w:sz w:val="16"/>
              </w:rPr>
              <w:tab/>
            </w: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6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39A59">
            <w:pPr>
              <w:jc w:val="center"/>
            </w:pPr>
          </w:p>
        </w:tc>
      </w:tr>
      <w:tr w14:paraId="1B813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A9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2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90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DF0D">
            <w:pPr>
              <w:jc w:val="center"/>
            </w:pPr>
            <w:r>
              <w:rPr>
                <w:rFonts w:ascii="宋体" w:hAnsi="宋体" w:eastAsia="宋体"/>
                <w:sz w:val="16"/>
              </w:rPr>
              <w:t>受益农牧民满意率(%)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B6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9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F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2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E5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DF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A1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03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03518">
            <w:pPr>
              <w:jc w:val="center"/>
            </w:pPr>
          </w:p>
        </w:tc>
      </w:tr>
      <w:tr w14:paraId="033A9D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47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E6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C7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7B7CD2">
            <w:pPr>
              <w:jc w:val="center"/>
            </w:pPr>
            <w:r>
              <w:rPr>
                <w:rFonts w:ascii="宋体" w:hAnsi="宋体" w:eastAsia="宋体"/>
                <w:sz w:val="16"/>
              </w:rPr>
              <w:t>100分</w:t>
            </w:r>
          </w:p>
        </w:tc>
      </w:tr>
    </w:tbl>
    <w:p w14:paraId="1D604E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79E378B">
        <w:tblPrEx>
          <w:tblCellMar>
            <w:top w:w="0" w:type="dxa"/>
            <w:left w:w="108" w:type="dxa"/>
            <w:bottom w:w="0" w:type="dxa"/>
            <w:right w:w="108" w:type="dxa"/>
          </w:tblCellMar>
        </w:tblPrEx>
        <w:tc>
          <w:tcPr>
            <w:tcW w:w="8848" w:type="dxa"/>
            <w:gridSpan w:val="14"/>
            <w:vAlign w:val="center"/>
          </w:tcPr>
          <w:p w14:paraId="344DDE87">
            <w:pPr>
              <w:jc w:val="center"/>
            </w:pPr>
            <w:r>
              <w:rPr>
                <w:rFonts w:ascii="宋体" w:hAnsi="宋体" w:eastAsia="宋体"/>
                <w:sz w:val="24"/>
              </w:rPr>
              <w:t>项目支出绩效自评表</w:t>
            </w:r>
          </w:p>
        </w:tc>
      </w:tr>
      <w:tr w14:paraId="486DD552">
        <w:tblPrEx>
          <w:tblCellMar>
            <w:top w:w="0" w:type="dxa"/>
            <w:left w:w="108" w:type="dxa"/>
            <w:bottom w:w="0" w:type="dxa"/>
            <w:right w:w="108" w:type="dxa"/>
          </w:tblCellMar>
        </w:tblPrEx>
        <w:tc>
          <w:tcPr>
            <w:tcW w:w="8848" w:type="dxa"/>
            <w:gridSpan w:val="14"/>
            <w:vAlign w:val="center"/>
          </w:tcPr>
          <w:p w14:paraId="2F7A2732">
            <w:pPr>
              <w:jc w:val="center"/>
            </w:pPr>
            <w:r>
              <w:rPr>
                <w:rFonts w:ascii="宋体" w:hAnsi="宋体" w:eastAsia="宋体"/>
                <w:sz w:val="24"/>
              </w:rPr>
              <w:t>(2024年度)</w:t>
            </w:r>
          </w:p>
        </w:tc>
      </w:tr>
      <w:tr w14:paraId="07C53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8C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AFBD6A">
            <w:pPr>
              <w:jc w:val="center"/>
            </w:pPr>
            <w:r>
              <w:rPr>
                <w:rFonts w:ascii="宋体" w:hAnsi="宋体" w:eastAsia="宋体"/>
                <w:sz w:val="16"/>
              </w:rPr>
              <w:t>其他资金户收入项目</w:t>
            </w:r>
          </w:p>
        </w:tc>
      </w:tr>
      <w:tr w14:paraId="3FD58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91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FC479">
            <w:pPr>
              <w:jc w:val="center"/>
            </w:pPr>
            <w:r>
              <w:rPr>
                <w:rFonts w:ascii="宋体" w:hAnsi="宋体" w:eastAsia="宋体"/>
                <w:sz w:val="16"/>
              </w:rPr>
              <w:t>中共克孜勒苏柯尔克孜自治州工业和信息化局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1D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D06279">
            <w:pPr>
              <w:jc w:val="center"/>
            </w:pPr>
            <w:r>
              <w:rPr>
                <w:rFonts w:ascii="宋体" w:hAnsi="宋体" w:eastAsia="宋体"/>
                <w:sz w:val="16"/>
              </w:rPr>
              <w:t>克孜勒苏柯尔克孜自治州工业和信息化局</w:t>
            </w:r>
          </w:p>
        </w:tc>
      </w:tr>
      <w:tr w14:paraId="1E8F41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3BA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41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B7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63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9BD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3E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2DE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041F">
            <w:pPr>
              <w:jc w:val="center"/>
            </w:pPr>
            <w:r>
              <w:rPr>
                <w:rFonts w:ascii="宋体" w:hAnsi="宋体" w:eastAsia="宋体"/>
                <w:sz w:val="16"/>
              </w:rPr>
              <w:t>得分</w:t>
            </w:r>
          </w:p>
        </w:tc>
      </w:tr>
      <w:tr w14:paraId="38009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FD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C6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1E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4A2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F0B7">
            <w:pPr>
              <w:jc w:val="center"/>
            </w:pPr>
            <w:r>
              <w:rPr>
                <w:rFonts w:ascii="宋体" w:hAnsi="宋体" w:eastAsia="宋体"/>
                <w:sz w:val="16"/>
              </w:rPr>
              <w:t>25.01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FC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BEACD">
            <w:pPr>
              <w:jc w:val="center"/>
            </w:pPr>
            <w:r>
              <w:rPr>
                <w:rFonts w:ascii="宋体" w:hAnsi="宋体" w:eastAsia="宋体"/>
                <w:sz w:val="16"/>
              </w:rPr>
              <w:t>83.4%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38CC">
            <w:pPr>
              <w:jc w:val="center"/>
            </w:pPr>
            <w:r>
              <w:rPr>
                <w:rFonts w:ascii="宋体" w:hAnsi="宋体" w:eastAsia="宋体"/>
                <w:sz w:val="16"/>
              </w:rPr>
              <w:t>5.84分</w:t>
            </w:r>
          </w:p>
        </w:tc>
      </w:tr>
      <w:tr w14:paraId="6968D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E6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8B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B4B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85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0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5DA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9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026F">
            <w:pPr>
              <w:jc w:val="center"/>
            </w:pPr>
            <w:r>
              <w:rPr>
                <w:rFonts w:ascii="宋体" w:hAnsi="宋体" w:eastAsia="宋体"/>
                <w:sz w:val="16"/>
              </w:rPr>
              <w:t>—</w:t>
            </w:r>
          </w:p>
        </w:tc>
      </w:tr>
      <w:tr w14:paraId="08E1D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A2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031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8F4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50C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03FA">
            <w:pPr>
              <w:jc w:val="center"/>
            </w:pPr>
            <w:r>
              <w:rPr>
                <w:rFonts w:ascii="宋体" w:hAnsi="宋体" w:eastAsia="宋体"/>
                <w:sz w:val="16"/>
              </w:rPr>
              <w:t>25.01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FC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B4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4F04">
            <w:pPr>
              <w:jc w:val="center"/>
            </w:pPr>
            <w:r>
              <w:rPr>
                <w:rFonts w:ascii="宋体" w:hAnsi="宋体" w:eastAsia="宋体"/>
                <w:sz w:val="16"/>
              </w:rPr>
              <w:t>—</w:t>
            </w:r>
          </w:p>
        </w:tc>
      </w:tr>
      <w:tr w14:paraId="79D95B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EE2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4C0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C9554">
            <w:pPr>
              <w:jc w:val="center"/>
            </w:pPr>
            <w:r>
              <w:rPr>
                <w:rFonts w:ascii="宋体" w:hAnsi="宋体" w:eastAsia="宋体"/>
                <w:sz w:val="16"/>
              </w:rPr>
              <w:t>实际完成情况</w:t>
            </w:r>
          </w:p>
        </w:tc>
      </w:tr>
      <w:tr w14:paraId="33E73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A7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4B690">
            <w:pPr>
              <w:jc w:val="both"/>
            </w:pPr>
            <w:r>
              <w:rPr>
                <w:rFonts w:ascii="宋体" w:hAnsi="宋体" w:eastAsia="宋体"/>
                <w:sz w:val="16"/>
              </w:rPr>
              <w:t>该项目资金30万元，其中：财政资金0万元，其他资金30万元，该项目资金主要用于对单位的办公经费、邮电费、差旅费、宣传费、印刷费、安保费等日常机关运行支出。通过该项目的实施，有效保障了单位的后勤工作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9A9F2">
            <w:pPr>
              <w:jc w:val="both"/>
            </w:pPr>
            <w:r>
              <w:rPr>
                <w:rFonts w:hint="eastAsia" w:ascii="宋体" w:hAnsi="宋体"/>
                <w:sz w:val="16"/>
                <w:lang w:eastAsia="zh-CN"/>
              </w:rPr>
              <w:t>截至</w:t>
            </w:r>
            <w:r>
              <w:rPr>
                <w:rFonts w:ascii="宋体" w:hAnsi="宋体" w:eastAsia="宋体"/>
                <w:sz w:val="16"/>
              </w:rPr>
              <w:t>2024年12月31日，该项活动开展2次、支付办公电话费3次，通过该项目的实施，有效保障了单位的后勤工作正常运行。</w:t>
            </w:r>
          </w:p>
        </w:tc>
      </w:tr>
      <w:tr w14:paraId="00BCB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8BC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A1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95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37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E8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82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DD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E2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07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EF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10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E7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6371">
            <w:pPr>
              <w:jc w:val="center"/>
            </w:pPr>
            <w:r>
              <w:rPr>
                <w:rFonts w:ascii="宋体" w:hAnsi="宋体" w:eastAsia="宋体"/>
                <w:sz w:val="16"/>
              </w:rPr>
              <w:t>偏差原因分析及改进措施</w:t>
            </w:r>
          </w:p>
        </w:tc>
      </w:tr>
      <w:tr w14:paraId="673EE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7DD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8CB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84B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B4BF">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C63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E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8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0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D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E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8A3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49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E439">
            <w:pPr>
              <w:jc w:val="center"/>
            </w:pPr>
          </w:p>
        </w:tc>
      </w:tr>
      <w:tr w14:paraId="47D9B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0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DE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AC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EDE9">
            <w:pPr>
              <w:jc w:val="center"/>
            </w:pPr>
            <w:r>
              <w:rPr>
                <w:rFonts w:ascii="宋体" w:hAnsi="宋体" w:eastAsia="宋体"/>
                <w:sz w:val="16"/>
              </w:rPr>
              <w:t>支付办公电话费次数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A3D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7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5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E2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1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A3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D48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1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57CF">
            <w:pPr>
              <w:jc w:val="center"/>
            </w:pPr>
          </w:p>
        </w:tc>
      </w:tr>
      <w:tr w14:paraId="7432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8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23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B3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2DDB">
            <w:pPr>
              <w:jc w:val="center"/>
            </w:pPr>
            <w:r>
              <w:rPr>
                <w:rFonts w:ascii="宋体" w:hAnsi="宋体" w:eastAsia="宋体"/>
                <w:sz w:val="16"/>
              </w:rPr>
              <w:t>宣传活动开展出勤率（%）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85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D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B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1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A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C8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45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6E55">
            <w:pPr>
              <w:jc w:val="center"/>
            </w:pPr>
          </w:p>
        </w:tc>
      </w:tr>
      <w:tr w14:paraId="6AE4F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FE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E2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D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6022">
            <w:pPr>
              <w:jc w:val="center"/>
            </w:pPr>
            <w:r>
              <w:rPr>
                <w:rFonts w:ascii="宋体" w:hAnsi="宋体" w:eastAsia="宋体"/>
                <w:sz w:val="16"/>
              </w:rPr>
              <w:t>宣传活动完成及时性（%）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97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B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A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B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7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E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10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D8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7515">
            <w:pPr>
              <w:jc w:val="center"/>
            </w:pPr>
          </w:p>
        </w:tc>
      </w:tr>
      <w:tr w14:paraId="5A13E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1C0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296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580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5941">
            <w:pPr>
              <w:jc w:val="center"/>
            </w:pPr>
            <w:r>
              <w:rPr>
                <w:rFonts w:ascii="宋体" w:hAnsi="宋体" w:eastAsia="宋体"/>
                <w:sz w:val="16"/>
              </w:rPr>
              <w:t>开展宣传活动费用（万元）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A8FD">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1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B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2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9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5F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07A8">
            <w:pPr>
              <w:jc w:val="center"/>
            </w:pPr>
            <w:r>
              <w:rPr>
                <w:rFonts w:ascii="宋体" w:hAnsi="宋体" w:eastAsia="宋体"/>
                <w:sz w:val="16"/>
              </w:rPr>
              <w:t>=22.01万元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0E00">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8F035">
            <w:pPr>
              <w:jc w:val="center"/>
            </w:pPr>
            <w:r>
              <w:rPr>
                <w:rFonts w:ascii="宋体" w:hAnsi="宋体" w:eastAsia="宋体"/>
                <w:sz w:val="16"/>
              </w:rPr>
              <w:t>偏差原因：严控办公经费支出，按照实际支出经费；改进措施：加强资金管理力度，严控各项经费支出。</w:t>
            </w:r>
          </w:p>
        </w:tc>
      </w:tr>
      <w:tr w14:paraId="32FCA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7D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1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1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5D67">
            <w:pPr>
              <w:jc w:val="center"/>
            </w:pPr>
            <w:r>
              <w:rPr>
                <w:rFonts w:ascii="宋体" w:hAnsi="宋体" w:eastAsia="宋体"/>
                <w:sz w:val="16"/>
              </w:rPr>
              <w:t>支付电话费额度（万元）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B3B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D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7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D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E1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CA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3EB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32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96E57">
            <w:pPr>
              <w:jc w:val="center"/>
            </w:pPr>
          </w:p>
        </w:tc>
      </w:tr>
      <w:tr w14:paraId="0A4DB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D0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A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1F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6DFA">
            <w:pPr>
              <w:jc w:val="center"/>
            </w:pPr>
            <w:r>
              <w:rPr>
                <w:rFonts w:ascii="宋体" w:hAnsi="宋体" w:eastAsia="宋体"/>
                <w:sz w:val="16"/>
              </w:rPr>
              <w:t>保障各项工作顺利开展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D1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B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9C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6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A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2B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AEA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0B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D87D">
            <w:pPr>
              <w:jc w:val="center"/>
            </w:pPr>
          </w:p>
        </w:tc>
      </w:tr>
      <w:tr w14:paraId="4D5A8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CA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BA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87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9BC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48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7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3F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4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EC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E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D3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EC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94C2">
            <w:pPr>
              <w:jc w:val="center"/>
            </w:pPr>
          </w:p>
        </w:tc>
      </w:tr>
      <w:tr w14:paraId="6793D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3D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6E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A91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2969A">
            <w:pPr>
              <w:jc w:val="center"/>
            </w:pPr>
            <w:r>
              <w:rPr>
                <w:rFonts w:ascii="宋体" w:hAnsi="宋体" w:eastAsia="宋体"/>
                <w:sz w:val="16"/>
              </w:rPr>
              <w:t>91.22分</w:t>
            </w:r>
          </w:p>
        </w:tc>
      </w:tr>
    </w:tbl>
    <w:p w14:paraId="0BB28C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7CC2BD2">
        <w:tblPrEx>
          <w:tblCellMar>
            <w:top w:w="0" w:type="dxa"/>
            <w:left w:w="108" w:type="dxa"/>
            <w:bottom w:w="0" w:type="dxa"/>
            <w:right w:w="108" w:type="dxa"/>
          </w:tblCellMar>
        </w:tblPrEx>
        <w:tc>
          <w:tcPr>
            <w:tcW w:w="8848" w:type="dxa"/>
            <w:gridSpan w:val="14"/>
            <w:vAlign w:val="center"/>
          </w:tcPr>
          <w:p w14:paraId="00E0BA8A">
            <w:pPr>
              <w:jc w:val="center"/>
            </w:pPr>
            <w:r>
              <w:rPr>
                <w:rFonts w:ascii="宋体" w:hAnsi="宋体" w:eastAsia="宋体"/>
                <w:sz w:val="24"/>
              </w:rPr>
              <w:t>项目支出绩效自评表</w:t>
            </w:r>
          </w:p>
        </w:tc>
      </w:tr>
      <w:tr w14:paraId="6C3126B7">
        <w:tblPrEx>
          <w:tblCellMar>
            <w:top w:w="0" w:type="dxa"/>
            <w:left w:w="108" w:type="dxa"/>
            <w:bottom w:w="0" w:type="dxa"/>
            <w:right w:w="108" w:type="dxa"/>
          </w:tblCellMar>
        </w:tblPrEx>
        <w:tc>
          <w:tcPr>
            <w:tcW w:w="8848" w:type="dxa"/>
            <w:gridSpan w:val="14"/>
            <w:vAlign w:val="center"/>
          </w:tcPr>
          <w:p w14:paraId="488EC523">
            <w:pPr>
              <w:jc w:val="center"/>
            </w:pPr>
            <w:r>
              <w:rPr>
                <w:rFonts w:ascii="宋体" w:hAnsi="宋体" w:eastAsia="宋体"/>
                <w:sz w:val="24"/>
              </w:rPr>
              <w:t>(2024年度)</w:t>
            </w:r>
          </w:p>
        </w:tc>
      </w:tr>
      <w:tr w14:paraId="13FB3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3F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281D01">
            <w:pPr>
              <w:jc w:val="center"/>
            </w:pPr>
            <w:r>
              <w:rPr>
                <w:rFonts w:ascii="宋体" w:hAnsi="宋体" w:eastAsia="宋体"/>
                <w:sz w:val="16"/>
              </w:rPr>
              <w:t>其他资金户结余资金项目</w:t>
            </w:r>
          </w:p>
        </w:tc>
      </w:tr>
      <w:tr w14:paraId="15C603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FC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80382">
            <w:pPr>
              <w:jc w:val="center"/>
            </w:pPr>
            <w:r>
              <w:rPr>
                <w:rFonts w:ascii="宋体" w:hAnsi="宋体" w:eastAsia="宋体"/>
                <w:sz w:val="16"/>
              </w:rPr>
              <w:t>中共克孜勒苏柯尔克孜自治州工业和信息化局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0D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71404">
            <w:pPr>
              <w:jc w:val="center"/>
            </w:pPr>
            <w:r>
              <w:rPr>
                <w:rFonts w:ascii="宋体" w:hAnsi="宋体" w:eastAsia="宋体"/>
                <w:sz w:val="16"/>
              </w:rPr>
              <w:t>克孜勒苏柯尔克孜自治州工业和信息化局</w:t>
            </w:r>
          </w:p>
        </w:tc>
      </w:tr>
      <w:tr w14:paraId="2B841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7F0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3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B9E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33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F1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F9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B31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9C19">
            <w:pPr>
              <w:jc w:val="center"/>
            </w:pPr>
            <w:r>
              <w:rPr>
                <w:rFonts w:ascii="宋体" w:hAnsi="宋体" w:eastAsia="宋体"/>
                <w:sz w:val="16"/>
              </w:rPr>
              <w:t>得分</w:t>
            </w:r>
          </w:p>
        </w:tc>
      </w:tr>
      <w:tr w14:paraId="6E5CA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FBB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1B4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B50BA">
            <w:pPr>
              <w:jc w:val="center"/>
            </w:pPr>
            <w:r>
              <w:rPr>
                <w:rFonts w:ascii="宋体" w:hAnsi="宋体" w:eastAsia="宋体"/>
                <w:sz w:val="16"/>
              </w:rPr>
              <w:t>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4931">
            <w:pPr>
              <w:jc w:val="center"/>
            </w:pPr>
            <w:r>
              <w:rPr>
                <w:rFonts w:ascii="宋体" w:hAnsi="宋体" w:eastAsia="宋体"/>
                <w:sz w:val="16"/>
              </w:rPr>
              <w:t>55.81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CC46">
            <w:pPr>
              <w:jc w:val="center"/>
            </w:pPr>
            <w:r>
              <w:rPr>
                <w:rFonts w:ascii="宋体" w:hAnsi="宋体" w:eastAsia="宋体"/>
                <w:sz w:val="16"/>
              </w:rPr>
              <w:t>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44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9B0E">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31AF">
            <w:pPr>
              <w:jc w:val="center"/>
            </w:pPr>
            <w:r>
              <w:rPr>
                <w:rFonts w:ascii="宋体" w:hAnsi="宋体" w:eastAsia="宋体"/>
                <w:sz w:val="16"/>
              </w:rPr>
              <w:t>9.45分</w:t>
            </w:r>
          </w:p>
        </w:tc>
      </w:tr>
      <w:tr w14:paraId="66D6F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6E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F1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AB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63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B1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AC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5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FC15">
            <w:pPr>
              <w:jc w:val="center"/>
            </w:pPr>
            <w:r>
              <w:rPr>
                <w:rFonts w:ascii="宋体" w:hAnsi="宋体" w:eastAsia="宋体"/>
                <w:sz w:val="16"/>
              </w:rPr>
              <w:t>—</w:t>
            </w:r>
          </w:p>
        </w:tc>
      </w:tr>
      <w:tr w14:paraId="1579E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D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CA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9F61">
            <w:pPr>
              <w:jc w:val="center"/>
            </w:pPr>
            <w:r>
              <w:rPr>
                <w:rFonts w:ascii="宋体" w:hAnsi="宋体" w:eastAsia="宋体"/>
                <w:sz w:val="16"/>
              </w:rPr>
              <w:t>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6C70">
            <w:pPr>
              <w:jc w:val="center"/>
            </w:pPr>
            <w:r>
              <w:rPr>
                <w:rFonts w:ascii="宋体" w:hAnsi="宋体" w:eastAsia="宋体"/>
                <w:sz w:val="16"/>
              </w:rPr>
              <w:t>55.81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6A13">
            <w:pPr>
              <w:jc w:val="center"/>
            </w:pPr>
            <w:r>
              <w:rPr>
                <w:rFonts w:ascii="宋体" w:hAnsi="宋体" w:eastAsia="宋体"/>
                <w:sz w:val="16"/>
              </w:rPr>
              <w:t>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0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0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4BD3">
            <w:pPr>
              <w:jc w:val="center"/>
            </w:pPr>
            <w:r>
              <w:rPr>
                <w:rFonts w:ascii="宋体" w:hAnsi="宋体" w:eastAsia="宋体"/>
                <w:sz w:val="16"/>
              </w:rPr>
              <w:t>—</w:t>
            </w:r>
          </w:p>
        </w:tc>
      </w:tr>
      <w:tr w14:paraId="74C60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1A5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6CA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E0DFF1">
            <w:pPr>
              <w:jc w:val="center"/>
            </w:pPr>
            <w:r>
              <w:rPr>
                <w:rFonts w:ascii="宋体" w:hAnsi="宋体" w:eastAsia="宋体"/>
                <w:sz w:val="16"/>
              </w:rPr>
              <w:t>实际完成情况</w:t>
            </w:r>
          </w:p>
        </w:tc>
      </w:tr>
      <w:tr w14:paraId="064E9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2F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51502">
            <w:pPr>
              <w:jc w:val="both"/>
            </w:pPr>
            <w:r>
              <w:rPr>
                <w:rFonts w:ascii="宋体" w:hAnsi="宋体" w:eastAsia="宋体"/>
                <w:sz w:val="16"/>
              </w:rPr>
              <w:t>该项目资金55.81万元，其中：财政资金0万元，其他资金55.81万元， 该项目资金主要用于对单位的办公经费、差旅费、邮电费、宣传费、印刷费、安保费等日常机关运行支出。通过该项目的实施，有效保障了单位的后勤工作正常运行。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293E7">
            <w:pPr>
              <w:jc w:val="both"/>
            </w:pPr>
            <w:r>
              <w:rPr>
                <w:rFonts w:hint="eastAsia" w:ascii="宋体" w:hAnsi="宋体"/>
                <w:sz w:val="16"/>
                <w:lang w:eastAsia="zh-CN"/>
              </w:rPr>
              <w:t>截至2024</w:t>
            </w:r>
            <w:r>
              <w:rPr>
                <w:rFonts w:ascii="宋体" w:hAnsi="宋体" w:eastAsia="宋体"/>
                <w:sz w:val="16"/>
              </w:rPr>
              <w:t>年12月31日， 该项目资金用于支付办公用品3次、支付电话费3次、支付安保费用3次等日常机关运行支出，有效保障了单位的后勤工作正常运行。</w:t>
            </w:r>
          </w:p>
        </w:tc>
      </w:tr>
      <w:tr w14:paraId="5E418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50B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B3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DA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C3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D7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6B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1A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7D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1E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56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69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8E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0BBF">
            <w:pPr>
              <w:jc w:val="center"/>
            </w:pPr>
            <w:r>
              <w:rPr>
                <w:rFonts w:ascii="宋体" w:hAnsi="宋体" w:eastAsia="宋体"/>
                <w:sz w:val="16"/>
              </w:rPr>
              <w:t>偏差原因分析及改进措施</w:t>
            </w:r>
          </w:p>
        </w:tc>
      </w:tr>
      <w:tr w14:paraId="1F0DC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BE6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A15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215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86A9">
            <w:pPr>
              <w:jc w:val="center"/>
            </w:pPr>
            <w:r>
              <w:rPr>
                <w:rFonts w:ascii="宋体" w:hAnsi="宋体" w:eastAsia="宋体"/>
                <w:sz w:val="16"/>
              </w:rPr>
              <w:t>支付办公用品次数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823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7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D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B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E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8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ED5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84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5AE5">
            <w:pPr>
              <w:jc w:val="center"/>
            </w:pPr>
          </w:p>
        </w:tc>
      </w:tr>
      <w:tr w14:paraId="31F72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1A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CD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BD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5B68">
            <w:pPr>
              <w:jc w:val="center"/>
            </w:pPr>
            <w:r>
              <w:rPr>
                <w:rFonts w:ascii="宋体" w:hAnsi="宋体" w:eastAsia="宋体"/>
                <w:sz w:val="16"/>
              </w:rPr>
              <w:t>支付电话费次数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B65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6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7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19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D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6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BAE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26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BED5">
            <w:pPr>
              <w:jc w:val="center"/>
            </w:pPr>
          </w:p>
        </w:tc>
      </w:tr>
      <w:tr w14:paraId="7ADD6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D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80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0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FD42">
            <w:pPr>
              <w:jc w:val="center"/>
            </w:pPr>
            <w:r>
              <w:rPr>
                <w:rFonts w:ascii="宋体" w:hAnsi="宋体" w:eastAsia="宋体"/>
                <w:sz w:val="16"/>
              </w:rPr>
              <w:t>支付安保费用次数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692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B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2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67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E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B7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FF5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6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D6A9">
            <w:pPr>
              <w:jc w:val="center"/>
            </w:pPr>
          </w:p>
        </w:tc>
      </w:tr>
      <w:tr w14:paraId="5838B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7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FA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17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E1CA">
            <w:pPr>
              <w:jc w:val="center"/>
            </w:pPr>
            <w:r>
              <w:rPr>
                <w:rFonts w:ascii="宋体" w:hAnsi="宋体" w:eastAsia="宋体"/>
                <w:sz w:val="16"/>
              </w:rPr>
              <w:t>开展安保活动次数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B10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0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8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4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3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0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4E7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E9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64A8">
            <w:pPr>
              <w:jc w:val="center"/>
            </w:pPr>
          </w:p>
        </w:tc>
      </w:tr>
      <w:tr w14:paraId="43023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CD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22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AF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468F">
            <w:pPr>
              <w:jc w:val="center"/>
            </w:pPr>
            <w:r>
              <w:rPr>
                <w:rFonts w:ascii="宋体" w:hAnsi="宋体" w:eastAsia="宋体"/>
                <w:sz w:val="16"/>
              </w:rPr>
              <w:t>办公用品使用</w:t>
            </w:r>
            <w:r>
              <w:rPr>
                <w:rFonts w:hint="eastAsia" w:ascii="宋体" w:hAnsi="宋体"/>
                <w:sz w:val="16"/>
                <w:lang w:eastAsia="zh-CN"/>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BB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6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A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D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8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0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73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53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ED6B">
            <w:pPr>
              <w:jc w:val="center"/>
            </w:pPr>
          </w:p>
        </w:tc>
      </w:tr>
      <w:tr w14:paraId="61D2F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30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E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46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F7B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37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3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7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1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0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47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EFA5">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BAB9">
            <w:pPr>
              <w:jc w:val="center"/>
            </w:pPr>
            <w:r>
              <w:rPr>
                <w:rFonts w:ascii="宋体" w:hAnsi="宋体" w:eastAsia="宋体"/>
                <w:sz w:val="16"/>
              </w:rPr>
              <w:t>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6536E">
            <w:pPr>
              <w:jc w:val="center"/>
            </w:pPr>
            <w:r>
              <w:rPr>
                <w:rFonts w:ascii="宋体" w:hAnsi="宋体" w:eastAsia="宋体"/>
                <w:sz w:val="16"/>
              </w:rPr>
              <w:t>偏差原因：资金支付不及时导致及时率下降；改进措施：加强资金管理力度，及时支付各项支出。</w:t>
            </w:r>
          </w:p>
        </w:tc>
      </w:tr>
      <w:tr w14:paraId="4BE1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51F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88B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A0D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EDF4">
            <w:pPr>
              <w:jc w:val="center"/>
            </w:pPr>
            <w:r>
              <w:rPr>
                <w:rFonts w:ascii="宋体" w:hAnsi="宋体" w:eastAsia="宋体"/>
                <w:sz w:val="16"/>
              </w:rPr>
              <w:t>支付保安费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D69C">
            <w:pPr>
              <w:jc w:val="center"/>
            </w:pPr>
            <w:r>
              <w:rPr>
                <w:rFonts w:ascii="宋体" w:hAnsi="宋体" w:eastAsia="宋体"/>
                <w:sz w:val="16"/>
              </w:rPr>
              <w:t>&lt;=6.13万元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4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3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F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2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51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0C33">
            <w:pPr>
              <w:jc w:val="center"/>
            </w:pPr>
            <w:r>
              <w:rPr>
                <w:rFonts w:ascii="宋体" w:hAnsi="宋体" w:eastAsia="宋体"/>
                <w:sz w:val="16"/>
              </w:rPr>
              <w:t>=6.13万元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BB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7016">
            <w:pPr>
              <w:jc w:val="center"/>
            </w:pPr>
          </w:p>
        </w:tc>
      </w:tr>
      <w:tr w14:paraId="5B605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62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C3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8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9F52">
            <w:pPr>
              <w:jc w:val="center"/>
            </w:pPr>
            <w:r>
              <w:rPr>
                <w:rFonts w:ascii="宋体" w:hAnsi="宋体" w:eastAsia="宋体"/>
                <w:sz w:val="16"/>
              </w:rPr>
              <w:t>购买办公用品及差旅费用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02B3">
            <w:pPr>
              <w:jc w:val="center"/>
            </w:pPr>
            <w:r>
              <w:rPr>
                <w:rFonts w:ascii="宋体" w:hAnsi="宋体" w:eastAsia="宋体"/>
                <w:sz w:val="16"/>
              </w:rPr>
              <w:t>&lt;=49.68万元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C6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4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F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E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DF75">
            <w:pPr>
              <w:jc w:val="center"/>
            </w:pPr>
            <w:r>
              <w:rPr>
                <w:rFonts w:ascii="宋体" w:hAnsi="宋体" w:eastAsia="宋体"/>
                <w:sz w:val="16"/>
              </w:rPr>
              <w:t>=48.44万元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8A6A">
            <w:pPr>
              <w:jc w:val="center"/>
            </w:pPr>
            <w:r>
              <w:rPr>
                <w:rFonts w:ascii="宋体" w:hAnsi="宋体" w:eastAsia="宋体"/>
                <w:sz w:val="16"/>
              </w:rPr>
              <w:t>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DC4D2">
            <w:pPr>
              <w:jc w:val="center"/>
            </w:pPr>
            <w:r>
              <w:rPr>
                <w:rFonts w:ascii="宋体" w:hAnsi="宋体" w:eastAsia="宋体"/>
                <w:sz w:val="16"/>
              </w:rPr>
              <w:t>偏差原因：严格控制办公经费各项支出，</w:t>
            </w:r>
            <w:r>
              <w:rPr>
                <w:rFonts w:hint="eastAsia" w:ascii="宋体" w:hAnsi="宋体"/>
                <w:sz w:val="16"/>
                <w:lang w:eastAsia="zh-CN"/>
              </w:rPr>
              <w:t>减少</w:t>
            </w:r>
            <w:r>
              <w:rPr>
                <w:rFonts w:ascii="宋体" w:hAnsi="宋体" w:eastAsia="宋体"/>
                <w:sz w:val="16"/>
              </w:rPr>
              <w:t>办公经费支出；改进措施：加强资金管理力度，按时支付各项支出。</w:t>
            </w:r>
          </w:p>
        </w:tc>
      </w:tr>
      <w:tr w14:paraId="2BADD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59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E2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75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B4A4">
            <w:pPr>
              <w:jc w:val="center"/>
            </w:pPr>
            <w:r>
              <w:rPr>
                <w:rFonts w:ascii="宋体" w:hAnsi="宋体" w:eastAsia="宋体"/>
                <w:sz w:val="16"/>
              </w:rPr>
              <w:t>保障各项工作顺利开展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B2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9B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B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8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9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BA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F1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D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7708F">
            <w:pPr>
              <w:jc w:val="center"/>
            </w:pPr>
          </w:p>
        </w:tc>
      </w:tr>
      <w:tr w14:paraId="25849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F9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59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D5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066D">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98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1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4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27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71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5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29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B5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B156">
            <w:pPr>
              <w:jc w:val="center"/>
            </w:pPr>
          </w:p>
        </w:tc>
      </w:tr>
      <w:tr w14:paraId="18BC6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E1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59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35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94A09">
            <w:pPr>
              <w:jc w:val="center"/>
            </w:pPr>
            <w:r>
              <w:rPr>
                <w:rFonts w:ascii="宋体" w:hAnsi="宋体" w:eastAsia="宋体"/>
                <w:sz w:val="16"/>
              </w:rPr>
              <w:t>98.55分</w:t>
            </w:r>
          </w:p>
        </w:tc>
      </w:tr>
    </w:tbl>
    <w:p w14:paraId="27DD45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43037AD">
        <w:tblPrEx>
          <w:tblCellMar>
            <w:top w:w="0" w:type="dxa"/>
            <w:left w:w="108" w:type="dxa"/>
            <w:bottom w:w="0" w:type="dxa"/>
            <w:right w:w="108" w:type="dxa"/>
          </w:tblCellMar>
        </w:tblPrEx>
        <w:tc>
          <w:tcPr>
            <w:tcW w:w="8848" w:type="dxa"/>
            <w:gridSpan w:val="14"/>
            <w:vAlign w:val="center"/>
          </w:tcPr>
          <w:p w14:paraId="05C523C4">
            <w:pPr>
              <w:jc w:val="center"/>
            </w:pPr>
            <w:r>
              <w:rPr>
                <w:rFonts w:ascii="宋体" w:hAnsi="宋体" w:eastAsia="宋体"/>
                <w:sz w:val="24"/>
              </w:rPr>
              <w:t>项目支出绩效自评表</w:t>
            </w:r>
          </w:p>
        </w:tc>
      </w:tr>
      <w:tr w14:paraId="0193FF24">
        <w:tblPrEx>
          <w:tblCellMar>
            <w:top w:w="0" w:type="dxa"/>
            <w:left w:w="108" w:type="dxa"/>
            <w:bottom w:w="0" w:type="dxa"/>
            <w:right w:w="108" w:type="dxa"/>
          </w:tblCellMar>
        </w:tblPrEx>
        <w:tc>
          <w:tcPr>
            <w:tcW w:w="8848" w:type="dxa"/>
            <w:gridSpan w:val="14"/>
            <w:vAlign w:val="center"/>
          </w:tcPr>
          <w:p w14:paraId="56576D28">
            <w:pPr>
              <w:jc w:val="center"/>
            </w:pPr>
            <w:r>
              <w:rPr>
                <w:rFonts w:ascii="宋体" w:hAnsi="宋体" w:eastAsia="宋体"/>
                <w:sz w:val="24"/>
              </w:rPr>
              <w:t>(2024年度)</w:t>
            </w:r>
          </w:p>
        </w:tc>
      </w:tr>
      <w:tr w14:paraId="23E087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3E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B76857">
            <w:pPr>
              <w:jc w:val="center"/>
            </w:pPr>
            <w:r>
              <w:rPr>
                <w:rFonts w:ascii="宋体" w:hAnsi="宋体" w:eastAsia="宋体"/>
                <w:sz w:val="16"/>
              </w:rPr>
              <w:t>工业领域安全生产整治项目</w:t>
            </w:r>
          </w:p>
        </w:tc>
      </w:tr>
      <w:tr w14:paraId="25FE81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A8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AAD0D">
            <w:pPr>
              <w:jc w:val="center"/>
            </w:pPr>
            <w:r>
              <w:rPr>
                <w:rFonts w:ascii="宋体" w:hAnsi="宋体" w:eastAsia="宋体"/>
                <w:sz w:val="16"/>
              </w:rPr>
              <w:t>克孜勒苏柯尔克孜自治州工业和信息化局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FC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C71A2">
            <w:pPr>
              <w:jc w:val="center"/>
            </w:pPr>
            <w:r>
              <w:rPr>
                <w:rFonts w:ascii="宋体" w:hAnsi="宋体" w:eastAsia="宋体"/>
                <w:sz w:val="16"/>
              </w:rPr>
              <w:t>克孜勒苏柯尔克孜自治州工业和信息化局</w:t>
            </w:r>
          </w:p>
        </w:tc>
      </w:tr>
      <w:tr w14:paraId="3B234D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44A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4F4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32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B4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BB2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B28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AF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5131">
            <w:pPr>
              <w:jc w:val="center"/>
            </w:pPr>
            <w:r>
              <w:rPr>
                <w:rFonts w:ascii="宋体" w:hAnsi="宋体" w:eastAsia="宋体"/>
                <w:sz w:val="16"/>
              </w:rPr>
              <w:t>得分</w:t>
            </w:r>
          </w:p>
        </w:tc>
      </w:tr>
      <w:tr w14:paraId="57CA4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139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D3E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A3A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21B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99B8">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D4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90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9918">
            <w:pPr>
              <w:jc w:val="center"/>
            </w:pPr>
            <w:r>
              <w:rPr>
                <w:rFonts w:ascii="宋体" w:hAnsi="宋体" w:eastAsia="宋体"/>
                <w:sz w:val="16"/>
              </w:rPr>
              <w:t>10.00分</w:t>
            </w:r>
          </w:p>
        </w:tc>
      </w:tr>
      <w:tr w14:paraId="346FE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B6E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3A1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22A6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D92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677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114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5C2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DAE9">
            <w:pPr>
              <w:jc w:val="center"/>
            </w:pPr>
            <w:r>
              <w:rPr>
                <w:rFonts w:ascii="宋体" w:hAnsi="宋体" w:eastAsia="宋体"/>
                <w:sz w:val="16"/>
              </w:rPr>
              <w:t>—</w:t>
            </w:r>
          </w:p>
        </w:tc>
      </w:tr>
      <w:tr w14:paraId="424EB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F0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1C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BB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5BD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90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7D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F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2E2A">
            <w:pPr>
              <w:jc w:val="center"/>
            </w:pPr>
            <w:r>
              <w:rPr>
                <w:rFonts w:ascii="宋体" w:hAnsi="宋体" w:eastAsia="宋体"/>
                <w:sz w:val="16"/>
              </w:rPr>
              <w:t>—</w:t>
            </w:r>
          </w:p>
        </w:tc>
      </w:tr>
      <w:tr w14:paraId="7E43DF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6E9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0C2D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DCB83">
            <w:pPr>
              <w:jc w:val="center"/>
            </w:pPr>
            <w:r>
              <w:rPr>
                <w:rFonts w:ascii="宋体" w:hAnsi="宋体" w:eastAsia="宋体"/>
                <w:sz w:val="16"/>
              </w:rPr>
              <w:t>实际完成情况</w:t>
            </w:r>
          </w:p>
        </w:tc>
      </w:tr>
      <w:tr w14:paraId="4BC29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078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F93F0">
            <w:pPr>
              <w:jc w:val="both"/>
            </w:pPr>
            <w:r>
              <w:rPr>
                <w:rFonts w:ascii="宋体" w:hAnsi="宋体" w:eastAsia="宋体"/>
                <w:sz w:val="16"/>
              </w:rPr>
              <w:t>该项目总投资8万元，其中：财政资金8万元。主要用于对各县(市）园区和民爆、重点工业企业及物流寄递业等企业开展全覆盖、拉网式安全生产大排查、大整治工作，查找出企业存在的安全隐患，为企业稳生产、保安全创造良好的生产环境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1C249">
            <w:pPr>
              <w:jc w:val="both"/>
            </w:pPr>
            <w:r>
              <w:rPr>
                <w:rFonts w:hint="eastAsia" w:ascii="宋体" w:hAnsi="宋体"/>
                <w:sz w:val="16"/>
                <w:lang w:eastAsia="zh-CN"/>
              </w:rPr>
              <w:t>截至</w:t>
            </w:r>
            <w:r>
              <w:rPr>
                <w:rFonts w:ascii="宋体" w:hAnsi="宋体" w:eastAsia="宋体"/>
                <w:sz w:val="16"/>
              </w:rPr>
              <w:t>2024年12月31日，该项目共开展专项会议2次、工业企业安全生产检查8次、工业园区安全生产检查8次、民爆检查4次、物流寄递检查1次、盐业检查1次、环保检查2次、安全生产宣传及培训1次。通过对各县(市）园区和民爆、重点工业企业及物流寄递业等企业开展全覆盖、拉网式安全生产大排查、大整治工作，查找出企业存在的安全隐患，为企业稳生产、保安全创造良好的生产环境的效果。</w:t>
            </w:r>
          </w:p>
        </w:tc>
      </w:tr>
      <w:tr w14:paraId="47370F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C0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F5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16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66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97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B8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1D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FF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2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8F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93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56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C905">
            <w:pPr>
              <w:jc w:val="center"/>
            </w:pPr>
            <w:r>
              <w:rPr>
                <w:rFonts w:ascii="宋体" w:hAnsi="宋体" w:eastAsia="宋体"/>
                <w:sz w:val="16"/>
              </w:rPr>
              <w:t>偏差原因分析及改进措施</w:t>
            </w:r>
          </w:p>
        </w:tc>
      </w:tr>
      <w:tr w14:paraId="59DDAB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721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89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153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1DD5">
            <w:pPr>
              <w:jc w:val="center"/>
            </w:pPr>
            <w:r>
              <w:rPr>
                <w:rFonts w:ascii="宋体" w:hAnsi="宋体" w:eastAsia="宋体"/>
                <w:sz w:val="16"/>
              </w:rPr>
              <w:t>开展专项会议次数（次）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19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6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F19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9B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A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A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43A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6DC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DFC9">
            <w:pPr>
              <w:jc w:val="center"/>
            </w:pPr>
          </w:p>
        </w:tc>
      </w:tr>
      <w:tr w14:paraId="758EF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0A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B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33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1AB4">
            <w:pPr>
              <w:jc w:val="center"/>
            </w:pPr>
            <w:r>
              <w:rPr>
                <w:rFonts w:ascii="宋体" w:hAnsi="宋体" w:eastAsia="宋体"/>
                <w:sz w:val="16"/>
              </w:rPr>
              <w:t>工业企业安全生产检查（次）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0740">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A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F55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AF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3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9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B25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2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F6D7">
            <w:pPr>
              <w:jc w:val="center"/>
            </w:pPr>
          </w:p>
        </w:tc>
      </w:tr>
      <w:tr w14:paraId="40E2C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6B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67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E3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2668">
            <w:pPr>
              <w:jc w:val="center"/>
            </w:pPr>
            <w:r>
              <w:rPr>
                <w:rFonts w:ascii="宋体" w:hAnsi="宋体" w:eastAsia="宋体"/>
                <w:sz w:val="16"/>
              </w:rPr>
              <w:t>工业园区安全生产检查次（次）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593E">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D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E08">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A3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5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866A">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14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AF35">
            <w:pPr>
              <w:jc w:val="center"/>
            </w:pPr>
          </w:p>
        </w:tc>
      </w:tr>
      <w:tr w14:paraId="310FF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D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6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93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ECD3">
            <w:pPr>
              <w:jc w:val="center"/>
            </w:pPr>
            <w:r>
              <w:rPr>
                <w:rFonts w:ascii="宋体" w:hAnsi="宋体" w:eastAsia="宋体"/>
                <w:sz w:val="16"/>
              </w:rPr>
              <w:t>民爆检查（次）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32D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5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60D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0D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6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D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798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A8E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A5A4">
            <w:pPr>
              <w:jc w:val="center"/>
            </w:pPr>
          </w:p>
        </w:tc>
      </w:tr>
      <w:tr w14:paraId="352A5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1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67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7C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562E">
            <w:pPr>
              <w:jc w:val="center"/>
            </w:pPr>
            <w:r>
              <w:rPr>
                <w:rFonts w:ascii="宋体" w:hAnsi="宋体" w:eastAsia="宋体"/>
                <w:sz w:val="16"/>
              </w:rPr>
              <w:t>物流寄递检查（次）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179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C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83D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C7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3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D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7B8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E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E4D48">
            <w:pPr>
              <w:jc w:val="center"/>
            </w:pPr>
            <w:r>
              <w:rPr>
                <w:rFonts w:ascii="宋体" w:hAnsi="宋体" w:eastAsia="宋体"/>
                <w:sz w:val="16"/>
              </w:rPr>
              <w:t>原因分析：物流检查次数较少；整改措施：加大物流寄递检查力度。</w:t>
            </w:r>
          </w:p>
        </w:tc>
      </w:tr>
      <w:tr w14:paraId="3F996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3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1B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8F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FC2F">
            <w:pPr>
              <w:jc w:val="center"/>
            </w:pPr>
            <w:r>
              <w:rPr>
                <w:rFonts w:ascii="宋体" w:hAnsi="宋体" w:eastAsia="宋体"/>
                <w:sz w:val="16"/>
              </w:rPr>
              <w:t>盐业检查（次）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060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B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48D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5C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3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B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CB4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1E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45CD">
            <w:pPr>
              <w:jc w:val="center"/>
            </w:pPr>
            <w:r>
              <w:rPr>
                <w:rFonts w:ascii="宋体" w:hAnsi="宋体" w:eastAsia="宋体"/>
                <w:sz w:val="16"/>
              </w:rPr>
              <w:t>原因分析：盐业管理检查次数较少；整改措施：加大食盐专营检查力度。</w:t>
            </w:r>
          </w:p>
        </w:tc>
      </w:tr>
      <w:tr w14:paraId="228EC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F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95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F2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F9D3">
            <w:pPr>
              <w:jc w:val="center"/>
            </w:pPr>
            <w:r>
              <w:rPr>
                <w:rFonts w:ascii="宋体" w:hAnsi="宋体" w:eastAsia="宋体"/>
                <w:sz w:val="16"/>
              </w:rPr>
              <w:t>环保检查（次）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684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F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D70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7B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2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D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DD2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46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EF73">
            <w:pPr>
              <w:jc w:val="center"/>
            </w:pPr>
          </w:p>
        </w:tc>
      </w:tr>
      <w:tr w14:paraId="318BD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94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89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30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7DC2">
            <w:pPr>
              <w:jc w:val="center"/>
            </w:pPr>
            <w:r>
              <w:rPr>
                <w:rFonts w:ascii="宋体" w:hAnsi="宋体" w:eastAsia="宋体"/>
                <w:sz w:val="16"/>
              </w:rPr>
              <w:t>安全生产宣传及培训（次）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1D9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4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838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03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F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2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45A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77B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35EE">
            <w:pPr>
              <w:jc w:val="center"/>
            </w:pPr>
          </w:p>
        </w:tc>
      </w:tr>
      <w:tr w14:paraId="540DC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2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0F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37B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D341">
            <w:pPr>
              <w:jc w:val="center"/>
            </w:pPr>
            <w:r>
              <w:rPr>
                <w:rFonts w:ascii="宋体" w:hAnsi="宋体" w:eastAsia="宋体"/>
                <w:sz w:val="16"/>
              </w:rPr>
              <w:t>开展专项会议参会率（%）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85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8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4F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CB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D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45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95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687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55746">
            <w:pPr>
              <w:jc w:val="center"/>
            </w:pPr>
          </w:p>
        </w:tc>
      </w:tr>
      <w:tr w14:paraId="23DCB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B1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CE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02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C361">
            <w:pPr>
              <w:jc w:val="center"/>
            </w:pPr>
            <w:r>
              <w:rPr>
                <w:rFonts w:ascii="宋体" w:hAnsi="宋体" w:eastAsia="宋体"/>
                <w:sz w:val="16"/>
              </w:rPr>
              <w:t>开展各项安全生产检查覆盖率（%）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20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2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A1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DC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9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7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E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926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19359">
            <w:pPr>
              <w:jc w:val="center"/>
            </w:pPr>
          </w:p>
        </w:tc>
      </w:tr>
      <w:tr w14:paraId="4C4BF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5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84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2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FC3D">
            <w:pPr>
              <w:jc w:val="center"/>
            </w:pPr>
            <w:r>
              <w:rPr>
                <w:rFonts w:ascii="宋体" w:hAnsi="宋体" w:eastAsia="宋体"/>
                <w:sz w:val="16"/>
              </w:rPr>
              <w:t>开展安全生产宣传及培训出勤率（%）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3B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0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6B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8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E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0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CB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40A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50780">
            <w:pPr>
              <w:jc w:val="center"/>
            </w:pPr>
          </w:p>
        </w:tc>
      </w:tr>
      <w:tr w14:paraId="26F75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7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F29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3BB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9C9A">
            <w:pPr>
              <w:jc w:val="center"/>
            </w:pPr>
            <w:r>
              <w:rPr>
                <w:rFonts w:ascii="宋体" w:hAnsi="宋体" w:eastAsia="宋体"/>
                <w:sz w:val="16"/>
              </w:rPr>
              <w:t>开展专项会议及时率（%）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C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E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34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71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7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F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99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501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6AAA">
            <w:pPr>
              <w:jc w:val="center"/>
            </w:pPr>
          </w:p>
        </w:tc>
      </w:tr>
      <w:tr w14:paraId="60DCD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5E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4B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7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F8BD">
            <w:pPr>
              <w:jc w:val="center"/>
            </w:pPr>
            <w:r>
              <w:rPr>
                <w:rFonts w:ascii="宋体" w:hAnsi="宋体" w:eastAsia="宋体"/>
                <w:sz w:val="16"/>
              </w:rPr>
              <w:t>开展各项安全生产检查按期完成率（%）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3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7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6F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98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5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A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7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13A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4D76">
            <w:pPr>
              <w:jc w:val="center"/>
            </w:pPr>
          </w:p>
        </w:tc>
      </w:tr>
      <w:tr w14:paraId="72E08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89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A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61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1825">
            <w:pPr>
              <w:jc w:val="center"/>
            </w:pPr>
            <w:r>
              <w:rPr>
                <w:rFonts w:ascii="宋体" w:hAnsi="宋体" w:eastAsia="宋体"/>
                <w:sz w:val="16"/>
              </w:rPr>
              <w:t>开展安全生产宣传及培训完成率（%）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A6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F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1F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6F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D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0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05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AB0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44C3">
            <w:pPr>
              <w:jc w:val="center"/>
            </w:pPr>
          </w:p>
        </w:tc>
      </w:tr>
      <w:tr w14:paraId="7506D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F20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EA7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3FF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A22D">
            <w:pPr>
              <w:jc w:val="center"/>
            </w:pPr>
            <w:r>
              <w:rPr>
                <w:rFonts w:ascii="宋体" w:hAnsi="宋体" w:eastAsia="宋体"/>
                <w:sz w:val="16"/>
              </w:rPr>
              <w:t>开展专项会议相关费用（万元）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227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38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2DA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C0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E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B4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DB5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8F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E42F">
            <w:pPr>
              <w:jc w:val="center"/>
            </w:pPr>
          </w:p>
        </w:tc>
      </w:tr>
      <w:tr w14:paraId="02E87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2D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00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BB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862A">
            <w:pPr>
              <w:jc w:val="center"/>
            </w:pPr>
            <w:r>
              <w:rPr>
                <w:rFonts w:ascii="宋体" w:hAnsi="宋体" w:eastAsia="宋体"/>
                <w:sz w:val="16"/>
              </w:rPr>
              <w:t>开展专项检查相关费用（万元）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794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3E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C87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6F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E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1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100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FE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8E9B">
            <w:pPr>
              <w:jc w:val="center"/>
            </w:pPr>
          </w:p>
        </w:tc>
      </w:tr>
      <w:tr w14:paraId="30605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70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7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15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D9CE">
            <w:pPr>
              <w:jc w:val="center"/>
            </w:pPr>
            <w:r>
              <w:rPr>
                <w:rFonts w:ascii="宋体" w:hAnsi="宋体" w:eastAsia="宋体"/>
                <w:sz w:val="16"/>
              </w:rPr>
              <w:t>开展安全生产宣传费用（万元）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B9E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60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530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88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B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E1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334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3F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100B5">
            <w:pPr>
              <w:jc w:val="center"/>
            </w:pPr>
          </w:p>
        </w:tc>
      </w:tr>
      <w:tr w14:paraId="331D7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6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2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6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78DB">
            <w:pPr>
              <w:jc w:val="center"/>
            </w:pPr>
            <w:r>
              <w:rPr>
                <w:rFonts w:ascii="宋体" w:hAnsi="宋体" w:eastAsia="宋体"/>
                <w:sz w:val="16"/>
              </w:rPr>
              <w:t>开展安全生产培训费用（万元）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DFE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0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5E7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83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9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C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733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78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AC438">
            <w:pPr>
              <w:jc w:val="center"/>
            </w:pPr>
          </w:p>
        </w:tc>
      </w:tr>
      <w:tr w14:paraId="5F19D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F68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40E8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CEC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57DC">
            <w:pPr>
              <w:jc w:val="center"/>
            </w:pPr>
            <w:r>
              <w:rPr>
                <w:rFonts w:ascii="宋体" w:hAnsi="宋体" w:eastAsia="宋体"/>
                <w:sz w:val="16"/>
              </w:rPr>
              <w:t>推进工作顺利开展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7720">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AE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A488">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C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AA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BF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DD5C">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5F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4F64">
            <w:pPr>
              <w:jc w:val="center"/>
            </w:pPr>
          </w:p>
        </w:tc>
      </w:tr>
      <w:tr w14:paraId="04F09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D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6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BF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0235">
            <w:pPr>
              <w:jc w:val="center"/>
            </w:pPr>
            <w:r>
              <w:rPr>
                <w:rFonts w:ascii="宋体" w:hAnsi="宋体" w:eastAsia="宋体"/>
                <w:sz w:val="16"/>
              </w:rPr>
              <w:t>保障企业安全生产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8D7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25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33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4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60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60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2D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E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CA985">
            <w:pPr>
              <w:jc w:val="center"/>
            </w:pPr>
          </w:p>
        </w:tc>
      </w:tr>
      <w:tr w14:paraId="23075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6A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FE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DF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86B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12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B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9B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F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5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A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7E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B4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BB9D">
            <w:pPr>
              <w:jc w:val="center"/>
            </w:pPr>
          </w:p>
        </w:tc>
      </w:tr>
      <w:tr w14:paraId="77344A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ABC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7C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7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7A9DF">
            <w:pPr>
              <w:jc w:val="center"/>
            </w:pPr>
            <w:r>
              <w:rPr>
                <w:rFonts w:ascii="宋体" w:hAnsi="宋体" w:eastAsia="宋体"/>
                <w:sz w:val="16"/>
              </w:rPr>
              <w:t>94分</w:t>
            </w:r>
          </w:p>
        </w:tc>
      </w:tr>
    </w:tbl>
    <w:p w14:paraId="36D58020">
      <w:r>
        <w:br w:type="page"/>
      </w:r>
    </w:p>
    <w:p w14:paraId="6C4A961F">
      <w:pPr>
        <w:spacing w:line="640" w:lineRule="exact"/>
        <w:ind w:firstLine="640"/>
        <w:jc w:val="both"/>
        <w:outlineLvl w:val="2"/>
      </w:pPr>
      <w:r>
        <w:rPr>
          <w:rFonts w:ascii="黑体" w:hAnsi="黑体" w:eastAsia="黑体"/>
          <w:sz w:val="32"/>
        </w:rPr>
        <w:t>十二、其他需说明的事项</w:t>
      </w:r>
    </w:p>
    <w:p w14:paraId="41286732">
      <w:pPr>
        <w:spacing w:line="580" w:lineRule="exact"/>
        <w:ind w:firstLine="640"/>
        <w:jc w:val="both"/>
      </w:pPr>
      <w:r>
        <w:rPr>
          <w:rFonts w:ascii="仿宋_GB2312" w:hAnsi="仿宋_GB2312" w:eastAsia="仿宋_GB2312"/>
          <w:b w:val="0"/>
          <w:sz w:val="32"/>
        </w:rPr>
        <w:t>本单位无其他需说明的事项。</w:t>
      </w:r>
    </w:p>
    <w:p w14:paraId="3A5EEF6F">
      <w:r>
        <w:br w:type="page"/>
      </w:r>
    </w:p>
    <w:p w14:paraId="64ECED50">
      <w:pPr>
        <w:spacing w:line="240" w:lineRule="auto"/>
        <w:jc w:val="center"/>
        <w:outlineLvl w:val="1"/>
      </w:pPr>
      <w:r>
        <w:rPr>
          <w:rFonts w:ascii="黑体" w:hAnsi="黑体" w:eastAsia="黑体"/>
          <w:sz w:val="32"/>
        </w:rPr>
        <w:t>第三部分 专业名词解释</w:t>
      </w:r>
    </w:p>
    <w:p w14:paraId="6958F31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CB96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12928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B7A9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8D647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31CA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93BE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09C1A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63053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822CE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12039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187E2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743E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8ADA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AEDF8F">
      <w:r>
        <w:br w:type="page"/>
      </w:r>
    </w:p>
    <w:p w14:paraId="1CEB3009">
      <w:pPr>
        <w:spacing w:line="240" w:lineRule="auto"/>
        <w:jc w:val="center"/>
        <w:outlineLvl w:val="1"/>
      </w:pPr>
      <w:r>
        <w:rPr>
          <w:rFonts w:ascii="黑体" w:hAnsi="黑体" w:eastAsia="黑体"/>
          <w:sz w:val="32"/>
        </w:rPr>
        <w:t>第四部分 部门决算报表（见附表）</w:t>
      </w:r>
    </w:p>
    <w:p w14:paraId="411E16D6">
      <w:pPr>
        <w:spacing w:line="240" w:lineRule="auto"/>
        <w:ind w:firstLine="640"/>
        <w:jc w:val="both"/>
      </w:pPr>
      <w:r>
        <w:rPr>
          <w:rFonts w:ascii="仿宋_GB2312" w:hAnsi="仿宋_GB2312" w:eastAsia="仿宋_GB2312"/>
          <w:b w:val="0"/>
          <w:sz w:val="32"/>
        </w:rPr>
        <w:t>一、《收入支出决算总表》</w:t>
      </w:r>
    </w:p>
    <w:p w14:paraId="38A9F110">
      <w:pPr>
        <w:spacing w:line="240" w:lineRule="auto"/>
        <w:ind w:firstLine="640"/>
        <w:jc w:val="both"/>
      </w:pPr>
      <w:r>
        <w:rPr>
          <w:rFonts w:ascii="仿宋_GB2312" w:hAnsi="仿宋_GB2312" w:eastAsia="仿宋_GB2312"/>
          <w:b w:val="0"/>
          <w:sz w:val="32"/>
        </w:rPr>
        <w:t>二、《收入决算表》</w:t>
      </w:r>
    </w:p>
    <w:p w14:paraId="5B2ED2C6">
      <w:pPr>
        <w:spacing w:line="240" w:lineRule="auto"/>
        <w:ind w:firstLine="640"/>
        <w:jc w:val="both"/>
      </w:pPr>
      <w:r>
        <w:rPr>
          <w:rFonts w:ascii="仿宋_GB2312" w:hAnsi="仿宋_GB2312" w:eastAsia="仿宋_GB2312"/>
          <w:b w:val="0"/>
          <w:sz w:val="32"/>
        </w:rPr>
        <w:t>三、《支出决算表》</w:t>
      </w:r>
    </w:p>
    <w:p w14:paraId="3ECC18A1">
      <w:pPr>
        <w:spacing w:line="240" w:lineRule="auto"/>
        <w:ind w:firstLine="640"/>
        <w:jc w:val="both"/>
      </w:pPr>
      <w:r>
        <w:rPr>
          <w:rFonts w:ascii="仿宋_GB2312" w:hAnsi="仿宋_GB2312" w:eastAsia="仿宋_GB2312"/>
          <w:b w:val="0"/>
          <w:sz w:val="32"/>
        </w:rPr>
        <w:t>四、《财政拨款收入支出决算总表》</w:t>
      </w:r>
    </w:p>
    <w:p w14:paraId="7A2EA8F6">
      <w:pPr>
        <w:spacing w:line="240" w:lineRule="auto"/>
        <w:ind w:firstLine="640"/>
        <w:jc w:val="both"/>
      </w:pPr>
      <w:r>
        <w:rPr>
          <w:rFonts w:ascii="仿宋_GB2312" w:hAnsi="仿宋_GB2312" w:eastAsia="仿宋_GB2312"/>
          <w:b w:val="0"/>
          <w:sz w:val="32"/>
        </w:rPr>
        <w:t>五、《一般公共预算财政拨款支出决算表》</w:t>
      </w:r>
    </w:p>
    <w:p w14:paraId="47FABE95">
      <w:pPr>
        <w:spacing w:line="240" w:lineRule="auto"/>
        <w:ind w:firstLine="640"/>
        <w:jc w:val="both"/>
      </w:pPr>
      <w:r>
        <w:rPr>
          <w:rFonts w:ascii="仿宋_GB2312" w:hAnsi="仿宋_GB2312" w:eastAsia="仿宋_GB2312"/>
          <w:b w:val="0"/>
          <w:sz w:val="32"/>
        </w:rPr>
        <w:t>六、《一般公共预算财政拨款基本支出决算表》</w:t>
      </w:r>
    </w:p>
    <w:p w14:paraId="5C6D4053">
      <w:pPr>
        <w:spacing w:line="240" w:lineRule="auto"/>
        <w:ind w:firstLine="640"/>
        <w:jc w:val="both"/>
      </w:pPr>
      <w:r>
        <w:rPr>
          <w:rFonts w:ascii="仿宋_GB2312" w:hAnsi="仿宋_GB2312" w:eastAsia="仿宋_GB2312"/>
          <w:b w:val="0"/>
          <w:sz w:val="32"/>
        </w:rPr>
        <w:t>七、《政府性基金预算财政拨款收入支出决算表》</w:t>
      </w:r>
    </w:p>
    <w:p w14:paraId="1DBC950F">
      <w:pPr>
        <w:spacing w:line="240" w:lineRule="auto"/>
        <w:ind w:firstLine="640"/>
        <w:jc w:val="both"/>
      </w:pPr>
      <w:r>
        <w:rPr>
          <w:rFonts w:ascii="仿宋_GB2312" w:hAnsi="仿宋_GB2312" w:eastAsia="仿宋_GB2312"/>
          <w:b w:val="0"/>
          <w:sz w:val="32"/>
        </w:rPr>
        <w:t>八、《国有资本经营预算财政拨款收入支出决算表》</w:t>
      </w:r>
    </w:p>
    <w:p w14:paraId="41F5B77A">
      <w:pPr>
        <w:spacing w:line="240" w:lineRule="auto"/>
        <w:ind w:firstLine="640"/>
        <w:jc w:val="both"/>
      </w:pPr>
      <w:r>
        <w:rPr>
          <w:rFonts w:ascii="仿宋_GB2312" w:hAnsi="仿宋_GB2312" w:eastAsia="仿宋_GB2312"/>
          <w:b w:val="0"/>
          <w:sz w:val="32"/>
        </w:rPr>
        <w:t>九、《财政拨款“三公”经费支出决算表》</w:t>
      </w:r>
    </w:p>
    <w:p w14:paraId="663194A1">
      <w:pPr>
        <w:spacing w:line="240" w:lineRule="auto"/>
        <w:ind w:firstLine="640"/>
        <w:jc w:val="both"/>
      </w:pPr>
    </w:p>
    <w:p w14:paraId="6F582B19">
      <w:pPr>
        <w:spacing w:line="240" w:lineRule="auto"/>
        <w:ind w:firstLine="640"/>
        <w:jc w:val="both"/>
      </w:pPr>
    </w:p>
    <w:p w14:paraId="79F193C4">
      <w:pPr>
        <w:spacing w:line="240" w:lineRule="auto"/>
        <w:ind w:firstLine="640"/>
        <w:jc w:val="both"/>
      </w:pPr>
    </w:p>
    <w:p w14:paraId="5A180282">
      <w:pPr>
        <w:spacing w:line="240" w:lineRule="auto"/>
        <w:ind w:firstLine="640"/>
        <w:jc w:val="both"/>
      </w:pPr>
    </w:p>
    <w:p w14:paraId="2094408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720B5E"/>
    <w:rsid w:val="1B3F7BD4"/>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2F542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61061E"/>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5514</Words>
  <Characters>6264</Characters>
  <Lines>0</Lines>
  <Paragraphs>0</Paragraphs>
  <TotalTime>9</TotalTime>
  <ScaleCrop>false</ScaleCrop>
  <LinksUpToDate>false</LinksUpToDate>
  <CharactersWithSpaces>6272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