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3B8AC"/>
    <w:p w14:paraId="5DF5D931">
      <w:pPr>
        <w:spacing w:line="570" w:lineRule="exact"/>
        <w:jc w:val="center"/>
        <w:rPr>
          <w:rFonts w:ascii="华文中宋" w:hAnsi="华文中宋" w:eastAsia="华文中宋" w:cs="宋体"/>
          <w:b/>
          <w:kern w:val="0"/>
          <w:sz w:val="52"/>
          <w:szCs w:val="52"/>
        </w:rPr>
      </w:pPr>
    </w:p>
    <w:p w14:paraId="4298598D">
      <w:pPr>
        <w:spacing w:line="570" w:lineRule="exact"/>
        <w:jc w:val="center"/>
        <w:rPr>
          <w:rFonts w:ascii="华文中宋" w:hAnsi="华文中宋" w:eastAsia="华文中宋" w:cs="宋体"/>
          <w:b/>
          <w:kern w:val="0"/>
          <w:sz w:val="52"/>
          <w:szCs w:val="52"/>
        </w:rPr>
      </w:pPr>
    </w:p>
    <w:p w14:paraId="68A9BF06">
      <w:pPr>
        <w:spacing w:line="570" w:lineRule="exact"/>
        <w:jc w:val="center"/>
        <w:rPr>
          <w:rFonts w:ascii="华文中宋" w:hAnsi="华文中宋" w:eastAsia="华文中宋" w:cs="宋体"/>
          <w:b/>
          <w:kern w:val="0"/>
          <w:sz w:val="52"/>
          <w:szCs w:val="52"/>
        </w:rPr>
      </w:pPr>
    </w:p>
    <w:p w14:paraId="1F3AC864">
      <w:pPr>
        <w:spacing w:line="570" w:lineRule="exact"/>
        <w:jc w:val="center"/>
        <w:rPr>
          <w:rFonts w:ascii="华文中宋" w:hAnsi="华文中宋" w:eastAsia="华文中宋" w:cs="宋体"/>
          <w:b/>
          <w:kern w:val="0"/>
          <w:sz w:val="52"/>
          <w:szCs w:val="52"/>
        </w:rPr>
      </w:pPr>
    </w:p>
    <w:p w14:paraId="14BD16C5">
      <w:pPr>
        <w:spacing w:line="570" w:lineRule="exact"/>
        <w:jc w:val="both"/>
        <w:rPr>
          <w:rFonts w:ascii="华文中宋" w:hAnsi="华文中宋" w:eastAsia="华文中宋" w:cs="宋体"/>
          <w:b/>
          <w:kern w:val="0"/>
          <w:sz w:val="52"/>
          <w:szCs w:val="52"/>
        </w:rPr>
      </w:pPr>
    </w:p>
    <w:p w14:paraId="39D9B9FE">
      <w:pPr>
        <w:spacing w:line="570" w:lineRule="exact"/>
        <w:jc w:val="center"/>
        <w:rPr>
          <w:rFonts w:ascii="华文中宋" w:hAnsi="华文中宋" w:eastAsia="华文中宋" w:cs="宋体"/>
          <w:b/>
          <w:kern w:val="0"/>
          <w:sz w:val="52"/>
          <w:szCs w:val="52"/>
        </w:rPr>
      </w:pPr>
    </w:p>
    <w:p w14:paraId="327DB3EF">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4B3A853">
      <w:pPr>
        <w:spacing w:line="570" w:lineRule="exact"/>
        <w:jc w:val="center"/>
        <w:rPr>
          <w:rFonts w:ascii="华文中宋" w:hAnsi="华文中宋" w:eastAsia="华文中宋" w:cs="宋体"/>
          <w:b/>
          <w:kern w:val="0"/>
          <w:sz w:val="52"/>
          <w:szCs w:val="52"/>
        </w:rPr>
      </w:pPr>
    </w:p>
    <w:p w14:paraId="0E5FE8A8">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459BD90">
      <w:pPr>
        <w:spacing w:line="570" w:lineRule="exact"/>
        <w:jc w:val="center"/>
        <w:rPr>
          <w:rFonts w:hAnsi="宋体" w:eastAsia="仿宋_GB2312" w:cs="宋体"/>
          <w:kern w:val="0"/>
          <w:sz w:val="30"/>
          <w:szCs w:val="30"/>
        </w:rPr>
      </w:pPr>
    </w:p>
    <w:p w14:paraId="06600271">
      <w:pPr>
        <w:spacing w:line="570" w:lineRule="exact"/>
        <w:jc w:val="center"/>
        <w:rPr>
          <w:rFonts w:hAnsi="宋体" w:eastAsia="仿宋_GB2312" w:cs="宋体"/>
          <w:kern w:val="0"/>
          <w:sz w:val="30"/>
          <w:szCs w:val="30"/>
        </w:rPr>
      </w:pPr>
    </w:p>
    <w:p w14:paraId="478419C9">
      <w:pPr>
        <w:spacing w:line="570" w:lineRule="exact"/>
        <w:jc w:val="center"/>
        <w:rPr>
          <w:rFonts w:hAnsi="宋体" w:eastAsia="仿宋_GB2312" w:cs="宋体"/>
          <w:kern w:val="0"/>
          <w:sz w:val="30"/>
          <w:szCs w:val="30"/>
        </w:rPr>
      </w:pPr>
    </w:p>
    <w:p w14:paraId="3B847703">
      <w:pPr>
        <w:spacing w:line="570" w:lineRule="exact"/>
        <w:jc w:val="center"/>
        <w:rPr>
          <w:rFonts w:hAnsi="宋体" w:eastAsia="仿宋_GB2312" w:cs="宋体"/>
          <w:kern w:val="0"/>
          <w:sz w:val="30"/>
          <w:szCs w:val="30"/>
        </w:rPr>
      </w:pPr>
    </w:p>
    <w:p w14:paraId="7BDD7CAC">
      <w:pPr>
        <w:spacing w:line="570" w:lineRule="exact"/>
        <w:jc w:val="center"/>
        <w:rPr>
          <w:rFonts w:hAnsi="宋体" w:eastAsia="仿宋_GB2312" w:cs="宋体"/>
          <w:kern w:val="0"/>
          <w:sz w:val="30"/>
          <w:szCs w:val="30"/>
        </w:rPr>
      </w:pPr>
    </w:p>
    <w:p w14:paraId="1DB5ABC7">
      <w:pPr>
        <w:spacing w:line="570" w:lineRule="exact"/>
        <w:jc w:val="center"/>
        <w:rPr>
          <w:rFonts w:hAnsi="宋体" w:eastAsia="仿宋_GB2312" w:cs="宋体"/>
          <w:kern w:val="0"/>
          <w:sz w:val="30"/>
          <w:szCs w:val="30"/>
        </w:rPr>
      </w:pPr>
    </w:p>
    <w:p w14:paraId="6FB37D49">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住房公积金信息化建设及运营服务维护费</w:t>
      </w:r>
    </w:p>
    <w:p w14:paraId="619044D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克孜勒苏柯尔克孜自治州住房公积金管理中心</w:t>
      </w:r>
    </w:p>
    <w:p w14:paraId="56CDCD25">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克孜勒苏柯尔克孜自治州财政局</w:t>
      </w:r>
    </w:p>
    <w:p w14:paraId="27625016">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杨辉</w:t>
      </w:r>
    </w:p>
    <w:p w14:paraId="1CA54FFE">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2025年04月29日</w:t>
      </w:r>
    </w:p>
    <w:p w14:paraId="64FF2ED1">
      <w:pPr>
        <w:rPr>
          <w:rStyle w:val="19"/>
          <w:rFonts w:hint="eastAsia" w:ascii="仿宋" w:hAnsi="仿宋" w:eastAsia="仿宋" w:cs="仿宋"/>
          <w:b w:val="0"/>
          <w:bCs w:val="0"/>
          <w:spacing w:val="-4"/>
          <w:sz w:val="32"/>
          <w:szCs w:val="32"/>
        </w:rPr>
      </w:pPr>
      <w:r>
        <w:br w:type="page"/>
      </w:r>
    </w:p>
    <w:p w14:paraId="0BD9184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570271C5">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0E1CA9F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住房公积金信息化建设及运营服务维护费项目实施前期、过程及效果，评价财政预算资金使用的效率及效益。根据自治州“十四五”规划及住房公积金行业发展需要，按住建部《住房城乡建设部办公厅关于贯彻落实住房公积金基础数据标准的通知》（建办金[2014]51号）文件要求，自治区住建厅住房公积金监管处统一推进全区住房公积金“双贯标”（住房公积金基础数据贯标和住房公积金结算应用系统贯标），结合本单位住房公积金信息化服务方面工作职责，按照年度工作计划，开展住房公积金信息化服务及运营维护费项目。2022年，根据《“惠民公积金、服务暖人心”全区住房公积金系统服务提升三年行动实施方案（2022─2024年）》（新建金〔2022〕1号）文件要求，中心将进一步加大信息化建设力度，有效推进服务提升三年行动。根据近几年自治区住建厅住房公积金监管处要求，每年组织开展全区地州间交叉互查工作，因此需要也需列支相关费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按照自治区住建厅要求，提升住房公积金信息化建设水平，完成住房公积金业务信息系统“双贯标”建设任务，采取集中统一建设模式、统招分签的方式建设全区住房公积金业务管理信息系统项目（包含综合服务平台、云平台、线路、短信等项目）；根据《“惠民公积金、服务暖人心”全区住房公积金系统服务提升三年行动实施方案（2022─2024年）》（新建金〔2022〕1号）文件要求，为贯彻落实住房公积金服务提升三年行动，中心通过业务培训提高干部职工综合素质，打造文明服务窗口。通过该项目的实施，加大网上业务，提升中心信息化水平，实现了住房公积金系统、综合服务平台正常运行，实现跨省通办，部分业务全程网上办理等，为全州缴存职工提供高效便捷的服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关于下达自治州本级2024年度部门预算指标的通知》（克财预〔2024〕1号），以及按照自治区住建厅要求，采取集中统一建设模式、统招分签的方式建设全区住房公积金业务管理信息系统项目（包含综合服务平台、云平台、线路、短信等项目），向缴存职工提供住房公积金余额查询及有关政策等咨询服务，为广大缴存职工带来方便、快捷、高效的服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该项目由克州住房公积金管理中心单位实施，内设8个科室，分别是：综合科、稽核科、信贷科、办公室、阿图什市管理部、阿克陶县管理部、阿合奇县管理部、乌恰县管理部。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克州住房公积金管理中心编制数23人，实有人数31人，其中：在职17人，聘用14人。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编制人数23人，都是参公编制，实有在职人数26人，其中：参公17人、离退休人员9人。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关于下达自治州本级2024年度部门预算指标的通知》（克财预〔2024〕1号文本年度安排下达资金239.68万元，为年初预算资金，最终确定项目资金总数为239.68万元。其中：中央财政拨款0万元，自治区财政拨款0万元，本级财政拨款239.68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截至2024年12月31日，实际支出222.49万元，预算执行率92.82%。</w:t>
      </w:r>
    </w:p>
    <w:p w14:paraId="69163109">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03223FC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资金投入总额239.68万元，其中：财政资金239.68万元，其他资金0万元。于支付住房公积金信息系统服务费。通过该项目的实施，中心将进一步有效利用信息系统模块，加大了网上业务，提升中心信息化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“提供优质服务人员(万人）”指标，预期指标值为≥6万人；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“住房公积金信息系统服务期限（年）”指标，预期指标值为=1年；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“华为云平台（个）”指标，预期指标值为=1个；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“华为云平台主备线路电路租赁条数（条）”指标,预期指标值为=2条；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“三县一市数据光纤条数（条）”指标，预期指标值为=6条；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“服务培训干部人数（人）”指标，预期指标值为≥12人；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“柜台服务评价器（台）”指标，预期指标值为=2台；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“综合服务平台运营个数（个）”指标，预期指标值为=1个。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“覆盖中心科室和各县管理部办公服务效率（%）”指标，预期指标值为≥99%；</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“信息系统和综合服务平台依托云平台统一搭建合格率”指标,预期指标值为≥95%；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“信息系统“双贯标”、综合服务平台验收工作合格率（%）”指标，预期指标值为≥95%。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“非正常停机率（%）”指标，预期指标值为≤0%；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“实现单位网厅在线办理归集业务：账户在线查询：信息修改时间（小时）”指标，预期指标值为≤24小时；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“实现个人网厅，手机app在线办理提取业务时间（小时）”指标，预期指标值为≤24小时；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“实现个人网厅、手机app在线办理和查询，限时受理办结贷款业务（小时）”指标，预期指标值为≤24小时。（2）项目成本指标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“住房公积金信息系统服务费（万元）”指标，预期指标值为≤117.2582万元；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“华为云平台服务费（万元）”指标，预期指标值为≤25万元；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“华为云平台主备线路电路租赁费（万元）” 指标，预期指标值为≤9.12万元；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“三县一市每条数据光纤月租标准（元/月/条）” 指标，预期指标值为=400.4元/月/条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“综合服务平台运营服务费（万元）”指标，预期指标值为≤62.9212万元；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“人员培训费（万元）”指标，预期指标值为≤15万元；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“文明窗口打造费用（万元）”指标，预期指标值为≤7.5万元。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“提升中心信息化水平”指标，预期指标值为有效提升；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“保障公积金信息系统和综合服务平台正常运行” 指标，预期指标值为有效保障；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“提升公积金行业服务形象” 指标，预期指标值为有效提升。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“系统用户满意度（%）”指标，预期指标值为≥=95%。</w:t>
      </w:r>
    </w:p>
    <w:p w14:paraId="022CEA2A">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4ABD51D9">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19E9A18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住房公积金信息化建设及运营服务维护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住房公积金信息化建设及运营服务维护费项目总体绩效目标、各项绩效指标完成情况以及预算执行情况。覆盖项目预算资金支出的所有内容进行评价。包括项目决策、项目实施和项目成果验收流程等。</w:t>
      </w:r>
    </w:p>
    <w:p w14:paraId="2D43E7B0">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5412B75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住房公积金信息化建设及运营服务维护费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F63AD18">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48F4E42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杨辉（评价小组组长）：主要负责绩效评价组织协调工作，上情下达，制定绩效评价目标及考核项目；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巴卡衣·库尔班（评价小组组员）：主要负责对接项目承建单位经办人员，组织收集审核项目相关工程资料，审核项目相关文件、实施方案、招投标档案等资料；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王璐（评价小组组员）：主要负责对接项目相关财务人员，负责收集查阅项目资金支付财务凭证相关附件资料，审核资金使用合规性、管理机制及操作流程。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49568AE6">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6D058A0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住房公积金信息化建设及运营服务维护费”项目绩效进行客观公正的评价，本项目总得分为98.44分，绩效评级属于“优”。其中，决策类指标得分20分，过程类指标得分19.64分，产出类指标得分38.8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提供优质服务人员6万人，华为云平台主备线路电路租赁2条，三县一市数据光纤条数6条，通过该项目的实施，加大了网上业务，提升中心信息化水平，实现了住房公积金系统、综合服务平台正常运行，实现了跨省通办，部分业务全程网上办理等，为全州缴存职工提供了高效便捷的服务。</w:t>
      </w:r>
    </w:p>
    <w:p w14:paraId="3CAAE7A5">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0A10C17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AEBF9F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关于下达自治州本级2024年度部门预算指标的通知》（克财预〔2024〕1号，并结合克孜勒苏柯尔克孜自治州住房公积金管理中心职责组织实施。围绕克孜勒苏柯尔克孜自治州住房公积金管理中心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孜勒苏柯尔克孜自治州住房公积金管理中心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（1）预算编制科学性：住房公积金信息化建设及运营服务维护费为经常性项目，实际完成内容与项目内容匹配，项目投资额与工作任务相匹配，根据评分标准，该指标不扣分，得5分。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（2）资金分配合理性：资金分配与实际相适应，根据评分标准，该指标不扣分，得5分。</w:t>
      </w:r>
    </w:p>
    <w:p w14:paraId="2B9EED0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C83F46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5个三级指标构成，权重分为20分，实际得分19.64分，得分率为98.2%。</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（1）资金到位率：该项目总投资239.68万元，克州财政局实际下达经费239.68万元，其中当年财政拨款239.68万元，上年结转资金0万元，财政资金足额拨付到位，根据评分标准，该指标不扣分，得5分。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239.68万元，预算批复实际下达金额为239.68万元，截至2023年12月31日，资金执行222.49万元，资金执行率92.82%。项目资金支出总体能够按照预算执行，根据评分标准，该指标0.36扣分，得4.64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关于下达自治州本级2023年度部门预算指标的通知》（克财预（2023）1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孜勒苏柯尔克孜自治州住房公积金管理中心财务制度》及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6EAB4F1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0607D6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项目产出类指标包括产出数量、产出质量、产出时效、产出成本四方面的内容，由22个三级指标构成，权重分为40分，实际得分38.8分，得分率为97%。</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提供优质服务人员6万人，与预期目标一致，根据评分标准，该指标不扣，得2分。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住房公积金信息系统服务期限1年，与预期目标一致，根据评分标准，该指标不扣分，得2分。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华为云平台1个，与预期目标一致，根据评分标准，该指标不扣分，得1分。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华为云平台主备线路电路租赁条数2条，与预期目标一致，根据评分标准，该指标不扣分，得1分。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三县一市数据光纤条数6条，与预期目标一致，根据评分标准，该指标不扣分，得1分。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服务培训干部人数12人，实际完成值为12人，与预期目标一致，根据评分标准，该指标不扣分，得1分。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柜台服务评价器2台，实际完成值为2台，与预期目标一致，根据评分标准，该指标不扣分，得1分。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综合服务平台运营个数1个，与预期目标一致，根据评分标准，该指标不扣分，得1分。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覆盖中心科室和各县管理部办公服务效率99%，与预期目标一致，根据评分标准，该指标不扣分，得3分。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信息系统和综合服务平台依托云平台统一搭建合格率95%，与预期目标一致，根据评分标准，该指标不扣分，得3分。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非正常停机率0%，与预期目标一致，根据评分标准，该指标不扣分，得2分。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信息系统“双贯标”、综合服务平台验收工作合格率95%，与预期目标一致，根据评分标准，该指标不扣分，得2分。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实现单位网厅在线办理归集业务：账户在线查询：信息修改时间24小时，与预期目标一致，根据评分标准，，该指标不扣分，得3分。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实现个人网厅，手机app在线办理提取业务时间24小时，与预期目标一致，根据评分标准，该指标不扣分，得3分。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实现个人网厅、手机app在线办理和查询，限时受理办结贷款业务时间24小时，与预期目标一致，根据评分标准，该指标不扣分，得4分。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住房公积金信息系统服务费117.26万元，与预期目标一致，根据评分标准，该指标不扣分，得4分。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华为云平台服务费25，实际支出24.89万元，与预期目标有偏差，完成率99.56%，根据评分标准，该指标得0.99分。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华为云平台主备线路电路租赁费9.12万元，实际支出8.12万元，与预期目标有偏差，完成率89.04%，根据评分标准，该指标不扣分，得0.89分。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三县一市每条数据光纤月租标准=400.04元/月/条，与预期目标一致，根据评分标准，该指标不扣分，得1分。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综合服务平台运营服务费62.92万元，与预期目标一致，根据评分标准，该指标不扣分，得1分。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人员培训费15万元，实际支出1.001万元，与预期目标有偏差，完成率6.68%，根据评分标准，该指标得0.07分。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文明窗口打造费用7.5万元，实际支出6.38万元，与预期目标有偏差，完成率85.04%，根据评分标准，该指标得0.85分。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合计得8.8分。</w:t>
      </w:r>
    </w:p>
    <w:p w14:paraId="3F845C6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FFA4B99">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提升中心信息化水平，与预期指标一致，根据评分标准，，该指标不扣分，得3分。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保障公积金信息系统和综合服务平台正常运行，与预期指标一致，根据评分标准，该指标不扣分，得3分。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提升公积金行业服务形象，与预期指标一致，根据评分标准，该指标不扣分，得4分。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p>
    <w:p w14:paraId="2BB4FEAD">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对于满意度指标：受益群众满意度95%，与预期目标一致，根据评分标准，该指标不扣分，得10分。</w:t>
      </w:r>
    </w:p>
    <w:p w14:paraId="562ACC68">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251BE3B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271103F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52FBBC1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35C1860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7C8500FF">
      <w:pPr>
        <w:spacing w:line="540" w:lineRule="exact"/>
        <w:rPr>
          <w:rStyle w:val="19"/>
          <w:rFonts w:ascii="仿宋" w:hAnsi="仿宋" w:eastAsia="仿宋"/>
          <w:b w:val="0"/>
          <w:spacing w:val="-4"/>
          <w:sz w:val="32"/>
          <w:szCs w:val="32"/>
        </w:rPr>
      </w:pPr>
      <w:bookmarkStart w:id="0" w:name="_GoBack"/>
      <w:bookmarkEnd w:id="0"/>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附件1：2024年度住房公积金信息化建设及运营服务维护费项目绩效评价指标体系及评分标准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A73951-70A1-4E60-B674-05D450AC45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80A99CB-0B9B-4CE9-93D3-FB83DDDEEF6A}"/>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embedRegular r:id="rId3" w:fontKey="{45F24EED-8EAD-4ACD-842C-0F3D8C48C61B}"/>
  </w:font>
  <w:font w:name="方正小标宋_GBK">
    <w:panose1 w:val="02000000000000000000"/>
    <w:charset w:val="86"/>
    <w:family w:val="script"/>
    <w:pitch w:val="default"/>
    <w:sig w:usb0="A00002BF" w:usb1="38CF7CFA" w:usb2="00082016" w:usb3="00000000" w:csb0="00040001" w:csb1="00000000"/>
    <w:embedRegular r:id="rId4" w:fontKey="{3002249A-B7EA-490E-9C30-BBF43DC07E1B}"/>
  </w:font>
  <w:font w:name="仿宋_GB2312">
    <w:panose1 w:val="02010609030101010101"/>
    <w:charset w:val="86"/>
    <w:family w:val="modern"/>
    <w:pitch w:val="default"/>
    <w:sig w:usb0="00000001" w:usb1="080E0000" w:usb2="00000000" w:usb3="00000000" w:csb0="00040000" w:csb1="00000000"/>
    <w:embedRegular r:id="rId5" w:fontKey="{08B95539-8656-4C8D-AA32-3C986F1F7ED8}"/>
  </w:font>
  <w:font w:name="楷体">
    <w:panose1 w:val="02010609060101010101"/>
    <w:charset w:val="86"/>
    <w:family w:val="modern"/>
    <w:pitch w:val="default"/>
    <w:sig w:usb0="800002BF" w:usb1="38CF7CFA" w:usb2="00000016" w:usb3="00000000" w:csb0="00040001" w:csb1="00000000"/>
    <w:embedRegular r:id="rId6" w:fontKey="{AC04C06E-CA9B-4924-8290-08726DA7EDB5}"/>
  </w:font>
  <w:font w:name="方正仿宋_GBK">
    <w:panose1 w:val="02000000000000000000"/>
    <w:charset w:val="86"/>
    <w:family w:val="auto"/>
    <w:pitch w:val="default"/>
    <w:sig w:usb0="A00002BF" w:usb1="38CF7CFA" w:usb2="00082016" w:usb3="00000000" w:csb0="00040001" w:csb1="00000000"/>
    <w:embedRegular r:id="rId7" w:fontKey="{92169D2F-B786-4D14-8E41-5BF354BF5186}"/>
  </w:font>
  <w:font w:name="仿宋">
    <w:panose1 w:val="02010609060101010101"/>
    <w:charset w:val="86"/>
    <w:family w:val="modern"/>
    <w:pitch w:val="default"/>
    <w:sig w:usb0="800002BF" w:usb1="38CF7CFA" w:usb2="00000016" w:usb3="00000000" w:csb0="00040001" w:csb1="00000000"/>
    <w:embedRegular r:id="rId8" w:fontKey="{AE622C98-6324-4A7E-A33F-C2D0676CADCE}"/>
  </w:font>
  <w:font w:name="方正楷体_GBK">
    <w:altName w:val="微软雅黑"/>
    <w:panose1 w:val="00000000000000000000"/>
    <w:charset w:val="86"/>
    <w:family w:val="auto"/>
    <w:pitch w:val="default"/>
    <w:sig w:usb0="00000000" w:usb1="00000000" w:usb2="00000000" w:usb3="00000000" w:csb0="00040000" w:csb1="00000000"/>
    <w:embedRegular r:id="rId9" w:fontKey="{627D94F4-0895-4393-9B1A-D7144186EAB4}"/>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4D32646">
        <w:pPr>
          <w:pStyle w:val="12"/>
          <w:jc w:val="center"/>
        </w:pPr>
        <w:r>
          <w:fldChar w:fldCharType="begin"/>
        </w:r>
        <w:r>
          <w:instrText xml:space="preserve">PAGE   \* MERGEFORMAT</w:instrText>
        </w:r>
        <w:r>
          <w:fldChar w:fldCharType="separate"/>
        </w:r>
        <w:r>
          <w:rPr>
            <w:lang w:val="zh-CN"/>
          </w:rPr>
          <w:t>1</w:t>
        </w:r>
        <w:r>
          <w:fldChar w:fldCharType="end"/>
        </w:r>
      </w:p>
    </w:sdtContent>
  </w:sdt>
  <w:p w14:paraId="5AA128F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DA296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3262f1b9-d670-40a1-ad92-24fc15de95d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10851</Words>
  <Characters>11368</Characters>
  <Lines>5</Lines>
  <Paragraphs>1</Paragraphs>
  <TotalTime>0</TotalTime>
  <ScaleCrop>false</ScaleCrop>
  <LinksUpToDate>false</LinksUpToDate>
  <CharactersWithSpaces>11763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白羊</cp:lastModifiedBy>
  <cp:lastPrinted>2018-12-31T10:56:00Z</cp:lastPrinted>
  <dcterms:modified xsi:type="dcterms:W3CDTF">2025-09-01T11:13:16Z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eyJoZGlkIjoiZTEwMTFjZmI3NWUwMGRmYWEyNzFiMzQ2OTlkZWE5ODAiLCJ1c2VySWQiOiI0MzE2NzY3NzkifQ==</vt:lpwstr>
  </property>
  <property fmtid="{D5CDD505-2E9C-101B-9397-08002B2CF9AE}" pid="4" name="ICV">
    <vt:lpwstr>8477754391BD47CFA8D5A73BF4BEE243_12</vt:lpwstr>
  </property>
</Properties>
</file>