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克孜勒苏柯尔克孜自治州社会保险中心2024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415CD3C">
      <w:r>
        <w:br w:type="page"/>
      </w:r>
    </w:p>
    <w:p w14:paraId="4EEDBE8E">
      <w:pPr>
        <w:spacing w:line="640" w:lineRule="exact"/>
        <w:jc w:val="center"/>
        <w:outlineLvl w:val="1"/>
      </w:pPr>
      <w:r>
        <w:rPr>
          <w:rFonts w:ascii="黑体" w:hAnsi="黑体" w:eastAsia="黑体"/>
          <w:sz w:val="32"/>
        </w:rPr>
        <w:t>第一部分 单位概况</w:t>
      </w:r>
    </w:p>
    <w:p w14:paraId="38EB7576">
      <w:pPr>
        <w:spacing w:line="640" w:lineRule="exact"/>
        <w:ind w:firstLine="640"/>
        <w:jc w:val="both"/>
        <w:outlineLvl w:val="2"/>
      </w:pPr>
      <w:r>
        <w:rPr>
          <w:rFonts w:ascii="黑体" w:hAnsi="黑体" w:eastAsia="黑体"/>
          <w:sz w:val="32"/>
        </w:rPr>
        <w:t>一、主要职能</w:t>
      </w:r>
    </w:p>
    <w:p w14:paraId="2B1A6AE9">
      <w:pPr>
        <w:spacing w:line="580" w:lineRule="exact"/>
        <w:ind w:firstLine="640"/>
        <w:jc w:val="both"/>
      </w:pPr>
      <w:r>
        <w:rPr>
          <w:rFonts w:ascii="仿宋_GB2312" w:hAnsi="仿宋_GB2312" w:eastAsia="仿宋_GB2312"/>
          <w:sz w:val="32"/>
        </w:rPr>
        <w:t>克州社会保险中心承担着全州10亿基金及全州80万余人次的五项社会保险（养老保险、工伤保险、失业保险）基金的征缴、结算、审核、支付、运行、管理、下解上解分配等。</w:t>
      </w:r>
    </w:p>
    <w:p w14:paraId="6D6D9BB0">
      <w:pPr>
        <w:spacing w:line="580" w:lineRule="exact"/>
        <w:ind w:firstLine="640"/>
        <w:jc w:val="both"/>
      </w:pPr>
      <w:r>
        <w:rPr>
          <w:rFonts w:ascii="仿宋_GB2312" w:hAnsi="仿宋_GB2312" w:eastAsia="仿宋_GB2312"/>
          <w:sz w:val="32"/>
        </w:rPr>
        <w:t>办公室：承担中心综合协调和督促检查</w:t>
      </w:r>
      <w:r>
        <w:rPr>
          <w:rFonts w:hint="eastAsia" w:ascii="仿宋_GB2312" w:hAnsi="仿宋_GB2312" w:eastAsia="仿宋_GB2312"/>
          <w:sz w:val="32"/>
          <w:lang w:eastAsia="zh-CN"/>
        </w:rPr>
        <w:t>；</w:t>
      </w:r>
      <w:r>
        <w:rPr>
          <w:rFonts w:ascii="仿宋_GB2312" w:hAnsi="仿宋_GB2312" w:eastAsia="仿宋_GB2312"/>
          <w:sz w:val="32"/>
        </w:rPr>
        <w:t>负责党务政务、文电、会务、机要、财务</w:t>
      </w:r>
      <w:r>
        <w:rPr>
          <w:rFonts w:hint="eastAsia" w:ascii="仿宋_GB2312" w:hAnsi="仿宋_GB2312" w:eastAsia="仿宋_GB2312"/>
          <w:sz w:val="32"/>
          <w:lang w:eastAsia="zh-CN"/>
        </w:rPr>
        <w:t>等</w:t>
      </w:r>
      <w:r>
        <w:rPr>
          <w:rFonts w:ascii="仿宋_GB2312" w:hAnsi="仿宋_GB2312" w:eastAsia="仿宋_GB2312"/>
          <w:sz w:val="32"/>
        </w:rPr>
        <w:t>工作</w:t>
      </w:r>
      <w:r>
        <w:rPr>
          <w:rFonts w:hint="eastAsia" w:ascii="仿宋_GB2312" w:hAnsi="仿宋_GB2312" w:eastAsia="仿宋_GB2312"/>
          <w:sz w:val="32"/>
          <w:lang w:eastAsia="zh-CN"/>
        </w:rPr>
        <w:t>；</w:t>
      </w:r>
      <w:r>
        <w:rPr>
          <w:rFonts w:ascii="仿宋_GB2312" w:hAnsi="仿宋_GB2312" w:eastAsia="仿宋_GB2312"/>
          <w:sz w:val="32"/>
        </w:rPr>
        <w:t>组织开展社会保险政策研究</w:t>
      </w:r>
      <w:r>
        <w:rPr>
          <w:rFonts w:hint="eastAsia" w:ascii="仿宋_GB2312" w:hAnsi="仿宋_GB2312" w:eastAsia="仿宋_GB2312"/>
          <w:sz w:val="32"/>
          <w:lang w:eastAsia="zh-CN"/>
        </w:rPr>
        <w:t>；</w:t>
      </w:r>
      <w:r>
        <w:rPr>
          <w:rFonts w:ascii="仿宋_GB2312" w:hAnsi="仿宋_GB2312" w:eastAsia="仿宋_GB2312"/>
          <w:sz w:val="32"/>
        </w:rPr>
        <w:t>负责单位离退休干部管理工作。</w:t>
      </w:r>
    </w:p>
    <w:p w14:paraId="36505364">
      <w:pPr>
        <w:spacing w:line="580" w:lineRule="exact"/>
        <w:ind w:firstLine="640"/>
        <w:jc w:val="both"/>
      </w:pPr>
      <w:r>
        <w:rPr>
          <w:rFonts w:ascii="仿宋_GB2312" w:hAnsi="仿宋_GB2312" w:eastAsia="仿宋_GB2312"/>
          <w:sz w:val="32"/>
        </w:rPr>
        <w:t>社会保险征缴科：负责社会保险全民参保登记计划工作</w:t>
      </w:r>
      <w:r>
        <w:rPr>
          <w:rFonts w:hint="eastAsia" w:ascii="仿宋_GB2312" w:hAnsi="仿宋_GB2312" w:eastAsia="仿宋_GB2312"/>
          <w:sz w:val="32"/>
          <w:lang w:eastAsia="zh-CN"/>
        </w:rPr>
        <w:t>；</w:t>
      </w:r>
      <w:r>
        <w:rPr>
          <w:rFonts w:ascii="仿宋_GB2312" w:hAnsi="仿宋_GB2312" w:eastAsia="仿宋_GB2312"/>
          <w:sz w:val="32"/>
        </w:rPr>
        <w:t>负责社会保险缴费基数调整、保费征缴、清欠等工作</w:t>
      </w:r>
      <w:r>
        <w:rPr>
          <w:rFonts w:hint="eastAsia" w:ascii="仿宋_GB2312" w:hAnsi="仿宋_GB2312" w:eastAsia="仿宋_GB2312"/>
          <w:sz w:val="32"/>
          <w:lang w:eastAsia="zh-CN"/>
        </w:rPr>
        <w:t>；</w:t>
      </w:r>
      <w:r>
        <w:rPr>
          <w:rFonts w:ascii="仿宋_GB2312" w:hAnsi="仿宋_GB2312" w:eastAsia="仿宋_GB2312"/>
          <w:sz w:val="32"/>
        </w:rPr>
        <w:t>负责社会保险保费征缴</w:t>
      </w:r>
      <w:r>
        <w:rPr>
          <w:rFonts w:hint="eastAsia" w:ascii="仿宋_GB2312" w:hAnsi="仿宋_GB2312" w:eastAsia="仿宋_GB2312"/>
          <w:sz w:val="32"/>
          <w:lang w:eastAsia="zh-CN"/>
        </w:rPr>
        <w:t>对账等</w:t>
      </w:r>
      <w:r>
        <w:rPr>
          <w:rFonts w:ascii="仿宋_GB2312" w:hAnsi="仿宋_GB2312" w:eastAsia="仿宋_GB2312"/>
          <w:sz w:val="32"/>
        </w:rPr>
        <w:t>工作</w:t>
      </w:r>
      <w:r>
        <w:rPr>
          <w:rFonts w:hint="eastAsia" w:ascii="仿宋_GB2312" w:hAnsi="仿宋_GB2312" w:eastAsia="仿宋_GB2312"/>
          <w:sz w:val="32"/>
          <w:lang w:eastAsia="zh-CN"/>
        </w:rPr>
        <w:t>；</w:t>
      </w:r>
      <w:r>
        <w:rPr>
          <w:rFonts w:ascii="仿宋_GB2312" w:hAnsi="仿宋_GB2312" w:eastAsia="仿宋_GB2312"/>
          <w:sz w:val="32"/>
        </w:rPr>
        <w:t>负责社会保险的增减变化手续和个人权益记录单的寄发工作</w:t>
      </w:r>
      <w:r>
        <w:rPr>
          <w:rFonts w:hint="eastAsia" w:ascii="仿宋_GB2312" w:hAnsi="仿宋_GB2312" w:eastAsia="仿宋_GB2312"/>
          <w:sz w:val="32"/>
          <w:lang w:eastAsia="zh-CN"/>
        </w:rPr>
        <w:t>；</w:t>
      </w:r>
      <w:r>
        <w:rPr>
          <w:rFonts w:ascii="仿宋_GB2312" w:hAnsi="仿宋_GB2312" w:eastAsia="仿宋_GB2312"/>
          <w:sz w:val="32"/>
        </w:rPr>
        <w:t>社会保险关系转移接续工作。</w:t>
      </w:r>
    </w:p>
    <w:p w14:paraId="4376B494">
      <w:pPr>
        <w:spacing w:line="580" w:lineRule="exact"/>
        <w:ind w:firstLine="640"/>
        <w:jc w:val="both"/>
      </w:pPr>
      <w:r>
        <w:rPr>
          <w:rFonts w:ascii="仿宋_GB2312" w:hAnsi="仿宋_GB2312" w:eastAsia="仿宋_GB2312"/>
          <w:sz w:val="32"/>
        </w:rPr>
        <w:t>社会保险结算科：负责各类社会保险待遇的核定及发放</w:t>
      </w:r>
      <w:r>
        <w:rPr>
          <w:rFonts w:hint="eastAsia" w:ascii="仿宋_GB2312" w:hAnsi="仿宋_GB2312" w:eastAsia="仿宋_GB2312"/>
          <w:sz w:val="32"/>
          <w:lang w:eastAsia="zh-CN"/>
        </w:rPr>
        <w:t>；</w:t>
      </w:r>
      <w:r>
        <w:rPr>
          <w:rFonts w:ascii="仿宋_GB2312" w:hAnsi="仿宋_GB2312" w:eastAsia="仿宋_GB2312"/>
          <w:sz w:val="32"/>
        </w:rPr>
        <w:t>负责工伤保险协议签订、费用结算和管理工作</w:t>
      </w:r>
      <w:r>
        <w:rPr>
          <w:rFonts w:hint="eastAsia" w:ascii="仿宋_GB2312" w:hAnsi="仿宋_GB2312" w:eastAsia="仿宋_GB2312"/>
          <w:sz w:val="32"/>
          <w:lang w:eastAsia="zh-CN"/>
        </w:rPr>
        <w:t>；</w:t>
      </w:r>
      <w:r>
        <w:rPr>
          <w:rFonts w:ascii="仿宋_GB2312" w:hAnsi="仿宋_GB2312" w:eastAsia="仿宋_GB2312"/>
          <w:sz w:val="32"/>
        </w:rPr>
        <w:t>负责工伤保险长期待遇享受人员资格认证</w:t>
      </w:r>
      <w:r>
        <w:rPr>
          <w:rFonts w:hint="eastAsia" w:ascii="仿宋_GB2312" w:hAnsi="仿宋_GB2312" w:eastAsia="仿宋_GB2312"/>
          <w:sz w:val="32"/>
          <w:lang w:eastAsia="zh-CN"/>
        </w:rPr>
        <w:t>；</w:t>
      </w:r>
      <w:r>
        <w:rPr>
          <w:rFonts w:ascii="仿宋_GB2312" w:hAnsi="仿宋_GB2312" w:eastAsia="仿宋_GB2312"/>
          <w:sz w:val="32"/>
        </w:rPr>
        <w:t>指导工伤预防、宣传培训和工伤康复</w:t>
      </w:r>
      <w:r>
        <w:rPr>
          <w:rFonts w:hint="eastAsia" w:ascii="仿宋_GB2312" w:hAnsi="仿宋_GB2312" w:eastAsia="仿宋_GB2312"/>
          <w:sz w:val="32"/>
          <w:lang w:eastAsia="zh-CN"/>
        </w:rPr>
        <w:t>；</w:t>
      </w:r>
      <w:r>
        <w:rPr>
          <w:rFonts w:ascii="仿宋_GB2312" w:hAnsi="仿宋_GB2312" w:eastAsia="仿宋_GB2312"/>
          <w:sz w:val="32"/>
        </w:rPr>
        <w:t>负责职业年金的核定管理等工作。</w:t>
      </w:r>
    </w:p>
    <w:p w14:paraId="3AE89242">
      <w:pPr>
        <w:spacing w:line="580" w:lineRule="exact"/>
        <w:ind w:firstLine="640"/>
        <w:jc w:val="both"/>
      </w:pPr>
      <w:r>
        <w:rPr>
          <w:rFonts w:ascii="仿宋_GB2312" w:hAnsi="仿宋_GB2312" w:eastAsia="仿宋_GB2312"/>
          <w:sz w:val="32"/>
        </w:rPr>
        <w:t>社会保险计划财务科：协助做好社会保险基金预决算编制和执行</w:t>
      </w:r>
      <w:r>
        <w:rPr>
          <w:rFonts w:hint="eastAsia" w:ascii="仿宋_GB2312" w:hAnsi="仿宋_GB2312" w:eastAsia="仿宋_GB2312"/>
          <w:sz w:val="32"/>
          <w:lang w:eastAsia="zh-CN"/>
        </w:rPr>
        <w:t>；</w:t>
      </w:r>
      <w:r>
        <w:rPr>
          <w:rFonts w:ascii="仿宋_GB2312" w:hAnsi="仿宋_GB2312" w:eastAsia="仿宋_GB2312"/>
          <w:sz w:val="32"/>
        </w:rPr>
        <w:t>负责社会保险收支、结算、对账、账户管理和会计核算</w:t>
      </w:r>
      <w:r>
        <w:rPr>
          <w:rFonts w:hint="eastAsia" w:ascii="仿宋_GB2312" w:hAnsi="仿宋_GB2312" w:eastAsia="仿宋_GB2312"/>
          <w:sz w:val="32"/>
          <w:lang w:eastAsia="zh-CN"/>
        </w:rPr>
        <w:t>；</w:t>
      </w:r>
      <w:r>
        <w:rPr>
          <w:rFonts w:ascii="仿宋_GB2312" w:hAnsi="仿宋_GB2312" w:eastAsia="仿宋_GB2312"/>
          <w:sz w:val="32"/>
        </w:rPr>
        <w:t>负责社财一体化基金运行、管理</w:t>
      </w:r>
      <w:r>
        <w:rPr>
          <w:rFonts w:hint="eastAsia" w:ascii="仿宋_GB2312" w:hAnsi="仿宋_GB2312" w:eastAsia="仿宋_GB2312"/>
          <w:sz w:val="32"/>
          <w:lang w:eastAsia="zh-CN"/>
        </w:rPr>
        <w:t>；</w:t>
      </w:r>
      <w:r>
        <w:rPr>
          <w:rFonts w:ascii="仿宋_GB2312" w:hAnsi="仿宋_GB2312" w:eastAsia="仿宋_GB2312"/>
          <w:sz w:val="32"/>
        </w:rPr>
        <w:t>负责社会保险基金统计报表的填报和分析。</w:t>
      </w:r>
    </w:p>
    <w:p w14:paraId="2F8A6256">
      <w:pPr>
        <w:spacing w:line="580" w:lineRule="exact"/>
        <w:ind w:firstLine="640"/>
        <w:jc w:val="both"/>
      </w:pPr>
      <w:r>
        <w:rPr>
          <w:rFonts w:ascii="仿宋_GB2312" w:hAnsi="仿宋_GB2312" w:eastAsia="仿宋_GB2312"/>
          <w:sz w:val="32"/>
        </w:rPr>
        <w:t>社会保险稽核科：负责社保基金支付结算的稽核检查及处理</w:t>
      </w:r>
      <w:r>
        <w:rPr>
          <w:rFonts w:hint="eastAsia" w:ascii="仿宋_GB2312" w:hAnsi="仿宋_GB2312" w:eastAsia="仿宋_GB2312"/>
          <w:sz w:val="32"/>
          <w:lang w:eastAsia="zh-CN"/>
        </w:rPr>
        <w:t>；</w:t>
      </w:r>
      <w:r>
        <w:rPr>
          <w:rFonts w:ascii="仿宋_GB2312" w:hAnsi="仿宋_GB2312" w:eastAsia="仿宋_GB2312"/>
          <w:sz w:val="32"/>
        </w:rPr>
        <w:t>配合行政执法部门对先行支付的工伤保险基金进行追回</w:t>
      </w:r>
      <w:r>
        <w:rPr>
          <w:rFonts w:hint="eastAsia" w:ascii="仿宋_GB2312" w:hAnsi="仿宋_GB2312" w:eastAsia="仿宋_GB2312"/>
          <w:sz w:val="32"/>
          <w:lang w:eastAsia="zh-CN"/>
        </w:rPr>
        <w:t>；</w:t>
      </w:r>
      <w:r>
        <w:rPr>
          <w:rFonts w:ascii="仿宋_GB2312" w:hAnsi="仿宋_GB2312" w:eastAsia="仿宋_GB2312"/>
          <w:sz w:val="32"/>
        </w:rPr>
        <w:t>负责本单位内控工作</w:t>
      </w:r>
      <w:r>
        <w:rPr>
          <w:rFonts w:hint="eastAsia" w:ascii="仿宋_GB2312" w:hAnsi="仿宋_GB2312" w:eastAsia="仿宋_GB2312"/>
          <w:sz w:val="32"/>
          <w:lang w:eastAsia="zh-CN"/>
        </w:rPr>
        <w:t>；</w:t>
      </w:r>
      <w:r>
        <w:rPr>
          <w:rFonts w:ascii="仿宋_GB2312" w:hAnsi="仿宋_GB2312" w:eastAsia="仿宋_GB2312"/>
          <w:sz w:val="32"/>
        </w:rPr>
        <w:t>协助做好调查处理违反社会保险法律法</w:t>
      </w:r>
      <w:r>
        <w:rPr>
          <w:rFonts w:hint="eastAsia" w:ascii="仿宋_GB2312" w:hAnsi="仿宋_GB2312" w:eastAsia="仿宋_GB2312"/>
          <w:sz w:val="32"/>
          <w:lang w:eastAsia="zh-CN"/>
        </w:rPr>
        <w:t>规的</w:t>
      </w:r>
      <w:r>
        <w:rPr>
          <w:rFonts w:ascii="仿宋_GB2312" w:hAnsi="仿宋_GB2312" w:eastAsia="仿宋_GB2312"/>
          <w:sz w:val="32"/>
        </w:rPr>
        <w:t>投诉举报案件。</w:t>
      </w:r>
    </w:p>
    <w:p w14:paraId="72ECE0B1">
      <w:pPr>
        <w:spacing w:line="580" w:lineRule="exact"/>
        <w:ind w:firstLine="640"/>
        <w:jc w:val="both"/>
      </w:pPr>
      <w:r>
        <w:rPr>
          <w:rFonts w:ascii="仿宋_GB2312" w:hAnsi="仿宋_GB2312" w:eastAsia="仿宋_GB2312"/>
          <w:sz w:val="32"/>
        </w:rPr>
        <w:t>社会保险档案科：承担档案管理标准化、规范化、信息化建设</w:t>
      </w:r>
      <w:r>
        <w:rPr>
          <w:rFonts w:hint="eastAsia" w:ascii="仿宋_GB2312" w:hAnsi="仿宋_GB2312" w:eastAsia="仿宋_GB2312"/>
          <w:sz w:val="32"/>
          <w:lang w:eastAsia="zh-CN"/>
        </w:rPr>
        <w:t>；</w:t>
      </w:r>
      <w:r>
        <w:rPr>
          <w:rFonts w:ascii="仿宋_GB2312" w:hAnsi="仿宋_GB2312" w:eastAsia="仿宋_GB2312"/>
          <w:sz w:val="32"/>
        </w:rPr>
        <w:t>负责社保业务档案的收集、整理、接收、上架工作做好档案借阅、查询服务工作</w:t>
      </w:r>
      <w:r>
        <w:rPr>
          <w:rFonts w:hint="eastAsia" w:ascii="仿宋_GB2312" w:hAnsi="仿宋_GB2312" w:eastAsia="仿宋_GB2312"/>
          <w:sz w:val="32"/>
          <w:lang w:eastAsia="zh-CN"/>
        </w:rPr>
        <w:t>；</w:t>
      </w:r>
      <w:r>
        <w:rPr>
          <w:rFonts w:ascii="仿宋_GB2312" w:hAnsi="仿宋_GB2312" w:eastAsia="仿宋_GB2312"/>
          <w:sz w:val="32"/>
        </w:rPr>
        <w:t>负责整理记录全年大事记、全宗卷</w:t>
      </w:r>
      <w:r>
        <w:rPr>
          <w:rFonts w:hint="eastAsia" w:ascii="仿宋_GB2312" w:hAnsi="仿宋_GB2312" w:eastAsia="仿宋_GB2312"/>
          <w:sz w:val="32"/>
          <w:lang w:eastAsia="zh-CN"/>
        </w:rPr>
        <w:t>；</w:t>
      </w:r>
      <w:r>
        <w:rPr>
          <w:rFonts w:ascii="仿宋_GB2312" w:hAnsi="仿宋_GB2312" w:eastAsia="仿宋_GB2312"/>
          <w:sz w:val="32"/>
        </w:rPr>
        <w:t>负责自治州社会保险档案的标准化建设和达标升级。</w:t>
      </w:r>
    </w:p>
    <w:p w14:paraId="4BF96C05">
      <w:pPr>
        <w:spacing w:line="640" w:lineRule="exact"/>
        <w:ind w:firstLine="640"/>
        <w:jc w:val="both"/>
        <w:outlineLvl w:val="2"/>
      </w:pPr>
      <w:r>
        <w:rPr>
          <w:rFonts w:ascii="黑体" w:hAnsi="黑体" w:eastAsia="黑体"/>
          <w:sz w:val="32"/>
        </w:rPr>
        <w:t>二、机构设置及人员情况</w:t>
      </w:r>
    </w:p>
    <w:p w14:paraId="0A236DD8">
      <w:pPr>
        <w:spacing w:line="580" w:lineRule="exact"/>
        <w:ind w:firstLine="640"/>
        <w:jc w:val="both"/>
      </w:pPr>
      <w:r>
        <w:rPr>
          <w:rFonts w:ascii="仿宋_GB2312" w:hAnsi="仿宋_GB2312" w:eastAsia="仿宋_GB2312"/>
          <w:sz w:val="32"/>
        </w:rPr>
        <w:t>克孜勒苏柯尔克孜自治州社会保险中心2024年度，实有人数43人，其中：在职人员24人，增加2人；离休人员0人，增加0人；退休人员19人,增加1人。</w:t>
      </w:r>
    </w:p>
    <w:p w14:paraId="66BAC066">
      <w:pPr>
        <w:spacing w:line="580" w:lineRule="exact"/>
        <w:ind w:firstLine="640"/>
        <w:jc w:val="both"/>
      </w:pPr>
      <w:r>
        <w:rPr>
          <w:rFonts w:ascii="仿宋_GB2312" w:hAnsi="仿宋_GB2312" w:eastAsia="仿宋_GB2312"/>
          <w:sz w:val="32"/>
        </w:rPr>
        <w:t>克孜勒苏柯尔克孜自治州社会保险中心无下属预算单位，下设6个科室，分别是：办公室、社会保险征缴科、社会保险结算科、社会保险计划财务科、社会保险稽核科、社会保险档案科。</w:t>
      </w:r>
    </w:p>
    <w:p w14:paraId="4F48BB29">
      <w:r>
        <w:br w:type="page"/>
      </w:r>
    </w:p>
    <w:p w14:paraId="1708F2F7">
      <w:pPr>
        <w:spacing w:line="240" w:lineRule="auto"/>
        <w:jc w:val="center"/>
        <w:outlineLvl w:val="1"/>
      </w:pPr>
      <w:r>
        <w:rPr>
          <w:rFonts w:ascii="黑体" w:hAnsi="黑体" w:eastAsia="黑体"/>
          <w:sz w:val="32"/>
        </w:rPr>
        <w:t>第二部分 部门决算情况说明</w:t>
      </w:r>
    </w:p>
    <w:p w14:paraId="62FF1F6C">
      <w:pPr>
        <w:spacing w:line="640" w:lineRule="exact"/>
        <w:ind w:firstLine="640"/>
        <w:jc w:val="both"/>
        <w:outlineLvl w:val="2"/>
      </w:pPr>
      <w:r>
        <w:rPr>
          <w:rFonts w:ascii="黑体" w:hAnsi="黑体" w:eastAsia="黑体"/>
          <w:sz w:val="32"/>
        </w:rPr>
        <w:t>一、收入支出决算总体情况说明</w:t>
      </w:r>
    </w:p>
    <w:p w14:paraId="664B2478">
      <w:pPr>
        <w:spacing w:line="580" w:lineRule="exact"/>
        <w:ind w:firstLine="640"/>
        <w:jc w:val="both"/>
      </w:pPr>
      <w:r>
        <w:rPr>
          <w:rFonts w:ascii="仿宋_GB2312" w:hAnsi="仿宋_GB2312" w:eastAsia="仿宋_GB2312"/>
          <w:b/>
          <w:sz w:val="32"/>
        </w:rPr>
        <w:t>2024年度收入总计621.86万元，</w:t>
      </w:r>
      <w:r>
        <w:rPr>
          <w:rFonts w:ascii="仿宋_GB2312" w:hAnsi="仿宋_GB2312" w:eastAsia="仿宋_GB2312"/>
          <w:b w:val="0"/>
          <w:sz w:val="32"/>
        </w:rPr>
        <w:t>其中：本年收入合计621.86万元，使用非财政拨款结余（含专用结余）0.00万元，年初结转和结余0.00万元。</w:t>
      </w:r>
    </w:p>
    <w:p w14:paraId="2F084192">
      <w:pPr>
        <w:spacing w:line="580" w:lineRule="exact"/>
        <w:ind w:firstLine="640"/>
        <w:jc w:val="both"/>
      </w:pPr>
      <w:r>
        <w:rPr>
          <w:rFonts w:ascii="仿宋_GB2312" w:hAnsi="仿宋_GB2312" w:eastAsia="仿宋_GB2312"/>
          <w:b/>
          <w:sz w:val="32"/>
        </w:rPr>
        <w:t>2024年度支出总计621.86万元，</w:t>
      </w:r>
      <w:r>
        <w:rPr>
          <w:rFonts w:ascii="仿宋_GB2312" w:hAnsi="仿宋_GB2312" w:eastAsia="仿宋_GB2312"/>
          <w:b w:val="0"/>
          <w:sz w:val="32"/>
        </w:rPr>
        <w:t>其中：本年支出合计621.86万元，结余分配0.00万元，年末结转和结余0.00万元。</w:t>
      </w:r>
    </w:p>
    <w:p w14:paraId="1018CE96">
      <w:pPr>
        <w:spacing w:line="580" w:lineRule="exact"/>
        <w:ind w:firstLine="640"/>
        <w:jc w:val="both"/>
      </w:pPr>
      <w:r>
        <w:rPr>
          <w:rFonts w:ascii="仿宋_GB2312" w:hAnsi="仿宋_GB2312" w:eastAsia="仿宋_GB2312"/>
          <w:b w:val="0"/>
          <w:sz w:val="32"/>
        </w:rPr>
        <w:t>收入支出总体与上年相比，增加32.00万元，增长5.43%，主要原因是：本年在职人员增加，在职人员工资调增、社保、公积金基数调增，人员经费增加。</w:t>
      </w:r>
    </w:p>
    <w:p w14:paraId="67EA8FC7">
      <w:pPr>
        <w:spacing w:line="640" w:lineRule="exact"/>
        <w:ind w:firstLine="640"/>
        <w:jc w:val="both"/>
        <w:outlineLvl w:val="2"/>
      </w:pPr>
      <w:r>
        <w:rPr>
          <w:rFonts w:ascii="黑体" w:hAnsi="黑体" w:eastAsia="黑体"/>
          <w:sz w:val="32"/>
        </w:rPr>
        <w:t>二、收入决算情况说明</w:t>
      </w:r>
    </w:p>
    <w:p w14:paraId="152263E4">
      <w:pPr>
        <w:spacing w:line="580" w:lineRule="exact"/>
        <w:ind w:firstLine="640"/>
        <w:jc w:val="both"/>
      </w:pPr>
      <w:r>
        <w:rPr>
          <w:rFonts w:ascii="仿宋_GB2312" w:hAnsi="仿宋_GB2312" w:eastAsia="仿宋_GB2312"/>
          <w:b/>
          <w:sz w:val="32"/>
        </w:rPr>
        <w:t>本年收入621.86万元，</w:t>
      </w:r>
      <w:r>
        <w:rPr>
          <w:rFonts w:ascii="仿宋_GB2312" w:hAnsi="仿宋_GB2312" w:eastAsia="仿宋_GB2312"/>
          <w:b w:val="0"/>
          <w:sz w:val="32"/>
        </w:rPr>
        <w:t>其中：财政拨款收入621.84万元，占100.00%；上级补助收入0.00万元，占0.00%；事业收入0.00万元，占0.00%；经营收入0.00万元，占0.00%；附属单位上缴收入0.00万元，占0.00%；其他收入0.01万元，占0.002%。</w:t>
      </w:r>
    </w:p>
    <w:p w14:paraId="67D4C12F">
      <w:pPr>
        <w:spacing w:line="640" w:lineRule="exact"/>
        <w:ind w:firstLine="640"/>
        <w:jc w:val="both"/>
        <w:outlineLvl w:val="2"/>
      </w:pPr>
      <w:r>
        <w:rPr>
          <w:rFonts w:ascii="黑体" w:hAnsi="黑体" w:eastAsia="黑体"/>
          <w:sz w:val="32"/>
        </w:rPr>
        <w:t>三、支出决算情况说明</w:t>
      </w:r>
    </w:p>
    <w:p w14:paraId="363AADD3">
      <w:pPr>
        <w:spacing w:line="580" w:lineRule="exact"/>
        <w:ind w:firstLine="640"/>
        <w:jc w:val="both"/>
      </w:pPr>
      <w:r>
        <w:rPr>
          <w:rFonts w:ascii="仿宋_GB2312" w:hAnsi="仿宋_GB2312" w:eastAsia="仿宋_GB2312"/>
          <w:b/>
          <w:sz w:val="32"/>
        </w:rPr>
        <w:t>本年支出621.86万元，</w:t>
      </w:r>
      <w:r>
        <w:rPr>
          <w:rFonts w:ascii="仿宋_GB2312" w:hAnsi="仿宋_GB2312" w:eastAsia="仿宋_GB2312"/>
          <w:b w:val="0"/>
          <w:sz w:val="32"/>
        </w:rPr>
        <w:t>其中：基本支出526.23万元，占84.62%；项目支出95.63万元，占15.38%；上缴上级支出0.00万元，占0.00%；经营支出0.00万元，占0.00%；对附属单位补助支出0.00万元，占0.00%。</w:t>
      </w:r>
    </w:p>
    <w:p w14:paraId="39F5176D">
      <w:pPr>
        <w:spacing w:line="640" w:lineRule="exact"/>
        <w:ind w:firstLine="640"/>
        <w:jc w:val="both"/>
        <w:outlineLvl w:val="2"/>
      </w:pPr>
      <w:r>
        <w:rPr>
          <w:rFonts w:ascii="黑体" w:hAnsi="黑体" w:eastAsia="黑体"/>
          <w:sz w:val="32"/>
        </w:rPr>
        <w:t>四、财政拨款收入支出决算总体情况说明</w:t>
      </w:r>
    </w:p>
    <w:p w14:paraId="67E7ADFC">
      <w:pPr>
        <w:spacing w:line="580" w:lineRule="exact"/>
        <w:ind w:firstLine="640"/>
        <w:jc w:val="both"/>
      </w:pPr>
      <w:r>
        <w:rPr>
          <w:rFonts w:ascii="仿宋_GB2312" w:hAnsi="仿宋_GB2312" w:eastAsia="仿宋_GB2312"/>
          <w:b/>
          <w:sz w:val="32"/>
        </w:rPr>
        <w:t>2024年度财政拨款收入总计621.84万元，</w:t>
      </w:r>
      <w:r>
        <w:rPr>
          <w:rFonts w:ascii="仿宋_GB2312" w:hAnsi="仿宋_GB2312" w:eastAsia="仿宋_GB2312"/>
          <w:b w:val="0"/>
          <w:sz w:val="32"/>
        </w:rPr>
        <w:t>其中：年初财政拨款结转和结余0.00万元，本年财政拨款收入621.84万元。</w:t>
      </w:r>
      <w:r>
        <w:rPr>
          <w:rFonts w:ascii="仿宋_GB2312" w:hAnsi="仿宋_GB2312" w:eastAsia="仿宋_GB2312"/>
          <w:b/>
          <w:sz w:val="32"/>
        </w:rPr>
        <w:t>财政拨款支出总计621.84万元，</w:t>
      </w:r>
      <w:r>
        <w:rPr>
          <w:rFonts w:ascii="仿宋_GB2312" w:hAnsi="仿宋_GB2312" w:eastAsia="仿宋_GB2312"/>
          <w:b w:val="0"/>
          <w:sz w:val="32"/>
        </w:rPr>
        <w:t>其中：年末财政拨款结转和结余0.00万元，本年财政拨款支出621.84万元。</w:t>
      </w:r>
    </w:p>
    <w:p w14:paraId="64C5A9B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增加32.07万元，增长5.44%，主要原因是：本年在职人员增加，在职人员工资调增、社保、公积金基数调增，人员经费增加。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年初预算数544.52万元，决算数621.84万元，预决算差异率14.20%，主要原因是：本年在职人员增加，年中追加人员经费及人员工资、社保、公积金基数调增部分资金，导致预决算存在差异。</w:t>
      </w:r>
    </w:p>
    <w:p w14:paraId="746C16D5">
      <w:pPr>
        <w:spacing w:line="640" w:lineRule="exact"/>
        <w:ind w:firstLine="640"/>
        <w:jc w:val="both"/>
        <w:outlineLvl w:val="2"/>
      </w:pPr>
      <w:r>
        <w:rPr>
          <w:rFonts w:ascii="黑体" w:hAnsi="黑体" w:eastAsia="黑体"/>
          <w:sz w:val="32"/>
        </w:rPr>
        <w:t>五、一般公共预算财政拨款支出决算情况说明</w:t>
      </w:r>
    </w:p>
    <w:p w14:paraId="4A40EAD9">
      <w:pPr>
        <w:spacing w:line="640" w:lineRule="exact"/>
        <w:ind w:firstLine="640"/>
        <w:jc w:val="both"/>
        <w:outlineLvl w:val="3"/>
      </w:pPr>
      <w:r>
        <w:rPr>
          <w:rFonts w:ascii="楷体_GB2312" w:hAnsi="楷体_GB2312" w:eastAsia="楷体_GB2312"/>
          <w:b/>
          <w:sz w:val="32"/>
        </w:rPr>
        <w:t>（一）一般公共预算财政拨款支出决算总体情况</w:t>
      </w:r>
    </w:p>
    <w:p w14:paraId="01746EE0">
      <w:pPr>
        <w:spacing w:line="580" w:lineRule="exact"/>
        <w:ind w:firstLine="640"/>
        <w:jc w:val="both"/>
      </w:pPr>
      <w:r>
        <w:rPr>
          <w:rFonts w:ascii="仿宋_GB2312" w:hAnsi="仿宋_GB2312" w:eastAsia="仿宋_GB2312"/>
          <w:b/>
          <w:sz w:val="32"/>
        </w:rPr>
        <w:t>2024年度一般公共预算财政拨款支出621.84万元，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增加32.07万元，增长5.44%，主要原因是：本年在职人员增加，在职人员工资调增、社保、公积金基数调增，人员经费增加。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年初预算数544.52万元，决算数621.84万元，预决算差异率14.20%，主要原因是：本年在职人员增加，年中追加人员经费及人员工资、社保、公积金基数调增部分资金，导致预决算存在差异。</w:t>
      </w:r>
    </w:p>
    <w:p w14:paraId="115BE51D">
      <w:pPr>
        <w:spacing w:line="640" w:lineRule="exact"/>
        <w:ind w:firstLine="640"/>
        <w:jc w:val="both"/>
        <w:outlineLvl w:val="3"/>
      </w:pPr>
      <w:r>
        <w:rPr>
          <w:rFonts w:ascii="楷体_GB2312" w:hAnsi="楷体_GB2312" w:eastAsia="楷体_GB2312"/>
          <w:b/>
          <w:sz w:val="32"/>
        </w:rPr>
        <w:t>（二）一般公共预算财政拨款支出决算结构情况</w:t>
      </w:r>
    </w:p>
    <w:p w14:paraId="10F38C32">
      <w:pPr>
        <w:spacing w:line="580" w:lineRule="exact"/>
        <w:ind w:firstLine="640"/>
        <w:jc w:val="both"/>
      </w:pPr>
      <w:r>
        <w:rPr>
          <w:rFonts w:ascii="仿宋_GB2312" w:hAnsi="仿宋_GB2312" w:eastAsia="仿宋_GB2312"/>
          <w:b w:val="0"/>
          <w:sz w:val="32"/>
        </w:rPr>
        <w:t>1.社会保障和就业支出(类)621.84万元,占100.00%。</w:t>
      </w:r>
    </w:p>
    <w:p w14:paraId="4E0D1672">
      <w:pPr>
        <w:spacing w:line="640" w:lineRule="exact"/>
        <w:ind w:firstLine="640"/>
        <w:jc w:val="both"/>
        <w:outlineLvl w:val="3"/>
      </w:pPr>
      <w:r>
        <w:rPr>
          <w:rFonts w:ascii="楷体_GB2312" w:hAnsi="楷体_GB2312" w:eastAsia="楷体_GB2312"/>
          <w:b/>
          <w:sz w:val="32"/>
        </w:rPr>
        <w:t>（三）一般公共预算财政拨款支出决算具体情况</w:t>
      </w:r>
    </w:p>
    <w:p w14:paraId="6FF89D87">
      <w:pPr>
        <w:spacing w:line="580" w:lineRule="exact"/>
        <w:ind w:firstLine="640"/>
        <w:jc w:val="both"/>
      </w:pPr>
      <w:r>
        <w:rPr>
          <w:rFonts w:ascii="仿宋_GB2312" w:hAnsi="仿宋_GB2312" w:eastAsia="仿宋_GB2312"/>
          <w:b w:val="0"/>
          <w:sz w:val="32"/>
        </w:rPr>
        <w:t>1.社会保障和就业支出(类)人力资源和社会保障管理事务(款)社会保险经办机构(项):支出决算数为481.16万元，比上年决算增加40.54万元，增长9.20%,主要原因是：本年在职人员增加，人员工资调增，相关人员经费增加。</w:t>
      </w:r>
    </w:p>
    <w:p w14:paraId="2D382609">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26.07万元，比上年决算增加3.77万元，增长16.91%,主要原因是：本年在职人员转退休一人，补发上年绩效奖，导致退休费较上年增加。</w:t>
      </w:r>
    </w:p>
    <w:p w14:paraId="41508683">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43.82万元，比上年决算增加5.48万元，增长14.29%,主要原因是：本年在职人员增加，养老保险缴费较上年增加。</w:t>
      </w:r>
    </w:p>
    <w:p w14:paraId="1687A74A">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9.77万元，比上年决算减少4.08万元，下降29.46%,主要原因是：本年新增退休人员较上年减少，职业年金缴费较上年减少。</w:t>
      </w:r>
    </w:p>
    <w:p w14:paraId="5B2EF896">
      <w:pPr>
        <w:spacing w:line="580" w:lineRule="exact"/>
        <w:ind w:firstLine="640"/>
        <w:jc w:val="both"/>
      </w:pPr>
      <w:r>
        <w:rPr>
          <w:rFonts w:ascii="仿宋_GB2312" w:hAnsi="仿宋_GB2312" w:eastAsia="仿宋_GB2312"/>
          <w:b w:val="0"/>
          <w:sz w:val="32"/>
        </w:rPr>
        <w:t>5.社会保障和就业支出(类)企业改革补助(款)其他企业改革发展补助(项):支出决算数为41.80万元，比上年决算减少14.28万元，下降25.46%,主要原因是：本年95年前企业退休人员生活补助减少，相关经费减少。</w:t>
      </w:r>
    </w:p>
    <w:p w14:paraId="62874EFE">
      <w:pPr>
        <w:spacing w:line="580" w:lineRule="exact"/>
        <w:ind w:firstLine="640"/>
        <w:jc w:val="both"/>
      </w:pPr>
      <w:r>
        <w:rPr>
          <w:rFonts w:ascii="仿宋_GB2312" w:hAnsi="仿宋_GB2312" w:eastAsia="仿宋_GB2312"/>
          <w:b w:val="0"/>
          <w:sz w:val="32"/>
        </w:rPr>
        <w:t>6.社会保障和就业支出(类)就业补助(款)就业见习补贴(项):支出决算数为19.22万元，比上年决算增加0.65万元，增长3.50%,主要原因是：本年就业见习补贴实际发放人员增多，见习生补贴经费增加。</w:t>
      </w:r>
    </w:p>
    <w:p w14:paraId="6F02C469">
      <w:pPr>
        <w:spacing w:line="640" w:lineRule="exact"/>
        <w:ind w:firstLine="640"/>
        <w:jc w:val="both"/>
        <w:outlineLvl w:val="2"/>
      </w:pPr>
      <w:r>
        <w:rPr>
          <w:rFonts w:ascii="黑体" w:hAnsi="黑体" w:eastAsia="黑体"/>
          <w:sz w:val="32"/>
        </w:rPr>
        <w:t>六、一般公共预算财政拨款基本支出决算情况说明</w:t>
      </w:r>
    </w:p>
    <w:p w14:paraId="701E7F68">
      <w:pPr>
        <w:spacing w:line="580" w:lineRule="exact"/>
        <w:ind w:firstLine="640"/>
        <w:jc w:val="both"/>
      </w:pPr>
      <w:r>
        <w:rPr>
          <w:rFonts w:ascii="仿宋_GB2312" w:hAnsi="仿宋_GB2312" w:eastAsia="仿宋_GB2312"/>
          <w:b w:val="0"/>
          <w:sz w:val="32"/>
        </w:rPr>
        <w:t>2024年度一般公共预算财政拨款基本支出526.22万元，其中：</w:t>
      </w:r>
      <w:r>
        <w:rPr>
          <w:rFonts w:ascii="仿宋_GB2312" w:hAnsi="仿宋_GB2312" w:eastAsia="仿宋_GB2312"/>
          <w:b/>
          <w:sz w:val="32"/>
        </w:rPr>
        <w:t>人员经费490.59万元，</w:t>
      </w:r>
      <w:r>
        <w:rPr>
          <w:rFonts w:ascii="仿宋_GB2312" w:hAnsi="仿宋_GB2312" w:eastAsia="仿宋_GB2312"/>
          <w:b w:val="0"/>
          <w:sz w:val="32"/>
        </w:rPr>
        <w:t>包括：基本工资、津贴补贴、奖金、伙食补助费、机关事业单位基本养老保险缴费、职业年金缴费、职工基本医疗保险缴费、其他社会保障缴费、住房公积金、其他工资福利支出、退休费、生活补助、奖励金。</w:t>
      </w:r>
    </w:p>
    <w:p w14:paraId="22213970">
      <w:pPr>
        <w:spacing w:line="580" w:lineRule="exact"/>
        <w:ind w:firstLine="640"/>
        <w:jc w:val="both"/>
      </w:pPr>
      <w:r>
        <w:rPr>
          <w:rFonts w:ascii="仿宋_GB2312" w:hAnsi="仿宋_GB2312" w:eastAsia="仿宋_GB2312"/>
          <w:b/>
          <w:sz w:val="32"/>
        </w:rPr>
        <w:t>公用经费35.63万元，</w:t>
      </w:r>
      <w:r>
        <w:rPr>
          <w:rFonts w:ascii="仿宋_GB2312" w:hAnsi="仿宋_GB2312" w:eastAsia="仿宋_GB2312"/>
          <w:b w:val="0"/>
          <w:sz w:val="32"/>
        </w:rPr>
        <w:t>包括：办公费、印刷费、水费、电费、差旅费、维修（护）费、培训费、公务接待费、劳务费、工会经费、福利费、公务用车运行维护费、办公设备购置。</w:t>
      </w:r>
    </w:p>
    <w:p w14:paraId="714E6983">
      <w:pPr>
        <w:spacing w:line="640" w:lineRule="exact"/>
        <w:ind w:firstLine="640"/>
        <w:jc w:val="both"/>
        <w:outlineLvl w:val="2"/>
      </w:pPr>
      <w:r>
        <w:rPr>
          <w:rFonts w:ascii="黑体" w:hAnsi="黑体" w:eastAsia="黑体"/>
          <w:sz w:val="32"/>
        </w:rPr>
        <w:t>七、政府性基金预算财政拨款收入支出决算情况说明</w:t>
      </w:r>
    </w:p>
    <w:p w14:paraId="4915172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2B7E07D">
      <w:pPr>
        <w:spacing w:line="640" w:lineRule="exact"/>
        <w:ind w:firstLine="640"/>
        <w:jc w:val="both"/>
        <w:outlineLvl w:val="2"/>
      </w:pPr>
      <w:r>
        <w:rPr>
          <w:rFonts w:ascii="黑体" w:hAnsi="黑体" w:eastAsia="黑体"/>
          <w:sz w:val="32"/>
        </w:rPr>
        <w:t>八、国有资本经营预算财政拨款收入支出决算情况说明</w:t>
      </w:r>
    </w:p>
    <w:p w14:paraId="5524327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B72543D">
      <w:pPr>
        <w:spacing w:line="640" w:lineRule="exact"/>
        <w:ind w:firstLine="640"/>
        <w:jc w:val="both"/>
        <w:outlineLvl w:val="2"/>
      </w:pPr>
      <w:r>
        <w:rPr>
          <w:rFonts w:ascii="黑体" w:hAnsi="黑体" w:eastAsia="黑体"/>
          <w:sz w:val="32"/>
        </w:rPr>
        <w:t>九、财政拨款“三公”经费支出决算情况说明</w:t>
      </w:r>
    </w:p>
    <w:p w14:paraId="6197FA03">
      <w:pPr>
        <w:spacing w:line="580" w:lineRule="exact"/>
        <w:ind w:firstLine="640"/>
        <w:jc w:val="both"/>
      </w:pPr>
      <w:r>
        <w:rPr>
          <w:rFonts w:ascii="仿宋_GB2312" w:hAnsi="仿宋_GB2312" w:eastAsia="仿宋_GB2312"/>
          <w:b/>
          <w:sz w:val="32"/>
        </w:rPr>
        <w:t>2024年度财政拨款“三公”经费支出4.03万元，</w:t>
      </w:r>
      <w:r>
        <w:rPr>
          <w:rFonts w:ascii="仿宋_GB2312" w:hAnsi="仿宋_GB2312" w:eastAsia="仿宋_GB2312"/>
          <w:b w:val="0"/>
          <w:sz w:val="32"/>
        </w:rPr>
        <w:t>比上年减少0.19万元，下降4.50%，主要原因是：严格落实中央八项规定精神，厉行节约，减少公务接待费、公务用车运行维护费。其中：因公出国（境）费支出0.00万元，占0.00%，比上年增加0.00万元，增长0.00%，主要原因是：2023年与2024年均未安排因公出国（境）费支出。公务用车购置及运行维护费支出3.85万元，占95.53%，比上年减少0.15万元，下降3.75%，主要原因是：本年车辆维修减少，公务用车运行维护费减少。公务接待费支出0.18万元，占4.47%，比上年减少0.04万元，下降18.18%，主要原因是：严格落实中央八项规定精神，厉行节约，减少公务接待费。</w:t>
      </w:r>
    </w:p>
    <w:p w14:paraId="38300424">
      <w:pPr>
        <w:spacing w:line="580" w:lineRule="exact"/>
        <w:ind w:firstLine="640"/>
        <w:jc w:val="both"/>
      </w:pPr>
      <w:r>
        <w:rPr>
          <w:rFonts w:ascii="仿宋_GB2312" w:hAnsi="仿宋_GB2312" w:eastAsia="仿宋_GB2312"/>
          <w:b/>
          <w:sz w:val="32"/>
        </w:rPr>
        <w:t>具体情况如下：</w:t>
      </w:r>
    </w:p>
    <w:p w14:paraId="10CA842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6FCA8C3">
      <w:pPr>
        <w:spacing w:line="580" w:lineRule="exact"/>
        <w:ind w:firstLine="640"/>
        <w:jc w:val="both"/>
      </w:pPr>
      <w:r>
        <w:rPr>
          <w:rFonts w:ascii="仿宋_GB2312" w:hAnsi="仿宋_GB2312" w:eastAsia="仿宋_GB2312"/>
          <w:b w:val="0"/>
          <w:sz w:val="32"/>
        </w:rPr>
        <w:t>公务用车购置及运行维护费3.85万元，其中：公务用车购置费0.00万元，公务用车运行维护费3.85万元。公务用车运行维护费开支内容包括车辆加油费、维修费、保险费、审车费。公务用车购置数0辆，公务用车保有量2辆。国有资产占用情况中固定资产车辆2辆，与公务用车保有量差异原因是：本单位固定资产车辆与公务用车保有量一致无差异。</w:t>
      </w:r>
    </w:p>
    <w:p w14:paraId="331C4238">
      <w:pPr>
        <w:spacing w:line="580" w:lineRule="exact"/>
        <w:ind w:firstLine="640"/>
        <w:jc w:val="both"/>
      </w:pPr>
      <w:r>
        <w:rPr>
          <w:rFonts w:ascii="仿宋_GB2312" w:hAnsi="仿宋_GB2312" w:eastAsia="仿宋_GB2312"/>
          <w:b w:val="0"/>
          <w:sz w:val="32"/>
        </w:rPr>
        <w:t>公务接待费0.18万元，开支内容包括开展调研及业务活动、交流学习时产生的餐费。单位全年安排的国内公务接待6批次，30人次。</w:t>
      </w:r>
    </w:p>
    <w:p w14:paraId="1BD858F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4.03万元，决算数4.03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3.85万元，决算数3.85万元，预决算差异率0.00%，主要原因是：严格按照预算执行，预决算无差异。公务接待费全年预算数0.18万元，决算数0.18万元，预决算差异率0.00%，主要原因是：严格按照预算执行，预决算无差异。</w:t>
      </w:r>
    </w:p>
    <w:p w14:paraId="7E441881">
      <w:pPr>
        <w:spacing w:line="640" w:lineRule="exact"/>
        <w:ind w:firstLine="640"/>
        <w:jc w:val="both"/>
        <w:outlineLvl w:val="2"/>
      </w:pPr>
      <w:r>
        <w:rPr>
          <w:rFonts w:ascii="黑体" w:hAnsi="黑体" w:eastAsia="黑体"/>
          <w:sz w:val="32"/>
        </w:rPr>
        <w:t>十、其他重要事项的情况说明</w:t>
      </w:r>
    </w:p>
    <w:p w14:paraId="7918521E">
      <w:pPr>
        <w:spacing w:line="640" w:lineRule="exact"/>
        <w:ind w:firstLine="640"/>
        <w:jc w:val="both"/>
        <w:outlineLvl w:val="3"/>
      </w:pPr>
      <w:r>
        <w:rPr>
          <w:rFonts w:ascii="楷体_GB2312" w:hAnsi="楷体_GB2312" w:eastAsia="楷体_GB2312"/>
          <w:b/>
          <w:sz w:val="32"/>
        </w:rPr>
        <w:t>（一）机关运行经费及公用经费支出情况</w:t>
      </w:r>
    </w:p>
    <w:p w14:paraId="153FE85F">
      <w:pPr>
        <w:spacing w:line="580" w:lineRule="exact"/>
        <w:ind w:firstLine="640"/>
        <w:jc w:val="both"/>
      </w:pPr>
      <w:r>
        <w:rPr>
          <w:rFonts w:ascii="仿宋_GB2312" w:hAnsi="仿宋_GB2312" w:eastAsia="仿宋_GB2312"/>
          <w:b w:val="0"/>
          <w:sz w:val="32"/>
        </w:rPr>
        <w:t>2024年度克孜勒苏柯尔克孜自治州社会保险中心（行政单位和参照公务员法管理事业单位）机关运行经费支出35.63万元，比上年减少30.27万元，下降45.93%，主要原因是：本年办公费、差旅费等经费减少，机关运行经费支出减少。</w:t>
      </w:r>
    </w:p>
    <w:p w14:paraId="45EBA5D8">
      <w:pPr>
        <w:spacing w:line="640" w:lineRule="exact"/>
        <w:ind w:firstLine="640"/>
        <w:jc w:val="both"/>
        <w:outlineLvl w:val="3"/>
      </w:pPr>
      <w:r>
        <w:rPr>
          <w:rFonts w:ascii="楷体_GB2312" w:hAnsi="楷体_GB2312" w:eastAsia="楷体_GB2312"/>
          <w:b/>
          <w:sz w:val="32"/>
        </w:rPr>
        <w:t>（二）政府采购情况</w:t>
      </w:r>
    </w:p>
    <w:p w14:paraId="77470546">
      <w:pPr>
        <w:spacing w:line="580" w:lineRule="exact"/>
        <w:ind w:firstLine="640"/>
        <w:jc w:val="both"/>
      </w:pPr>
      <w:r>
        <w:rPr>
          <w:rFonts w:ascii="仿宋_GB2312" w:hAnsi="仿宋_GB2312" w:eastAsia="仿宋_GB2312"/>
          <w:b w:val="0"/>
          <w:sz w:val="32"/>
        </w:rPr>
        <w:t>2024年度政府采购支出总额37.72万元，其中：政府采购货物支出16.80万元、政府采购工程支出0.00万元、政府采购服务支出20.92万元。</w:t>
      </w:r>
    </w:p>
    <w:p w14:paraId="09D63BCE">
      <w:pPr>
        <w:spacing w:line="580" w:lineRule="exact"/>
        <w:ind w:firstLine="640"/>
        <w:jc w:val="both"/>
      </w:pPr>
      <w:r>
        <w:rPr>
          <w:rFonts w:ascii="仿宋_GB2312" w:hAnsi="仿宋_GB2312" w:eastAsia="仿宋_GB2312"/>
          <w:b w:val="0"/>
          <w:sz w:val="32"/>
        </w:rPr>
        <w:t>授予中小企业合同金额33.39万元，占政府采购支出总额的88.52%，其中：授予小微企业合同金额33.39万元，占政府采购支出总额的88.52%。</w:t>
      </w:r>
    </w:p>
    <w:p w14:paraId="4F8F2357">
      <w:pPr>
        <w:spacing w:line="640" w:lineRule="exact"/>
        <w:ind w:firstLine="640"/>
        <w:jc w:val="both"/>
        <w:outlineLvl w:val="3"/>
      </w:pPr>
      <w:r>
        <w:rPr>
          <w:rFonts w:ascii="楷体_GB2312" w:hAnsi="楷体_GB2312" w:eastAsia="楷体_GB2312"/>
          <w:b/>
          <w:sz w:val="32"/>
        </w:rPr>
        <w:t>（三）国有资产占用情况说明</w:t>
      </w:r>
    </w:p>
    <w:p w14:paraId="76B1AE43">
      <w:pPr>
        <w:spacing w:line="580" w:lineRule="exact"/>
        <w:ind w:firstLine="640"/>
        <w:jc w:val="both"/>
      </w:pPr>
      <w:r>
        <w:rPr>
          <w:rFonts w:ascii="仿宋_GB2312" w:hAnsi="仿宋_GB2312" w:eastAsia="仿宋_GB2312"/>
          <w:b w:val="0"/>
          <w:sz w:val="32"/>
        </w:rPr>
        <w:t>截至2024年12月31日，房屋0.00平方米，价值0.00万元。车辆2辆，价值67.36万元，其中：副部（省）级及以上领导用车0辆、主要负责人用车0辆、机要通信用车0辆、应急保障用车0辆、执法执勤用车0辆、特种专业技术用车0辆、离退休干部服务用车0辆、其他用车2辆，其他用车主要是：单位办公使用的公务用车。单价100万元（含）以上设备（不含车辆）0台（套）。</w:t>
      </w:r>
    </w:p>
    <w:p w14:paraId="55A04FEC">
      <w:pPr>
        <w:spacing w:line="640" w:lineRule="exact"/>
        <w:ind w:firstLine="640"/>
        <w:jc w:val="both"/>
        <w:outlineLvl w:val="2"/>
      </w:pPr>
      <w:r>
        <w:rPr>
          <w:rFonts w:ascii="黑体" w:hAnsi="黑体" w:eastAsia="黑体"/>
          <w:sz w:val="32"/>
        </w:rPr>
        <w:t>十一、预算绩效的情况说明</w:t>
      </w:r>
    </w:p>
    <w:p w14:paraId="1E365FD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621.85万元，实际执行总额621.85万元；预算绩效评价项目4个，全年预算数76.40万元，全年执行数76.40万元。预算绩效管理取得的成效：一是本单位以绩效目标实现为导向，加强制度建设，提升预算执行质量，预算绩效管理取得一定成效。预算绩效管理取得的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问题财政绩效管理有待提高。相关绩效管理方面专业知识的系统性学习有待加强。二是原因分析按照财政支出绩效管理的要求，建立科学的财政资金效益考评制度体系，不断完善绩效评价的评价体系及工作流程，提高财政资金使用管理的水平和效率。对预算绩效管理、绩效理念尚未真正贯穿于实践工作，相关工作人员经验不足，绩效管理</w:t>
      </w:r>
      <w:r>
        <w:rPr>
          <w:rFonts w:hint="eastAsia" w:ascii="仿宋_GB2312" w:hAnsi="仿宋_GB2312" w:eastAsia="仿宋_GB2312"/>
          <w:b w:val="0"/>
          <w:sz w:val="32"/>
          <w:lang w:eastAsia="zh-CN"/>
        </w:rPr>
        <w:t>意识不强</w:t>
      </w:r>
      <w:r>
        <w:rPr>
          <w:rFonts w:ascii="仿宋_GB2312" w:hAnsi="仿宋_GB2312" w:eastAsia="仿宋_GB2312"/>
          <w:b w:val="0"/>
          <w:sz w:val="32"/>
        </w:rPr>
        <w:t>，对于指标的编制还不够完善。评价工作还存在自我审定的局限性，影响评价质量。下一步改进措施：强化运行监管，突出结果导向。预算项目和预算资金一经批复，相关单位应当迅速组织执行并加强管理，财政及有关监督部门应当动态掌握情况并监督实施。一是确定监控重点。按照“有申报就有监控、有执行就要跟进”的要求，重点对社会关注度高的民生工程、影响地方经济社会发展的基础设施建设工程的推进运行情况进行全过程监督。二是明确监管内容。要把项目的绩效目标实现程度、资金使用、项目实施、项目管理等情况全部纳入监督范围。三是强化整改措施。绩效运行中发现的问题，要即知即改；绩效评价时指出的问题，要问责问效；管理机制上存在的问题，要标本兼治。具体附整体支出绩效自评表，项目支出绩效自评表和评价报告。</w:t>
      </w:r>
    </w:p>
    <w:p w14:paraId="7E37AD33"/>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7CF0FF6">
        <w:tblPrEx>
          <w:tblCellMar>
            <w:top w:w="0" w:type="dxa"/>
            <w:left w:w="108" w:type="dxa"/>
            <w:bottom w:w="0" w:type="dxa"/>
            <w:right w:w="108" w:type="dxa"/>
          </w:tblCellMar>
        </w:tblPrEx>
        <w:tc>
          <w:tcPr>
            <w:tcW w:w="8840" w:type="dxa"/>
            <w:gridSpan w:val="8"/>
            <w:vAlign w:val="center"/>
          </w:tcPr>
          <w:p w14:paraId="6E0BBE10">
            <w:pPr>
              <w:jc w:val="center"/>
            </w:pPr>
            <w:r>
              <w:rPr>
                <w:rFonts w:ascii="宋体" w:hAnsi="宋体" w:eastAsia="宋体"/>
                <w:sz w:val="24"/>
              </w:rPr>
              <w:t>单位整体支出绩效自评表</w:t>
            </w:r>
          </w:p>
        </w:tc>
      </w:tr>
      <w:tr w14:paraId="663D66E7">
        <w:tblPrEx>
          <w:tblCellMar>
            <w:top w:w="0" w:type="dxa"/>
            <w:left w:w="108" w:type="dxa"/>
            <w:bottom w:w="0" w:type="dxa"/>
            <w:right w:w="108" w:type="dxa"/>
          </w:tblCellMar>
        </w:tblPrEx>
        <w:tc>
          <w:tcPr>
            <w:tcW w:w="8840" w:type="dxa"/>
            <w:gridSpan w:val="8"/>
            <w:vAlign w:val="center"/>
          </w:tcPr>
          <w:p w14:paraId="772F1DC2">
            <w:pPr>
              <w:jc w:val="center"/>
            </w:pPr>
            <w:r>
              <w:rPr>
                <w:rFonts w:ascii="宋体" w:hAnsi="宋体" w:eastAsia="宋体"/>
                <w:sz w:val="24"/>
              </w:rPr>
              <w:t>（2024年度）</w:t>
            </w:r>
          </w:p>
        </w:tc>
      </w:tr>
      <w:tr w14:paraId="41180FC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4B2BA2">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EB1D06">
            <w:pPr>
              <w:jc w:val="center"/>
            </w:pPr>
            <w:r>
              <w:rPr>
                <w:rFonts w:ascii="宋体" w:hAnsi="宋体" w:eastAsia="宋体"/>
                <w:sz w:val="16"/>
              </w:rPr>
              <w:t>克孜勒苏柯尔克孜自治州社会保险中心</w:t>
            </w:r>
          </w:p>
        </w:tc>
      </w:tr>
      <w:tr w14:paraId="0573485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7EA0F">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37373D">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84C929">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276C49">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F9E856">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7AC14D">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9C2747">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C94EA8">
            <w:pPr>
              <w:jc w:val="center"/>
            </w:pPr>
            <w:r>
              <w:rPr>
                <w:rFonts w:ascii="宋体" w:hAnsi="宋体" w:eastAsia="宋体"/>
                <w:sz w:val="16"/>
              </w:rPr>
              <w:t>得分</w:t>
            </w:r>
          </w:p>
        </w:tc>
      </w:tr>
      <w:tr w14:paraId="0D2E6ED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2F80BC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3FA2D9">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6DCAEE">
            <w:pPr>
              <w:jc w:val="center"/>
            </w:pPr>
            <w:r>
              <w:rPr>
                <w:rFonts w:ascii="宋体" w:hAnsi="宋体" w:eastAsia="宋体"/>
                <w:sz w:val="16"/>
              </w:rPr>
              <w:t>544.52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C6CA5F">
            <w:pPr>
              <w:jc w:val="center"/>
            </w:pPr>
            <w:r>
              <w:rPr>
                <w:rFonts w:ascii="宋体" w:hAnsi="宋体" w:eastAsia="宋体"/>
                <w:sz w:val="16"/>
              </w:rPr>
              <w:t>621.85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2C929B">
            <w:pPr>
              <w:jc w:val="center"/>
            </w:pPr>
            <w:r>
              <w:rPr>
                <w:rFonts w:ascii="宋体" w:hAnsi="宋体" w:eastAsia="宋体"/>
                <w:sz w:val="16"/>
              </w:rPr>
              <w:t>621.85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49BD7B">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0BC2ED">
            <w:pPr>
              <w:jc w:val="center"/>
            </w:pPr>
            <w:r>
              <w:rPr>
                <w:rFonts w:ascii="宋体" w:hAnsi="宋体" w:eastAsia="宋体"/>
                <w:sz w:val="16"/>
              </w:rPr>
              <w:t>100.00%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5F7ED5">
            <w:pPr>
              <w:jc w:val="center"/>
              <w:rPr>
                <w:rFonts w:hint="default" w:eastAsia="宋体"/>
                <w:lang w:val="en-US" w:eastAsia="zh-CN"/>
              </w:rPr>
            </w:pPr>
            <w:r>
              <w:rPr>
                <w:rFonts w:hint="eastAsia" w:ascii="宋体" w:hAnsi="宋体"/>
                <w:sz w:val="16"/>
                <w:lang w:val="en-US" w:eastAsia="zh-CN"/>
              </w:rPr>
              <w:t>10.00分</w:t>
            </w:r>
          </w:p>
        </w:tc>
      </w:tr>
      <w:tr w14:paraId="2A2EFCC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0B105F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06DB27">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095BD0">
            <w:pPr>
              <w:jc w:val="center"/>
            </w:pPr>
            <w:r>
              <w:rPr>
                <w:rFonts w:ascii="宋体" w:hAnsi="宋体" w:eastAsia="宋体"/>
                <w:sz w:val="16"/>
              </w:rPr>
              <w:t>52.18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66713C">
            <w:pPr>
              <w:jc w:val="center"/>
            </w:pPr>
            <w:r>
              <w:rPr>
                <w:rFonts w:ascii="宋体" w:hAnsi="宋体" w:eastAsia="宋体"/>
                <w:sz w:val="16"/>
              </w:rPr>
              <w:t>78.02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668F49">
            <w:pPr>
              <w:jc w:val="center"/>
            </w:pPr>
            <w:r>
              <w:rPr>
                <w:rFonts w:ascii="宋体" w:hAnsi="宋体" w:eastAsia="宋体"/>
                <w:sz w:val="16"/>
              </w:rPr>
              <w:t>78.02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EAD20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F5C4B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E96AF7">
            <w:pPr>
              <w:jc w:val="center"/>
            </w:pPr>
            <w:r>
              <w:rPr>
                <w:rFonts w:ascii="宋体" w:hAnsi="宋体" w:eastAsia="宋体"/>
                <w:sz w:val="16"/>
              </w:rPr>
              <w:t>—</w:t>
            </w:r>
          </w:p>
        </w:tc>
      </w:tr>
      <w:tr w14:paraId="3D465DA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05919A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C1F9E0">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162E23">
            <w:pPr>
              <w:jc w:val="center"/>
            </w:pPr>
            <w:r>
              <w:rPr>
                <w:rFonts w:ascii="宋体" w:hAnsi="宋体" w:eastAsia="宋体"/>
                <w:sz w:val="16"/>
              </w:rPr>
              <w:t>492.34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3458B3">
            <w:pPr>
              <w:jc w:val="center"/>
            </w:pPr>
            <w:r>
              <w:rPr>
                <w:rFonts w:ascii="宋体" w:hAnsi="宋体" w:eastAsia="宋体"/>
                <w:sz w:val="16"/>
              </w:rPr>
              <w:t>543.83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017963">
            <w:pPr>
              <w:jc w:val="center"/>
            </w:pPr>
            <w:r>
              <w:rPr>
                <w:rFonts w:ascii="宋体" w:hAnsi="宋体" w:eastAsia="宋体"/>
                <w:sz w:val="16"/>
              </w:rPr>
              <w:t>543.83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58A92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AACF48">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8C1798">
            <w:pPr>
              <w:jc w:val="center"/>
            </w:pPr>
            <w:r>
              <w:rPr>
                <w:rFonts w:ascii="宋体" w:hAnsi="宋体" w:eastAsia="宋体"/>
                <w:sz w:val="16"/>
              </w:rPr>
              <w:t>—</w:t>
            </w:r>
          </w:p>
        </w:tc>
      </w:tr>
      <w:tr w14:paraId="46AC89E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0AD9C9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8E5840">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D586B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8A0C7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AC307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1F5DB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FFD82B">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BD9B1A">
            <w:pPr>
              <w:jc w:val="center"/>
            </w:pPr>
            <w:r>
              <w:rPr>
                <w:rFonts w:ascii="宋体" w:hAnsi="宋体" w:eastAsia="宋体"/>
                <w:sz w:val="16"/>
              </w:rPr>
              <w:t>—</w:t>
            </w:r>
          </w:p>
        </w:tc>
      </w:tr>
      <w:tr w14:paraId="2B31D61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0BD5CD">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E05AD21">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A79EDF">
            <w:pPr>
              <w:jc w:val="center"/>
            </w:pPr>
            <w:r>
              <w:rPr>
                <w:rFonts w:ascii="宋体" w:hAnsi="宋体" w:eastAsia="宋体"/>
                <w:sz w:val="16"/>
              </w:rPr>
              <w:t>实际完成情况</w:t>
            </w:r>
          </w:p>
        </w:tc>
      </w:tr>
      <w:tr w14:paraId="3B5791F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E17B252"/>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B32737B">
            <w:pPr>
              <w:jc w:val="both"/>
            </w:pPr>
            <w:r>
              <w:rPr>
                <w:rFonts w:ascii="宋体" w:hAnsi="宋体" w:eastAsia="宋体"/>
                <w:sz w:val="16"/>
              </w:rPr>
              <w:t>扎实开展精准扩面，确保符合条件的法定人员“应保尽保”。全州职工养老保险参保达到12.26万人，其中：机关事业单位养老保险参保5.83万人，企业养老保险参保6.43万人；城乡居民养老保险参保26.10万人，工伤保险参保9.99万人，失业保险参保6.83万人，参保覆盖率达到95%以上。持续在深入实施全民参保计划上发力，推进法定人员应保尽保。落实“县-乡（镇、街道）-村（社区）”基层参保扩面责任体系，进一步加强跨部门共享协同机制建设，促进精准扩面能力有效提升。持续落实困难群体未参加城乡居民基本养老保险“动态清零”。有序引导符合条件的新型职业农民等农村劳动力参加城镇职工养老保险。发挥城乡居民基本养老保险“兜底”参保作用，积极推进农村地区养老保险应保尽保。进一步完善工程建设领域按项目参加工伤保险工作机制。</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持续在推进社保重点政策落实上发力，切实保障群众合法权益。继续推进扩大失业保险保障范围及稳岗返还等政策的落实，规范失业保险金申领发放和失业保险关系转移接续。按政策要求推进公务员和参照公务员法管理单位工作人员参加工伤保险工作。推进各项社会保险待遇的调整，确保各项社保待遇按时足额发放到位。</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持续在筑牢基金风险防控底线上发力，确保社会保险基金安全。持续落实全国社保基金管理提升年行动，健全政策、经办、系统、监督“四位一体”的基金管理风险防控体系，努力提升风险防控能力。强化跨部门、跨系统数据筛查比对，大力开展数据稽核，及时化解基金安全风险隐患，确保社保基金安全。</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100F17">
            <w:pPr>
              <w:jc w:val="both"/>
            </w:pPr>
            <w:r>
              <w:rPr>
                <w:rFonts w:ascii="宋体" w:hAnsi="宋体" w:eastAsia="宋体"/>
                <w:sz w:val="16"/>
              </w:rPr>
              <w:t>扎实开展精准扩面，确保符合条件的法定人员“应保尽保”。全州职工养老保险参保达到12.26万人，其中：机关事业单位养老保险参保5.83万人，企业养老保险参保6.43万人；城乡居民养老保险参保26.10万人，工伤保险参保9.99万人，失业保险参保6.83万人，参保覆盖率达到95%以上。持续在深入实施全民参保计划上发力，推进法定人员应保尽保。落实“县-乡（镇、街道）-村（社区）”基层参保扩面责任体系，进一步加强跨部门共享协同机制建设，促进精准扩面能力有效提升。持续落实困难群体未参加城乡居民基本养老保险“动态清零”。有序引导符合条件的新型职业农民等农村劳动力参加城镇职工养老保险。发挥城乡居民基本养老保险“兜底”参保作用，积极推进农村地区养老保险应保尽保。进一步完善工程建设领域按项目参加工伤保险工作机制。</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持续在推进社保重点政策落实上发力，切实保障群众合法权益。继续推进扩大失业保险保障范围及稳岗返还等政策的落实，规范失业保险金申领发放和失业保险关系转移接续。按政策要求推进公务员和参照公务员法管理单位工作人员参加工伤保险工作。推进各项社会保险待遇的调整，确保各项社保待遇按时足额发放到位。</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持续在筑牢基金风险防控底线上发力，确保社会保险基金安全。持续落实全国社保基金管理提升年行动，健全政策、经办、系统、监督“四位一体”的基金管理风险防控体系，努力提升风险防控能力。强化跨部门、跨系统数据筛查比对，大力开展数据稽核，及时</w:t>
            </w:r>
            <w:bookmarkStart w:id="0" w:name="_GoBack"/>
            <w:r>
              <w:rPr>
                <w:rFonts w:ascii="宋体" w:hAnsi="宋体" w:eastAsia="宋体"/>
                <w:sz w:val="16"/>
              </w:rPr>
              <w:t>化解</w:t>
            </w:r>
            <w:bookmarkEnd w:id="0"/>
            <w:r>
              <w:rPr>
                <w:rFonts w:ascii="宋体" w:hAnsi="宋体" w:eastAsia="宋体"/>
                <w:sz w:val="16"/>
              </w:rPr>
              <w:t>基金安全风险隐患，确保社保基金安全。</w:t>
            </w:r>
          </w:p>
        </w:tc>
      </w:tr>
      <w:tr w14:paraId="5E7265C5">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ADB828">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94959E">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EC11FC">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4833A0">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BDF007">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01186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FDC4B8">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FF608F">
            <w:pPr>
              <w:jc w:val="center"/>
            </w:pPr>
            <w:r>
              <w:rPr>
                <w:rFonts w:ascii="宋体" w:hAnsi="宋体" w:eastAsia="宋体"/>
                <w:sz w:val="16"/>
              </w:rPr>
              <w:t>得分</w:t>
            </w:r>
          </w:p>
        </w:tc>
      </w:tr>
      <w:tr w14:paraId="1673B11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F88825">
            <w:pPr>
              <w:jc w:val="center"/>
            </w:pPr>
            <w:r>
              <w:rPr>
                <w:rFonts w:ascii="宋体" w:hAnsi="宋体" w:eastAsia="宋体"/>
                <w:sz w:val="16"/>
              </w:rPr>
              <w:t>管理效率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382DED">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67F761">
            <w:pPr>
              <w:jc w:val="center"/>
            </w:pPr>
            <w:r>
              <w:rPr>
                <w:rFonts w:ascii="宋体" w:hAnsi="宋体" w:eastAsia="宋体"/>
                <w:sz w:val="16"/>
              </w:rPr>
              <w:t>参保覆盖率（%）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BEAFBD">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5B9516">
            <w:pPr>
              <w:jc w:val="center"/>
            </w:pPr>
            <w:r>
              <w:rPr>
                <w:rFonts w:ascii="宋体" w:hAnsi="宋体" w:eastAsia="宋体"/>
                <w:sz w:val="16"/>
              </w:rPr>
              <w:t>2024年工作要点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00BCA7">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211492">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D6542A">
            <w:pPr>
              <w:jc w:val="center"/>
            </w:pPr>
            <w:r>
              <w:rPr>
                <w:rFonts w:ascii="宋体" w:hAnsi="宋体" w:eastAsia="宋体"/>
                <w:sz w:val="16"/>
              </w:rPr>
              <w:t>10</w:t>
            </w:r>
          </w:p>
        </w:tc>
      </w:tr>
      <w:tr w14:paraId="661B213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07FABD">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3DA20D">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9D5F50">
            <w:pPr>
              <w:jc w:val="center"/>
            </w:pPr>
            <w:r>
              <w:rPr>
                <w:rFonts w:ascii="宋体" w:hAnsi="宋体" w:eastAsia="宋体"/>
                <w:sz w:val="16"/>
              </w:rPr>
              <w:t>机关事业单位养老保险参保职工人数达到（万人）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27AEEE">
            <w:pPr>
              <w:jc w:val="center"/>
            </w:pPr>
            <w:r>
              <w:rPr>
                <w:rFonts w:ascii="宋体" w:hAnsi="宋体" w:eastAsia="宋体"/>
                <w:sz w:val="16"/>
              </w:rPr>
              <w:t>&gt;=5.83万人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94F94C">
            <w:pPr>
              <w:jc w:val="center"/>
            </w:pPr>
            <w:r>
              <w:rPr>
                <w:rFonts w:ascii="宋体" w:hAnsi="宋体" w:eastAsia="宋体"/>
                <w:sz w:val="16"/>
              </w:rPr>
              <w:t>2024年工作要点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683D1C">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0BFD6B">
            <w:pPr>
              <w:jc w:val="center"/>
            </w:pPr>
            <w:r>
              <w:rPr>
                <w:rFonts w:ascii="宋体" w:hAnsi="宋体" w:eastAsia="宋体"/>
                <w:sz w:val="16"/>
              </w:rPr>
              <w:t>5.88万人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0773B3">
            <w:pPr>
              <w:jc w:val="center"/>
            </w:pPr>
            <w:r>
              <w:rPr>
                <w:rFonts w:ascii="宋体" w:hAnsi="宋体" w:eastAsia="宋体"/>
                <w:sz w:val="16"/>
              </w:rPr>
              <w:t>15</w:t>
            </w:r>
          </w:p>
        </w:tc>
      </w:tr>
      <w:tr w14:paraId="3C93D5A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48099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DCE6C5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E52419">
            <w:pPr>
              <w:jc w:val="center"/>
            </w:pPr>
            <w:r>
              <w:rPr>
                <w:rFonts w:ascii="宋体" w:hAnsi="宋体" w:eastAsia="宋体"/>
                <w:sz w:val="16"/>
              </w:rPr>
              <w:t>企业基本养老保险参保职工人数达到（万人）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F17C23">
            <w:pPr>
              <w:jc w:val="center"/>
            </w:pPr>
            <w:r>
              <w:rPr>
                <w:rFonts w:ascii="宋体" w:hAnsi="宋体" w:eastAsia="宋体"/>
                <w:sz w:val="16"/>
              </w:rPr>
              <w:t>&gt;=6.43万人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9C4D2C">
            <w:pPr>
              <w:jc w:val="center"/>
            </w:pPr>
            <w:r>
              <w:rPr>
                <w:rFonts w:ascii="宋体" w:hAnsi="宋体" w:eastAsia="宋体"/>
                <w:sz w:val="16"/>
              </w:rPr>
              <w:t>2024年工作要点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FD81D8">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2F5CF2">
            <w:pPr>
              <w:jc w:val="center"/>
            </w:pPr>
            <w:r>
              <w:rPr>
                <w:rFonts w:ascii="宋体" w:hAnsi="宋体" w:eastAsia="宋体"/>
                <w:sz w:val="16"/>
              </w:rPr>
              <w:t>7.20万人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E46A58">
            <w:pPr>
              <w:jc w:val="center"/>
            </w:pPr>
            <w:r>
              <w:rPr>
                <w:rFonts w:ascii="宋体" w:hAnsi="宋体" w:eastAsia="宋体"/>
                <w:sz w:val="16"/>
              </w:rPr>
              <w:t>15</w:t>
            </w:r>
          </w:p>
        </w:tc>
      </w:tr>
      <w:tr w14:paraId="6A91EA8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F72312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86777F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DF1DF3">
            <w:pPr>
              <w:jc w:val="center"/>
            </w:pPr>
            <w:r>
              <w:rPr>
                <w:rFonts w:ascii="宋体" w:hAnsi="宋体" w:eastAsia="宋体"/>
                <w:sz w:val="16"/>
              </w:rPr>
              <w:t>工伤保险参保人数达到（万人）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36E04F">
            <w:pPr>
              <w:jc w:val="center"/>
            </w:pPr>
            <w:r>
              <w:rPr>
                <w:rFonts w:ascii="宋体" w:hAnsi="宋体" w:eastAsia="宋体"/>
                <w:sz w:val="16"/>
              </w:rPr>
              <w:t>&gt;=9.99万人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569E7D">
            <w:pPr>
              <w:jc w:val="center"/>
            </w:pPr>
            <w:r>
              <w:rPr>
                <w:rFonts w:ascii="宋体" w:hAnsi="宋体" w:eastAsia="宋体"/>
                <w:sz w:val="16"/>
              </w:rPr>
              <w:t>2024年工作要点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F3EE93">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85C394">
            <w:pPr>
              <w:jc w:val="center"/>
            </w:pPr>
            <w:r>
              <w:rPr>
                <w:rFonts w:ascii="宋体" w:hAnsi="宋体" w:eastAsia="宋体"/>
                <w:sz w:val="16"/>
              </w:rPr>
              <w:t>10.87万人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F02591">
            <w:pPr>
              <w:jc w:val="center"/>
            </w:pPr>
            <w:r>
              <w:rPr>
                <w:rFonts w:ascii="宋体" w:hAnsi="宋体" w:eastAsia="宋体"/>
                <w:sz w:val="16"/>
              </w:rPr>
              <w:t>15</w:t>
            </w:r>
          </w:p>
        </w:tc>
      </w:tr>
      <w:tr w14:paraId="73477E9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45FD83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DB06FB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FCD254">
            <w:pPr>
              <w:jc w:val="center"/>
            </w:pPr>
            <w:r>
              <w:rPr>
                <w:rFonts w:ascii="宋体" w:hAnsi="宋体" w:eastAsia="宋体"/>
                <w:sz w:val="16"/>
              </w:rPr>
              <w:t>失业保险参保人数达到（万人）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38B151">
            <w:pPr>
              <w:jc w:val="center"/>
            </w:pPr>
            <w:r>
              <w:rPr>
                <w:rFonts w:ascii="宋体" w:hAnsi="宋体" w:eastAsia="宋体"/>
                <w:sz w:val="16"/>
              </w:rPr>
              <w:t>&gt;=6.83万人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C878BC">
            <w:pPr>
              <w:jc w:val="center"/>
            </w:pPr>
            <w:r>
              <w:rPr>
                <w:rFonts w:ascii="宋体" w:hAnsi="宋体" w:eastAsia="宋体"/>
                <w:sz w:val="16"/>
              </w:rPr>
              <w:t>2024年工作要点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10F306">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30B58C">
            <w:pPr>
              <w:jc w:val="center"/>
            </w:pPr>
            <w:r>
              <w:rPr>
                <w:rFonts w:ascii="宋体" w:hAnsi="宋体" w:eastAsia="宋体"/>
                <w:sz w:val="16"/>
              </w:rPr>
              <w:t>6.9万人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BD4727">
            <w:pPr>
              <w:jc w:val="center"/>
            </w:pPr>
            <w:r>
              <w:rPr>
                <w:rFonts w:ascii="宋体" w:hAnsi="宋体" w:eastAsia="宋体"/>
                <w:sz w:val="16"/>
              </w:rPr>
              <w:t>15</w:t>
            </w:r>
          </w:p>
        </w:tc>
      </w:tr>
      <w:tr w14:paraId="193B1A5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4E930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145C01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5A4C39">
            <w:pPr>
              <w:jc w:val="center"/>
            </w:pPr>
            <w:r>
              <w:rPr>
                <w:rFonts w:ascii="宋体" w:hAnsi="宋体" w:eastAsia="宋体"/>
                <w:sz w:val="16"/>
              </w:rPr>
              <w:t>城乡居民养老保险参保人数达到（万人）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88AFC3">
            <w:pPr>
              <w:jc w:val="center"/>
            </w:pPr>
            <w:r>
              <w:rPr>
                <w:rFonts w:ascii="宋体" w:hAnsi="宋体" w:eastAsia="宋体"/>
                <w:sz w:val="16"/>
              </w:rPr>
              <w:t>&gt;=26.10万人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590C00">
            <w:pPr>
              <w:jc w:val="center"/>
            </w:pPr>
            <w:r>
              <w:rPr>
                <w:rFonts w:ascii="宋体" w:hAnsi="宋体" w:eastAsia="宋体"/>
                <w:sz w:val="16"/>
              </w:rPr>
              <w:t>2024年工作要点</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0059A4">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C802D6">
            <w:pPr>
              <w:jc w:val="center"/>
            </w:pPr>
            <w:r>
              <w:rPr>
                <w:rFonts w:ascii="宋体" w:hAnsi="宋体" w:eastAsia="宋体"/>
                <w:sz w:val="16"/>
              </w:rPr>
              <w:t>26.49万人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48D519">
            <w:pPr>
              <w:jc w:val="center"/>
            </w:pPr>
            <w:r>
              <w:rPr>
                <w:rFonts w:ascii="宋体" w:hAnsi="宋体" w:eastAsia="宋体"/>
                <w:sz w:val="16"/>
              </w:rPr>
              <w:t>20</w:t>
            </w:r>
          </w:p>
        </w:tc>
      </w:tr>
    </w:tbl>
    <w:p w14:paraId="1B5A45E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30731DE">
        <w:tblPrEx>
          <w:tblCellMar>
            <w:top w:w="0" w:type="dxa"/>
            <w:left w:w="108" w:type="dxa"/>
            <w:bottom w:w="0" w:type="dxa"/>
            <w:right w:w="108" w:type="dxa"/>
          </w:tblCellMar>
        </w:tblPrEx>
        <w:tc>
          <w:tcPr>
            <w:tcW w:w="8848" w:type="dxa"/>
            <w:gridSpan w:val="14"/>
            <w:vAlign w:val="center"/>
          </w:tcPr>
          <w:p w14:paraId="5A80AEC0">
            <w:pPr>
              <w:jc w:val="center"/>
            </w:pPr>
            <w:r>
              <w:rPr>
                <w:rFonts w:ascii="宋体" w:hAnsi="宋体" w:eastAsia="宋体"/>
                <w:sz w:val="24"/>
              </w:rPr>
              <w:t>项目支出绩效自评表</w:t>
            </w:r>
          </w:p>
        </w:tc>
      </w:tr>
      <w:tr w14:paraId="5A2DCE05">
        <w:tblPrEx>
          <w:tblCellMar>
            <w:top w:w="0" w:type="dxa"/>
            <w:left w:w="108" w:type="dxa"/>
            <w:bottom w:w="0" w:type="dxa"/>
            <w:right w:w="108" w:type="dxa"/>
          </w:tblCellMar>
        </w:tblPrEx>
        <w:tc>
          <w:tcPr>
            <w:tcW w:w="8848" w:type="dxa"/>
            <w:gridSpan w:val="14"/>
            <w:vAlign w:val="center"/>
          </w:tcPr>
          <w:p w14:paraId="778CE1B5">
            <w:pPr>
              <w:jc w:val="center"/>
            </w:pPr>
            <w:r>
              <w:rPr>
                <w:rFonts w:ascii="宋体" w:hAnsi="宋体" w:eastAsia="宋体"/>
                <w:sz w:val="24"/>
              </w:rPr>
              <w:t>(2024年度)</w:t>
            </w:r>
          </w:p>
        </w:tc>
      </w:tr>
      <w:tr w14:paraId="5E73D5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1AF9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771AB6">
            <w:pPr>
              <w:jc w:val="center"/>
            </w:pPr>
            <w:r>
              <w:rPr>
                <w:rFonts w:ascii="宋体" w:hAnsi="宋体" w:eastAsia="宋体"/>
                <w:sz w:val="16"/>
              </w:rPr>
              <w:t>95年以前企业退休人员生活补助</w:t>
            </w:r>
          </w:p>
        </w:tc>
      </w:tr>
      <w:tr w14:paraId="36B71F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D26C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487A06">
            <w:pPr>
              <w:jc w:val="center"/>
            </w:pPr>
            <w:r>
              <w:rPr>
                <w:rFonts w:ascii="宋体" w:hAnsi="宋体" w:eastAsia="宋体"/>
                <w:sz w:val="16"/>
              </w:rPr>
              <w:t>克孜勒苏柯尔克孜自治州社会保险中心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8C5C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F9D8F0">
            <w:pPr>
              <w:jc w:val="center"/>
            </w:pPr>
            <w:r>
              <w:rPr>
                <w:rFonts w:ascii="宋体" w:hAnsi="宋体" w:eastAsia="宋体"/>
                <w:sz w:val="16"/>
              </w:rPr>
              <w:t>克孜勒苏柯尔克孜自治州社会保险中心</w:t>
            </w:r>
          </w:p>
        </w:tc>
      </w:tr>
      <w:tr w14:paraId="49E45D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C9FA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8D4F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B0BC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6B6A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A8E2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67CB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F1D7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0B0CB">
            <w:pPr>
              <w:jc w:val="center"/>
            </w:pPr>
            <w:r>
              <w:rPr>
                <w:rFonts w:ascii="宋体" w:hAnsi="宋体" w:eastAsia="宋体"/>
                <w:sz w:val="16"/>
              </w:rPr>
              <w:t>得分</w:t>
            </w:r>
          </w:p>
        </w:tc>
      </w:tr>
      <w:tr w14:paraId="23A367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8BC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D118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33190">
            <w:pPr>
              <w:jc w:val="center"/>
            </w:pPr>
            <w:r>
              <w:rPr>
                <w:rFonts w:ascii="宋体" w:hAnsi="宋体" w:eastAsia="宋体"/>
                <w:sz w:val="16"/>
              </w:rPr>
              <w:t>35.18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88AC6">
            <w:pPr>
              <w:jc w:val="center"/>
            </w:pPr>
            <w:r>
              <w:rPr>
                <w:rFonts w:ascii="宋体" w:hAnsi="宋体" w:eastAsia="宋体"/>
                <w:sz w:val="16"/>
              </w:rPr>
              <w:t>41.80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937FD">
            <w:pPr>
              <w:jc w:val="center"/>
            </w:pPr>
            <w:r>
              <w:rPr>
                <w:rFonts w:ascii="宋体" w:hAnsi="宋体" w:eastAsia="宋体"/>
                <w:sz w:val="16"/>
              </w:rPr>
              <w:t>41.80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843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6625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55AC4">
            <w:pPr>
              <w:jc w:val="center"/>
            </w:pPr>
            <w:r>
              <w:rPr>
                <w:rFonts w:ascii="宋体" w:hAnsi="宋体" w:eastAsia="宋体"/>
                <w:sz w:val="16"/>
              </w:rPr>
              <w:t>10.00分</w:t>
            </w:r>
          </w:p>
        </w:tc>
      </w:tr>
      <w:tr w14:paraId="7DD01B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FE4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4AAA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08531">
            <w:pPr>
              <w:jc w:val="center"/>
            </w:pPr>
            <w:r>
              <w:rPr>
                <w:rFonts w:ascii="宋体" w:hAnsi="宋体" w:eastAsia="宋体"/>
                <w:sz w:val="16"/>
              </w:rPr>
              <w:t>35.18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19FFE">
            <w:pPr>
              <w:jc w:val="center"/>
            </w:pPr>
            <w:r>
              <w:rPr>
                <w:rFonts w:ascii="宋体" w:hAnsi="宋体" w:eastAsia="宋体"/>
                <w:sz w:val="16"/>
              </w:rPr>
              <w:t>41.80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65978">
            <w:pPr>
              <w:jc w:val="center"/>
            </w:pPr>
            <w:r>
              <w:rPr>
                <w:rFonts w:ascii="宋体" w:hAnsi="宋体" w:eastAsia="宋体"/>
                <w:sz w:val="16"/>
              </w:rPr>
              <w:t>41.80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381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31C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FB33">
            <w:pPr>
              <w:jc w:val="center"/>
            </w:pPr>
            <w:r>
              <w:rPr>
                <w:rFonts w:ascii="宋体" w:hAnsi="宋体" w:eastAsia="宋体"/>
                <w:sz w:val="16"/>
              </w:rPr>
              <w:t>—</w:t>
            </w:r>
          </w:p>
        </w:tc>
      </w:tr>
      <w:tr w14:paraId="66BD3E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165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415D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704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659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839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8DB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9B1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32419">
            <w:pPr>
              <w:jc w:val="center"/>
            </w:pPr>
            <w:r>
              <w:rPr>
                <w:rFonts w:ascii="宋体" w:hAnsi="宋体" w:eastAsia="宋体"/>
                <w:sz w:val="16"/>
              </w:rPr>
              <w:t>—</w:t>
            </w:r>
          </w:p>
        </w:tc>
      </w:tr>
      <w:tr w14:paraId="5D67AE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E8686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92FA1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372DFA">
            <w:pPr>
              <w:jc w:val="center"/>
            </w:pPr>
            <w:r>
              <w:rPr>
                <w:rFonts w:ascii="宋体" w:hAnsi="宋体" w:eastAsia="宋体"/>
                <w:sz w:val="16"/>
              </w:rPr>
              <w:t>实际完成情况</w:t>
            </w:r>
          </w:p>
        </w:tc>
      </w:tr>
      <w:tr w14:paraId="43050D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CCF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73791F">
            <w:pPr>
              <w:jc w:val="both"/>
            </w:pPr>
            <w:r>
              <w:rPr>
                <w:rFonts w:ascii="宋体" w:hAnsi="宋体" w:eastAsia="宋体"/>
                <w:sz w:val="16"/>
              </w:rPr>
              <w:t>该项目总资金41.8万元，其中财政资金41.8万元，其他资金0万元。主要用于全年保障95年以前退休人员按期足额领取生活补助，发放生活补助，让离退休人员享受国家发展改革成果，安享晚年，确保社会稳定和长治久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14B71B">
            <w:pPr>
              <w:jc w:val="both"/>
            </w:pPr>
            <w:r>
              <w:rPr>
                <w:rFonts w:hint="eastAsia" w:ascii="宋体" w:hAnsi="宋体"/>
                <w:sz w:val="16"/>
                <w:lang w:eastAsia="zh-CN"/>
              </w:rPr>
              <w:t>截至2024</w:t>
            </w:r>
            <w:r>
              <w:rPr>
                <w:rFonts w:ascii="宋体" w:hAnsi="宋体" w:eastAsia="宋体"/>
                <w:sz w:val="16"/>
              </w:rPr>
              <w:t>年12月31日，保障企业养老保险95年以前退休人数251人，主要用于全年保障95年以前退休人员按期足额领取生活补助，发放生活补助，让离退休人员享受国家发展改革成果，安享晚年，确保社会稳定和长治久安。</w:t>
            </w:r>
          </w:p>
        </w:tc>
      </w:tr>
      <w:tr w14:paraId="3A9815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C8E5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6FDC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8A21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7977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F5F0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228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435A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C335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0D89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17B3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492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A836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C9F79">
            <w:pPr>
              <w:jc w:val="center"/>
            </w:pPr>
            <w:r>
              <w:rPr>
                <w:rFonts w:ascii="宋体" w:hAnsi="宋体" w:eastAsia="宋体"/>
                <w:sz w:val="16"/>
              </w:rPr>
              <w:t>偏差原因分析及改进措施</w:t>
            </w:r>
          </w:p>
        </w:tc>
      </w:tr>
      <w:tr w14:paraId="7AB285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17AD7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8725D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69CE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B099E">
            <w:pPr>
              <w:jc w:val="center"/>
            </w:pPr>
            <w:r>
              <w:rPr>
                <w:rFonts w:ascii="宋体" w:hAnsi="宋体" w:eastAsia="宋体"/>
                <w:sz w:val="16"/>
              </w:rPr>
              <w:t>保障企业养老保险95年以前退休人数（人）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33865">
            <w:pPr>
              <w:jc w:val="center"/>
            </w:pPr>
            <w:r>
              <w:rPr>
                <w:rFonts w:ascii="宋体" w:hAnsi="宋体" w:eastAsia="宋体"/>
                <w:sz w:val="16"/>
              </w:rPr>
              <w:t>=290人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EA1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09A82">
            <w:pPr>
              <w:jc w:val="center"/>
            </w:pPr>
            <w:r>
              <w:rPr>
                <w:rFonts w:ascii="宋体" w:hAnsi="宋体" w:eastAsia="宋体"/>
                <w:sz w:val="16"/>
              </w:rPr>
              <w:t>955人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D88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D6A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591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AF5DF">
            <w:pPr>
              <w:jc w:val="center"/>
            </w:pPr>
            <w:r>
              <w:rPr>
                <w:rFonts w:ascii="宋体" w:hAnsi="宋体" w:eastAsia="宋体"/>
                <w:sz w:val="16"/>
              </w:rPr>
              <w:t>=251人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97299">
            <w:pPr>
              <w:jc w:val="center"/>
            </w:pPr>
            <w:r>
              <w:rPr>
                <w:rFonts w:ascii="宋体" w:hAnsi="宋体" w:eastAsia="宋体"/>
                <w:sz w:val="16"/>
              </w:rPr>
              <w:t>6.64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10FAA">
            <w:pPr>
              <w:jc w:val="center"/>
            </w:pPr>
            <w:r>
              <w:rPr>
                <w:rFonts w:ascii="宋体" w:hAnsi="宋体" w:eastAsia="宋体"/>
                <w:sz w:val="16"/>
              </w:rPr>
              <w:t>偏差原因：随着年龄的增大，人员的死亡，人员每年在减少；改进措施：按实际进行填写</w:t>
            </w:r>
          </w:p>
        </w:tc>
      </w:tr>
      <w:tr w14:paraId="02B0A4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DF5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D41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BF5B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E8E07">
            <w:pPr>
              <w:jc w:val="center"/>
            </w:pPr>
            <w:r>
              <w:rPr>
                <w:rFonts w:ascii="宋体" w:hAnsi="宋体" w:eastAsia="宋体"/>
                <w:sz w:val="16"/>
              </w:rPr>
              <w:t>资金足额发放率（%）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3A9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D7F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838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F81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2EC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4EA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BF4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DA63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AE6E2">
            <w:pPr>
              <w:jc w:val="center"/>
            </w:pPr>
          </w:p>
        </w:tc>
      </w:tr>
      <w:tr w14:paraId="07D5B1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A25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718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8A382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30E3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AB3E1">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E39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BD5FC">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5D2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95A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DA5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D40CB">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22D4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A2454">
            <w:pPr>
              <w:jc w:val="center"/>
            </w:pPr>
          </w:p>
        </w:tc>
      </w:tr>
      <w:tr w14:paraId="4BE0FA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06F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E3A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5D3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4275D">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01C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FC9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72A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A96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A18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CE3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90B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FDCB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2E5F3">
            <w:pPr>
              <w:jc w:val="center"/>
            </w:pPr>
          </w:p>
        </w:tc>
      </w:tr>
      <w:tr w14:paraId="309667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4D1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E980C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11FEB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3C6F5">
            <w:pPr>
              <w:jc w:val="center"/>
            </w:pPr>
            <w:r>
              <w:rPr>
                <w:rFonts w:ascii="宋体" w:hAnsi="宋体" w:eastAsia="宋体"/>
                <w:sz w:val="16"/>
              </w:rPr>
              <w:t>95年以前退休人员生活补助标准（元/人/月）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89D18">
            <w:pPr>
              <w:jc w:val="center"/>
            </w:pPr>
            <w:r>
              <w:rPr>
                <w:rFonts w:ascii="宋体" w:hAnsi="宋体" w:eastAsia="宋体"/>
                <w:sz w:val="16"/>
              </w:rPr>
              <w:t>&lt;=120元/人/月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5472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166D9">
            <w:pPr>
              <w:jc w:val="center"/>
            </w:pPr>
            <w:r>
              <w:rPr>
                <w:rFonts w:ascii="宋体" w:hAnsi="宋体" w:eastAsia="宋体"/>
                <w:sz w:val="16"/>
              </w:rPr>
              <w:t>56.08万元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053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723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77E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896D8">
            <w:pPr>
              <w:jc w:val="center"/>
            </w:pPr>
            <w:r>
              <w:rPr>
                <w:rFonts w:ascii="宋体" w:hAnsi="宋体" w:eastAsia="宋体"/>
                <w:sz w:val="16"/>
              </w:rPr>
              <w: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229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C2C24">
            <w:pPr>
              <w:jc w:val="center"/>
            </w:pPr>
          </w:p>
        </w:tc>
      </w:tr>
      <w:tr w14:paraId="1991A0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909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3BB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524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4D19D">
            <w:pPr>
              <w:jc w:val="center"/>
            </w:pPr>
            <w:r>
              <w:rPr>
                <w:rFonts w:ascii="宋体" w:hAnsi="宋体" w:eastAsia="宋体"/>
                <w:sz w:val="16"/>
              </w:rPr>
              <w:t>预算成本控制率（%）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E0C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165D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7F2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DEE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FD7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6BC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CE8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AFDC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17870">
            <w:pPr>
              <w:jc w:val="center"/>
            </w:pPr>
          </w:p>
        </w:tc>
      </w:tr>
      <w:tr w14:paraId="57B8B8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D6D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CD16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EE87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FCF58">
            <w:pPr>
              <w:jc w:val="center"/>
            </w:pPr>
            <w:r>
              <w:rPr>
                <w:rFonts w:ascii="宋体" w:hAnsi="宋体" w:eastAsia="宋体"/>
                <w:sz w:val="16"/>
              </w:rPr>
              <w:t>待遇确定机制和基础养老金调整机制不断完善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40A5">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6E0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581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9C3C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76F6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9AD2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86F09">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3971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C7BA7">
            <w:pPr>
              <w:jc w:val="center"/>
            </w:pPr>
          </w:p>
        </w:tc>
      </w:tr>
      <w:tr w14:paraId="6CC5B4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28D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345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B0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420A">
            <w:pPr>
              <w:jc w:val="center"/>
            </w:pPr>
            <w:r>
              <w:rPr>
                <w:rFonts w:ascii="宋体" w:hAnsi="宋体" w:eastAsia="宋体"/>
                <w:sz w:val="16"/>
              </w:rPr>
              <w:t>领取95年生活补助参保群众满意度（%）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89D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E48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9934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F52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C6BE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409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824B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019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3DEFA">
            <w:pPr>
              <w:jc w:val="center"/>
            </w:pPr>
          </w:p>
        </w:tc>
      </w:tr>
      <w:tr w14:paraId="5D09F6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A0D28">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352B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C83CB">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FB77AB">
            <w:pPr>
              <w:jc w:val="center"/>
            </w:pPr>
            <w:r>
              <w:rPr>
                <w:rFonts w:ascii="宋体" w:hAnsi="宋体" w:eastAsia="宋体"/>
                <w:sz w:val="16"/>
              </w:rPr>
              <w:t>96.64分</w:t>
            </w:r>
          </w:p>
        </w:tc>
      </w:tr>
    </w:tbl>
    <w:p w14:paraId="21D548E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BA98BB2">
        <w:tblPrEx>
          <w:tblCellMar>
            <w:top w:w="0" w:type="dxa"/>
            <w:left w:w="108" w:type="dxa"/>
            <w:bottom w:w="0" w:type="dxa"/>
            <w:right w:w="108" w:type="dxa"/>
          </w:tblCellMar>
        </w:tblPrEx>
        <w:tc>
          <w:tcPr>
            <w:tcW w:w="8848" w:type="dxa"/>
            <w:gridSpan w:val="14"/>
            <w:vAlign w:val="center"/>
          </w:tcPr>
          <w:p w14:paraId="3A535279">
            <w:pPr>
              <w:jc w:val="center"/>
            </w:pPr>
            <w:r>
              <w:rPr>
                <w:rFonts w:ascii="宋体" w:hAnsi="宋体" w:eastAsia="宋体"/>
                <w:sz w:val="24"/>
              </w:rPr>
              <w:t>项目支出绩效自评表</w:t>
            </w:r>
          </w:p>
        </w:tc>
      </w:tr>
      <w:tr w14:paraId="58D9E54A">
        <w:tblPrEx>
          <w:tblCellMar>
            <w:top w:w="0" w:type="dxa"/>
            <w:left w:w="108" w:type="dxa"/>
            <w:bottom w:w="0" w:type="dxa"/>
            <w:right w:w="108" w:type="dxa"/>
          </w:tblCellMar>
        </w:tblPrEx>
        <w:tc>
          <w:tcPr>
            <w:tcW w:w="8848" w:type="dxa"/>
            <w:gridSpan w:val="14"/>
            <w:vAlign w:val="center"/>
          </w:tcPr>
          <w:p w14:paraId="6F8B0445">
            <w:pPr>
              <w:jc w:val="center"/>
            </w:pPr>
            <w:r>
              <w:rPr>
                <w:rFonts w:ascii="宋体" w:hAnsi="宋体" w:eastAsia="宋体"/>
                <w:sz w:val="24"/>
              </w:rPr>
              <w:t>(2024年度)</w:t>
            </w:r>
          </w:p>
        </w:tc>
      </w:tr>
      <w:tr w14:paraId="2C1C90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9895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24622D">
            <w:pPr>
              <w:jc w:val="center"/>
            </w:pPr>
            <w:r>
              <w:rPr>
                <w:rFonts w:ascii="宋体" w:hAnsi="宋体" w:eastAsia="宋体"/>
                <w:sz w:val="16"/>
              </w:rPr>
              <w:t>社会保险经办审计经费项目</w:t>
            </w:r>
          </w:p>
        </w:tc>
      </w:tr>
      <w:tr w14:paraId="1F5BFA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5B02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FA7CC1">
            <w:pPr>
              <w:jc w:val="center"/>
            </w:pPr>
            <w:r>
              <w:rPr>
                <w:rFonts w:ascii="宋体" w:hAnsi="宋体" w:eastAsia="宋体"/>
                <w:sz w:val="16"/>
              </w:rPr>
              <w:t>克孜勒苏柯尔克孜自治州社会保险中心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FCBF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6FDC18">
            <w:pPr>
              <w:jc w:val="center"/>
            </w:pPr>
            <w:r>
              <w:rPr>
                <w:rFonts w:ascii="宋体" w:hAnsi="宋体" w:eastAsia="宋体"/>
                <w:sz w:val="16"/>
              </w:rPr>
              <w:t>克孜勒苏柯尔克孜自治州社会保险中心</w:t>
            </w:r>
          </w:p>
        </w:tc>
      </w:tr>
      <w:tr w14:paraId="3F4514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FF9EE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3936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58C0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05A1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75E7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D1AE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56D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AB157">
            <w:pPr>
              <w:jc w:val="center"/>
            </w:pPr>
            <w:r>
              <w:rPr>
                <w:rFonts w:ascii="宋体" w:hAnsi="宋体" w:eastAsia="宋体"/>
                <w:sz w:val="16"/>
              </w:rPr>
              <w:t>得分</w:t>
            </w:r>
          </w:p>
        </w:tc>
      </w:tr>
      <w:tr w14:paraId="7AE1FA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1EE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44A1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00CF1">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4287B">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3E189">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E9B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DF9BD">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A1E6B">
            <w:pPr>
              <w:jc w:val="center"/>
            </w:pPr>
            <w:r>
              <w:rPr>
                <w:rFonts w:ascii="宋体" w:hAnsi="宋体" w:eastAsia="宋体"/>
                <w:sz w:val="16"/>
              </w:rPr>
              <w:t>10.00分</w:t>
            </w:r>
          </w:p>
        </w:tc>
      </w:tr>
      <w:tr w14:paraId="6BD92E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D35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8F5F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4045E">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0C1B0">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CAE24">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1D2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669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66E4E">
            <w:pPr>
              <w:jc w:val="center"/>
            </w:pPr>
            <w:r>
              <w:rPr>
                <w:rFonts w:ascii="宋体" w:hAnsi="宋体" w:eastAsia="宋体"/>
                <w:sz w:val="16"/>
              </w:rPr>
              <w:t>—</w:t>
            </w:r>
          </w:p>
        </w:tc>
      </w:tr>
      <w:tr w14:paraId="681696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6A5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7379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65F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1ED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33F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0099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498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2E8E5">
            <w:pPr>
              <w:jc w:val="center"/>
            </w:pPr>
            <w:r>
              <w:rPr>
                <w:rFonts w:ascii="宋体" w:hAnsi="宋体" w:eastAsia="宋体"/>
                <w:sz w:val="16"/>
              </w:rPr>
              <w:t>—</w:t>
            </w:r>
          </w:p>
        </w:tc>
      </w:tr>
      <w:tr w14:paraId="0EF6AA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A490C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840B4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89C295">
            <w:pPr>
              <w:jc w:val="center"/>
            </w:pPr>
            <w:r>
              <w:rPr>
                <w:rFonts w:ascii="宋体" w:hAnsi="宋体" w:eastAsia="宋体"/>
                <w:sz w:val="16"/>
              </w:rPr>
              <w:t>实际完成情况</w:t>
            </w:r>
          </w:p>
        </w:tc>
      </w:tr>
      <w:tr w14:paraId="31D662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95D4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E8767B">
            <w:pPr>
              <w:jc w:val="both"/>
            </w:pPr>
            <w:r>
              <w:rPr>
                <w:rFonts w:ascii="宋体" w:hAnsi="宋体" w:eastAsia="宋体"/>
                <w:sz w:val="16"/>
              </w:rPr>
              <w:t>通过审计，寻找和发现社会保险政策执行、基金管理、内部控制等基金管理风险，有针对性地提出加强风险防控、强化监督管理的措施，推动完善政策制度，规范经办服务，提高精细化管理水平，维护社保基金安全，更好地保障社会保险事业健康持续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0C66D6">
            <w:pPr>
              <w:jc w:val="both"/>
            </w:pPr>
            <w:r>
              <w:rPr>
                <w:rFonts w:hint="eastAsia" w:ascii="宋体" w:hAnsi="宋体"/>
                <w:sz w:val="16"/>
                <w:lang w:eastAsia="zh-CN"/>
              </w:rPr>
              <w:t>截至</w:t>
            </w:r>
            <w:r>
              <w:rPr>
                <w:rFonts w:ascii="宋体" w:hAnsi="宋体" w:eastAsia="宋体"/>
                <w:sz w:val="16"/>
              </w:rPr>
              <w:t>2024年12月31日，内部审计次数（次）5次，内部审计培训次数（次）3次。通过审计，寻找和发现社会保险政策执行、基金管理、内部控制等基金管理风险，有针对性地提出加强风险防控、强化监督管理的措施，推动完善政策制度，规范经办服务，提高精细化管理水平，维护社保基金安全，更好地保障社会保险事业健康持续发展。</w:t>
            </w:r>
          </w:p>
        </w:tc>
      </w:tr>
      <w:tr w14:paraId="544436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D157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DDFE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F9E2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E9A3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FAF5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4184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0F15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E379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04B3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449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8038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FDFE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DE19A">
            <w:pPr>
              <w:jc w:val="center"/>
            </w:pPr>
            <w:r>
              <w:rPr>
                <w:rFonts w:ascii="宋体" w:hAnsi="宋体" w:eastAsia="宋体"/>
                <w:sz w:val="16"/>
              </w:rPr>
              <w:t>偏差原因分析及改进措施</w:t>
            </w:r>
          </w:p>
        </w:tc>
      </w:tr>
      <w:tr w14:paraId="6701B0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BF16C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1CB8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4C0B8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ED0F1">
            <w:pPr>
              <w:jc w:val="center"/>
            </w:pPr>
            <w:r>
              <w:rPr>
                <w:rFonts w:ascii="宋体" w:hAnsi="宋体" w:eastAsia="宋体"/>
                <w:sz w:val="16"/>
              </w:rPr>
              <w:t>内部审计次数（次）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F0BE8">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536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D4D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95A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D34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094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40581">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0718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ED68F">
            <w:pPr>
              <w:jc w:val="center"/>
            </w:pPr>
          </w:p>
        </w:tc>
      </w:tr>
      <w:tr w14:paraId="2128E3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50B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77E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C20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C3743">
            <w:pPr>
              <w:jc w:val="center"/>
            </w:pPr>
            <w:r>
              <w:rPr>
                <w:rFonts w:ascii="宋体" w:hAnsi="宋体" w:eastAsia="宋体"/>
                <w:sz w:val="16"/>
              </w:rPr>
              <w:t>内部审计培训次数（次）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2E762">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A32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B85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8F2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F58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DB4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4D8CB">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971B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4D6B5">
            <w:pPr>
              <w:jc w:val="center"/>
            </w:pPr>
          </w:p>
        </w:tc>
      </w:tr>
      <w:tr w14:paraId="733A5D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2A6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74F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E9165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8376A">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BF6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76C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3C7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D5A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837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BE3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827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A161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08D9E">
            <w:pPr>
              <w:jc w:val="center"/>
            </w:pPr>
          </w:p>
        </w:tc>
      </w:tr>
      <w:tr w14:paraId="200645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7E0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D6C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2FB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ABD9F">
            <w:pPr>
              <w:jc w:val="center"/>
            </w:pPr>
            <w:r>
              <w:rPr>
                <w:rFonts w:ascii="宋体" w:hAnsi="宋体" w:eastAsia="宋体"/>
                <w:sz w:val="16"/>
              </w:rPr>
              <w:t>审计建议采纳率（%）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A423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10C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8A2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187B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144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F64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9EA0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0D75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30330">
            <w:pPr>
              <w:jc w:val="center"/>
            </w:pPr>
          </w:p>
        </w:tc>
      </w:tr>
      <w:tr w14:paraId="2DC626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255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8848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8591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62313">
            <w:pPr>
              <w:jc w:val="center"/>
            </w:pPr>
            <w:r>
              <w:rPr>
                <w:rFonts w:ascii="宋体" w:hAnsi="宋体" w:eastAsia="宋体"/>
                <w:sz w:val="16"/>
              </w:rPr>
              <w:t>项目准备阶段期限(月）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85DE4">
            <w:pPr>
              <w:jc w:val="center"/>
            </w:pPr>
            <w:r>
              <w:rPr>
                <w:rFonts w:ascii="宋体" w:hAnsi="宋体" w:eastAsia="宋体"/>
                <w:sz w:val="16"/>
              </w:rPr>
              <w:t>=3个月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CD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21C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040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BA2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581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8A4F3">
            <w:pPr>
              <w:jc w:val="center"/>
            </w:pPr>
            <w:r>
              <w:rPr>
                <w:rFonts w:ascii="宋体" w:hAnsi="宋体" w:eastAsia="宋体"/>
                <w:sz w:val="16"/>
              </w:rPr>
              <w:t>=3个月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454C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E2F25">
            <w:pPr>
              <w:jc w:val="center"/>
            </w:pPr>
          </w:p>
        </w:tc>
      </w:tr>
      <w:tr w14:paraId="5F929D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B98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B91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A44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95D36">
            <w:pPr>
              <w:jc w:val="center"/>
            </w:pPr>
            <w:r>
              <w:rPr>
                <w:rFonts w:ascii="宋体" w:hAnsi="宋体" w:eastAsia="宋体"/>
                <w:sz w:val="16"/>
              </w:rPr>
              <w:t>项目审计实施阶段期限（月）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EF2B9">
            <w:pPr>
              <w:jc w:val="center"/>
            </w:pPr>
            <w:r>
              <w:rPr>
                <w:rFonts w:ascii="宋体" w:hAnsi="宋体" w:eastAsia="宋体"/>
                <w:sz w:val="16"/>
              </w:rPr>
              <w:t>=7个月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143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46B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CD6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A68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913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F0BB5">
            <w:pPr>
              <w:jc w:val="center"/>
            </w:pPr>
            <w:r>
              <w:rPr>
                <w:rFonts w:ascii="宋体" w:hAnsi="宋体" w:eastAsia="宋体"/>
                <w:sz w:val="16"/>
              </w:rPr>
              <w:t>=7个月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5D9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44D04">
            <w:pPr>
              <w:jc w:val="center"/>
            </w:pPr>
          </w:p>
        </w:tc>
      </w:tr>
      <w:tr w14:paraId="77ACE1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AD0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6A1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15E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AE75D">
            <w:pPr>
              <w:jc w:val="center"/>
            </w:pPr>
            <w:r>
              <w:rPr>
                <w:rFonts w:ascii="宋体" w:hAnsi="宋体" w:eastAsia="宋体"/>
                <w:sz w:val="16"/>
              </w:rPr>
              <w:t>项目整改阶段期限（月）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6B85B">
            <w:pPr>
              <w:jc w:val="center"/>
            </w:pPr>
            <w:r>
              <w:rPr>
                <w:rFonts w:ascii="宋体" w:hAnsi="宋体" w:eastAsia="宋体"/>
                <w:sz w:val="16"/>
              </w:rPr>
              <w:t>=2个月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554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569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08ED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A59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816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AA1CB">
            <w:pPr>
              <w:jc w:val="center"/>
            </w:pPr>
            <w:r>
              <w:rPr>
                <w:rFonts w:ascii="宋体" w:hAnsi="宋体" w:eastAsia="宋体"/>
                <w:sz w:val="16"/>
              </w:rPr>
              <w:t>=2个月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A566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62A8B">
            <w:pPr>
              <w:jc w:val="center"/>
            </w:pPr>
          </w:p>
        </w:tc>
      </w:tr>
      <w:tr w14:paraId="3BE961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5E0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8E0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889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F24DD">
            <w:pPr>
              <w:jc w:val="center"/>
            </w:pPr>
            <w:r>
              <w:rPr>
                <w:rFonts w:ascii="宋体" w:hAnsi="宋体" w:eastAsia="宋体"/>
                <w:sz w:val="16"/>
              </w:rPr>
              <w:t>审计报告出具及时性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DBF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671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0AF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D39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137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BC3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62A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EDFA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C2CB2">
            <w:pPr>
              <w:jc w:val="center"/>
            </w:pPr>
          </w:p>
        </w:tc>
      </w:tr>
      <w:tr w14:paraId="080802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B28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16559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2B323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2B533">
            <w:pPr>
              <w:jc w:val="center"/>
            </w:pPr>
            <w:r>
              <w:rPr>
                <w:rFonts w:ascii="宋体" w:hAnsi="宋体" w:eastAsia="宋体"/>
                <w:sz w:val="16"/>
              </w:rPr>
              <w:t>协助第三方审计培训经费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9537C">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F07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927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86A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9DF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0EE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73C49">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804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96D35">
            <w:pPr>
              <w:jc w:val="center"/>
            </w:pPr>
          </w:p>
        </w:tc>
      </w:tr>
      <w:tr w14:paraId="6FA95A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138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82E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130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53F07">
            <w:pPr>
              <w:jc w:val="center"/>
            </w:pPr>
            <w:r>
              <w:rPr>
                <w:rFonts w:ascii="宋体" w:hAnsi="宋体" w:eastAsia="宋体"/>
                <w:sz w:val="16"/>
              </w:rPr>
              <w:t>第三方审计经费（万元）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90791">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BFEB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E1E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B72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9B6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92C2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5636">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7A7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0026C">
            <w:pPr>
              <w:jc w:val="center"/>
            </w:pPr>
          </w:p>
        </w:tc>
      </w:tr>
      <w:tr w14:paraId="4709D9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0D0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DA93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3890F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0E54C">
            <w:pPr>
              <w:jc w:val="center"/>
            </w:pPr>
            <w:r>
              <w:rPr>
                <w:rFonts w:ascii="宋体" w:hAnsi="宋体" w:eastAsia="宋体"/>
                <w:sz w:val="16"/>
              </w:rPr>
              <w:t>维护基金安全的重要举措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E6B40">
            <w:pPr>
              <w:jc w:val="center"/>
            </w:pPr>
            <w:r>
              <w:rPr>
                <w:rFonts w:ascii="宋体" w:hAnsi="宋体" w:eastAsia="宋体"/>
                <w:sz w:val="16"/>
              </w:rPr>
              <w:t>有效维护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840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FE1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DDB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BFDD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9DBD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F8C3F">
            <w:pPr>
              <w:jc w:val="center"/>
            </w:pPr>
            <w:r>
              <w:rPr>
                <w:rFonts w:ascii="宋体" w:hAnsi="宋体" w:eastAsia="宋体"/>
                <w:sz w:val="16"/>
              </w:rPr>
              <w:t>有效维护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B2C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80001">
            <w:pPr>
              <w:jc w:val="center"/>
            </w:pPr>
          </w:p>
        </w:tc>
      </w:tr>
      <w:tr w14:paraId="34710A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1D4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894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C65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1DD21">
            <w:pPr>
              <w:jc w:val="center"/>
            </w:pPr>
            <w:r>
              <w:rPr>
                <w:rFonts w:ascii="宋体" w:hAnsi="宋体" w:eastAsia="宋体"/>
                <w:sz w:val="16"/>
              </w:rPr>
              <w:t>加强自治州社保经办能力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40361">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8D0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CE7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7A6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F10A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AE36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64B56">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D82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4E529">
            <w:pPr>
              <w:jc w:val="center"/>
            </w:pPr>
          </w:p>
        </w:tc>
      </w:tr>
      <w:tr w14:paraId="30D08F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6B5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497B37">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3FB7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F185A">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93B6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DE2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A51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EA6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B29F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264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04D5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1685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EDC96">
            <w:pPr>
              <w:jc w:val="center"/>
            </w:pPr>
          </w:p>
        </w:tc>
      </w:tr>
      <w:tr w14:paraId="006039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F73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7CF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BAF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BCAD9">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32E6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951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638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D25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14B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A6E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9CEB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7BA4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7204F">
            <w:pPr>
              <w:jc w:val="center"/>
            </w:pPr>
          </w:p>
        </w:tc>
      </w:tr>
      <w:tr w14:paraId="1B30B1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EBDF">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E359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95C7">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76AF9A">
            <w:pPr>
              <w:jc w:val="center"/>
            </w:pPr>
            <w:r>
              <w:rPr>
                <w:rFonts w:ascii="宋体" w:hAnsi="宋体" w:eastAsia="宋体"/>
                <w:sz w:val="16"/>
              </w:rPr>
              <w:t>100分</w:t>
            </w:r>
          </w:p>
        </w:tc>
      </w:tr>
    </w:tbl>
    <w:p w14:paraId="527B789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86F1469">
        <w:tblPrEx>
          <w:tblCellMar>
            <w:top w:w="0" w:type="dxa"/>
            <w:left w:w="108" w:type="dxa"/>
            <w:bottom w:w="0" w:type="dxa"/>
            <w:right w:w="108" w:type="dxa"/>
          </w:tblCellMar>
        </w:tblPrEx>
        <w:tc>
          <w:tcPr>
            <w:tcW w:w="8848" w:type="dxa"/>
            <w:gridSpan w:val="14"/>
            <w:vAlign w:val="center"/>
          </w:tcPr>
          <w:p w14:paraId="717F4EAA">
            <w:pPr>
              <w:jc w:val="center"/>
            </w:pPr>
            <w:r>
              <w:rPr>
                <w:rFonts w:ascii="宋体" w:hAnsi="宋体" w:eastAsia="宋体"/>
                <w:sz w:val="24"/>
              </w:rPr>
              <w:t>项目支出绩效自评表</w:t>
            </w:r>
          </w:p>
        </w:tc>
      </w:tr>
      <w:tr w14:paraId="42BAA848">
        <w:tblPrEx>
          <w:tblCellMar>
            <w:top w:w="0" w:type="dxa"/>
            <w:left w:w="108" w:type="dxa"/>
            <w:bottom w:w="0" w:type="dxa"/>
            <w:right w:w="108" w:type="dxa"/>
          </w:tblCellMar>
        </w:tblPrEx>
        <w:tc>
          <w:tcPr>
            <w:tcW w:w="8848" w:type="dxa"/>
            <w:gridSpan w:val="14"/>
            <w:vAlign w:val="center"/>
          </w:tcPr>
          <w:p w14:paraId="7615B0AB">
            <w:pPr>
              <w:jc w:val="center"/>
            </w:pPr>
            <w:r>
              <w:rPr>
                <w:rFonts w:ascii="宋体" w:hAnsi="宋体" w:eastAsia="宋体"/>
                <w:sz w:val="24"/>
              </w:rPr>
              <w:t>(2024年度)</w:t>
            </w:r>
          </w:p>
        </w:tc>
      </w:tr>
      <w:tr w14:paraId="160F07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FD10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913A07">
            <w:pPr>
              <w:jc w:val="center"/>
            </w:pPr>
            <w:r>
              <w:rPr>
                <w:rFonts w:ascii="宋体" w:hAnsi="宋体" w:eastAsia="宋体"/>
                <w:sz w:val="16"/>
              </w:rPr>
              <w:t>线路租赁费</w:t>
            </w:r>
          </w:p>
        </w:tc>
      </w:tr>
      <w:tr w14:paraId="2AC559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32A7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22E458">
            <w:pPr>
              <w:jc w:val="center"/>
            </w:pPr>
            <w:r>
              <w:rPr>
                <w:rFonts w:ascii="宋体" w:hAnsi="宋体" w:eastAsia="宋体"/>
                <w:sz w:val="16"/>
              </w:rPr>
              <w:t>克孜勒苏柯尔克孜自治州社会保险中心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5C35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6FD009">
            <w:pPr>
              <w:jc w:val="center"/>
            </w:pPr>
            <w:r>
              <w:rPr>
                <w:rFonts w:ascii="宋体" w:hAnsi="宋体" w:eastAsia="宋体"/>
                <w:sz w:val="16"/>
              </w:rPr>
              <w:t>克孜勒苏柯尔克孜自治州社会保险中心</w:t>
            </w:r>
          </w:p>
        </w:tc>
      </w:tr>
      <w:tr w14:paraId="537DB4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956AD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B647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84CC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2663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D007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9C56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FF6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6C099">
            <w:pPr>
              <w:jc w:val="center"/>
            </w:pPr>
            <w:r>
              <w:rPr>
                <w:rFonts w:ascii="宋体" w:hAnsi="宋体" w:eastAsia="宋体"/>
                <w:sz w:val="16"/>
              </w:rPr>
              <w:t>得分</w:t>
            </w:r>
          </w:p>
        </w:tc>
      </w:tr>
      <w:tr w14:paraId="47D938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69F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C2E8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BAD54">
            <w:pPr>
              <w:jc w:val="center"/>
            </w:pPr>
            <w:r>
              <w:rPr>
                <w:rFonts w:ascii="宋体" w:hAnsi="宋体" w:eastAsia="宋体"/>
                <w:sz w:val="16"/>
              </w:rPr>
              <w:t>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513D5">
            <w:pPr>
              <w:jc w:val="center"/>
            </w:pPr>
            <w:r>
              <w:rPr>
                <w:rFonts w:ascii="宋体" w:hAnsi="宋体" w:eastAsia="宋体"/>
                <w:sz w:val="16"/>
              </w:rPr>
              <w:t>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2B2D0">
            <w:pPr>
              <w:jc w:val="center"/>
            </w:pPr>
            <w:r>
              <w:rPr>
                <w:rFonts w:ascii="宋体" w:hAnsi="宋体" w:eastAsia="宋体"/>
                <w:sz w:val="16"/>
              </w:rPr>
              <w:t>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505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05EC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C3300">
            <w:pPr>
              <w:jc w:val="center"/>
            </w:pPr>
            <w:r>
              <w:rPr>
                <w:rFonts w:ascii="宋体" w:hAnsi="宋体" w:eastAsia="宋体"/>
                <w:sz w:val="16"/>
              </w:rPr>
              <w:t>10.00分</w:t>
            </w:r>
          </w:p>
        </w:tc>
      </w:tr>
      <w:tr w14:paraId="3F79E0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C6B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8010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33EA0">
            <w:pPr>
              <w:jc w:val="center"/>
            </w:pPr>
            <w:r>
              <w:rPr>
                <w:rFonts w:ascii="宋体" w:hAnsi="宋体" w:eastAsia="宋体"/>
                <w:sz w:val="16"/>
              </w:rPr>
              <w:t>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7AF83">
            <w:pPr>
              <w:jc w:val="center"/>
            </w:pPr>
            <w:r>
              <w:rPr>
                <w:rFonts w:ascii="宋体" w:hAnsi="宋体" w:eastAsia="宋体"/>
                <w:sz w:val="16"/>
              </w:rPr>
              <w:t>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D665B">
            <w:pPr>
              <w:jc w:val="center"/>
            </w:pPr>
            <w:r>
              <w:rPr>
                <w:rFonts w:ascii="宋体" w:hAnsi="宋体" w:eastAsia="宋体"/>
                <w:sz w:val="16"/>
              </w:rPr>
              <w:t>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04B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0A5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FA9C3">
            <w:pPr>
              <w:jc w:val="center"/>
            </w:pPr>
            <w:r>
              <w:rPr>
                <w:rFonts w:ascii="宋体" w:hAnsi="宋体" w:eastAsia="宋体"/>
                <w:sz w:val="16"/>
              </w:rPr>
              <w:t>—</w:t>
            </w:r>
          </w:p>
        </w:tc>
      </w:tr>
      <w:tr w14:paraId="5F9520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F05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10F6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403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042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811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B94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973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0F4F5">
            <w:pPr>
              <w:jc w:val="center"/>
            </w:pPr>
            <w:r>
              <w:rPr>
                <w:rFonts w:ascii="宋体" w:hAnsi="宋体" w:eastAsia="宋体"/>
                <w:sz w:val="16"/>
              </w:rPr>
              <w:t>—</w:t>
            </w:r>
          </w:p>
        </w:tc>
      </w:tr>
      <w:tr w14:paraId="6556C0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A825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8F630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6F6989">
            <w:pPr>
              <w:jc w:val="center"/>
            </w:pPr>
            <w:r>
              <w:rPr>
                <w:rFonts w:ascii="宋体" w:hAnsi="宋体" w:eastAsia="宋体"/>
                <w:sz w:val="16"/>
              </w:rPr>
              <w:t>实际完成情况</w:t>
            </w:r>
          </w:p>
        </w:tc>
      </w:tr>
      <w:tr w14:paraId="170DE3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11D2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F1D5E5">
            <w:pPr>
              <w:jc w:val="both"/>
            </w:pPr>
            <w:r>
              <w:rPr>
                <w:rFonts w:ascii="宋体" w:hAnsi="宋体" w:eastAsia="宋体"/>
                <w:sz w:val="16"/>
              </w:rPr>
              <w:t>项目资金9.6万元，其中：财政资金9.6万元，其他资金0万元。租用4条专线网络主要用于保障全州80万人的5项社会保险（养老保险、工伤保险、失业保险、城镇居民基本养老保险）基金的征缴、审核、结算、支付、运行、管理、上解下解分配工作；负责社会保险待遇支付标准核定与发放工作；管理全州养老保险、失业保险、工伤保险、负责社会保险关系的登记、中断、接续、转移工作；承担全州各项社会保险的社会化管理和服务工作；管理和维护“克州社会保险管理信息系统”和“医疗保险管理信息系统”，负责全州定点医院、门诊、零售药店服务协议管理工作；填表审批、审核、结算、报销及社保业务档案管理、报表定期上报工作；同时担负全州社会保险经办部门业务指导、基金监管运行分析等工作，确保全州社保资金的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F145F0">
            <w:pPr>
              <w:jc w:val="both"/>
            </w:pPr>
            <w:r>
              <w:rPr>
                <w:rFonts w:hint="eastAsia" w:ascii="宋体" w:hAnsi="宋体"/>
                <w:sz w:val="16"/>
                <w:lang w:eastAsia="zh-CN"/>
              </w:rPr>
              <w:t>截至</w:t>
            </w:r>
            <w:r>
              <w:rPr>
                <w:rFonts w:ascii="宋体" w:hAnsi="宋体" w:eastAsia="宋体"/>
                <w:sz w:val="16"/>
              </w:rPr>
              <w:t>2024年12月31日，租用专线网络数量（条）：4。租用4条专线网络主要用于保障全州80万人的5项社会保险（养老保险、工伤保险、失业保险、城镇居民基本养老保险）基金的征缴、审核、结算、支付、运行、管理、上解下解分配工作；负责社会保险待遇支付标准核定与发放工作；管理全州养老保险、失业保险、工伤保险、负责社会保险关系的登记、中断、接续、转移工作；承担全州各项社会保险的社会化管理和服务工作；管理和维护“克州社会保险管理信息系统”同时担负全州社会保险经办部门业务指导、基金监管运行分析等工作，确保全州社保资金的正常运行。</w:t>
            </w:r>
          </w:p>
        </w:tc>
      </w:tr>
      <w:tr w14:paraId="18FA70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77AF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DAF3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A54C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EE5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8BDE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7030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5616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D033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0A63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D57A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6244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AC65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E1816">
            <w:pPr>
              <w:jc w:val="center"/>
            </w:pPr>
            <w:r>
              <w:rPr>
                <w:rFonts w:ascii="宋体" w:hAnsi="宋体" w:eastAsia="宋体"/>
                <w:sz w:val="16"/>
              </w:rPr>
              <w:t>偏差原因分析及改进措施</w:t>
            </w:r>
          </w:p>
        </w:tc>
      </w:tr>
      <w:tr w14:paraId="5DB025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32D54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88DD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8F91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B72AC">
            <w:pPr>
              <w:jc w:val="center"/>
            </w:pPr>
            <w:r>
              <w:rPr>
                <w:rFonts w:ascii="宋体" w:hAnsi="宋体" w:eastAsia="宋体"/>
                <w:sz w:val="16"/>
              </w:rPr>
              <w:t>租用专线网络数量（条）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C10D4">
            <w:pPr>
              <w:jc w:val="center"/>
            </w:pPr>
            <w:r>
              <w:rPr>
                <w:rFonts w:ascii="宋体" w:hAnsi="宋体" w:eastAsia="宋体"/>
                <w:sz w:val="16"/>
              </w:rPr>
              <w:t>=4条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30F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04F5A">
            <w:pPr>
              <w:jc w:val="center"/>
            </w:pPr>
            <w:r>
              <w:rPr>
                <w:rFonts w:ascii="宋体" w:hAnsi="宋体" w:eastAsia="宋体"/>
                <w:sz w:val="16"/>
              </w:rPr>
              <w:t>9条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7FE7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6F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BE5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593FA">
            <w:pPr>
              <w:jc w:val="center"/>
            </w:pPr>
            <w:r>
              <w:rPr>
                <w:rFonts w:ascii="宋体" w:hAnsi="宋体" w:eastAsia="宋体"/>
                <w:sz w:val="16"/>
              </w:rPr>
              <w:t>=4条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11D4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D1A9B">
            <w:pPr>
              <w:jc w:val="center"/>
            </w:pPr>
          </w:p>
        </w:tc>
      </w:tr>
      <w:tr w14:paraId="2355EB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4EF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139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9F1F5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4716D">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454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6D8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281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4B1D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AAA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17F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7A9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F553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77F24">
            <w:pPr>
              <w:jc w:val="center"/>
            </w:pPr>
          </w:p>
        </w:tc>
      </w:tr>
      <w:tr w14:paraId="0B5894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5E5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37F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76B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3BDEE">
            <w:pPr>
              <w:jc w:val="center"/>
            </w:pPr>
            <w:r>
              <w:rPr>
                <w:rFonts w:ascii="宋体" w:hAnsi="宋体" w:eastAsia="宋体"/>
                <w:sz w:val="16"/>
              </w:rPr>
              <w:t>信息自动化运行保障率（%）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CA6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B30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668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DA34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54D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F1E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5BB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D190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0D35D">
            <w:pPr>
              <w:jc w:val="center"/>
            </w:pPr>
          </w:p>
        </w:tc>
      </w:tr>
      <w:tr w14:paraId="13D888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406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9FB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1CAC5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8849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0B03D">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990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AA106">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CD42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504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DF4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5D29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8D0D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A2E10">
            <w:pPr>
              <w:jc w:val="center"/>
            </w:pPr>
          </w:p>
        </w:tc>
      </w:tr>
      <w:tr w14:paraId="108576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D57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8B2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BA9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9D741">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D93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3F6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F9B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6BED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F0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C4C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949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FF7F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97611">
            <w:pPr>
              <w:jc w:val="center"/>
            </w:pPr>
          </w:p>
        </w:tc>
      </w:tr>
      <w:tr w14:paraId="3CCDE5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F88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03241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04365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78B40">
            <w:pPr>
              <w:jc w:val="center"/>
            </w:pPr>
            <w:r>
              <w:rPr>
                <w:rFonts w:ascii="宋体" w:hAnsi="宋体" w:eastAsia="宋体"/>
                <w:sz w:val="16"/>
              </w:rPr>
              <w:t>年度维护成本增长率（%）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6A8E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2BD8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8829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291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2BA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EE2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14B2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38B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BE5D5">
            <w:pPr>
              <w:jc w:val="center"/>
            </w:pPr>
          </w:p>
        </w:tc>
      </w:tr>
      <w:tr w14:paraId="16A9F3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60D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AD1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140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96940">
            <w:pPr>
              <w:jc w:val="center"/>
            </w:pPr>
            <w:r>
              <w:rPr>
                <w:rFonts w:ascii="宋体" w:hAnsi="宋体" w:eastAsia="宋体"/>
                <w:sz w:val="16"/>
              </w:rPr>
              <w:t>网络线路租赁标准（万元）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5B8E9">
            <w:pPr>
              <w:jc w:val="center"/>
            </w:pPr>
            <w:r>
              <w:rPr>
                <w:rFonts w:ascii="宋体" w:hAnsi="宋体" w:eastAsia="宋体"/>
                <w:sz w:val="16"/>
              </w:rPr>
              <w:t>=9.60万元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D2F3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BEC8D">
            <w:pPr>
              <w:jc w:val="center"/>
            </w:pPr>
            <w:r>
              <w:rPr>
                <w:rFonts w:ascii="宋体" w:hAnsi="宋体" w:eastAsia="宋体"/>
                <w:sz w:val="16"/>
              </w:rPr>
              <w:t>5万元/年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42A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28F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F6ED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3014E">
            <w:pPr>
              <w:jc w:val="center"/>
            </w:pPr>
            <w:r>
              <w:rPr>
                <w:rFonts w:ascii="宋体" w:hAnsi="宋体" w:eastAsia="宋体"/>
                <w:sz w:val="16"/>
              </w:rPr>
              <w:t>=9.6万元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83B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8CB4A">
            <w:pPr>
              <w:jc w:val="center"/>
            </w:pPr>
          </w:p>
        </w:tc>
      </w:tr>
      <w:tr w14:paraId="3E5014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110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49C22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B54A6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D0816">
            <w:pPr>
              <w:jc w:val="center"/>
            </w:pPr>
            <w:r>
              <w:rPr>
                <w:rFonts w:ascii="宋体" w:hAnsi="宋体" w:eastAsia="宋体"/>
                <w:sz w:val="16"/>
              </w:rPr>
              <w:t>提高工作服务水平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BBB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FCA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3ECA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AC0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9A0E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0E62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F9DC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B8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E6ECC">
            <w:pPr>
              <w:jc w:val="center"/>
            </w:pPr>
          </w:p>
        </w:tc>
      </w:tr>
      <w:tr w14:paraId="1EC164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DC6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EE9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3EB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004A6">
            <w:pPr>
              <w:jc w:val="center"/>
            </w:pPr>
            <w:r>
              <w:rPr>
                <w:rFonts w:ascii="宋体" w:hAnsi="宋体" w:eastAsia="宋体"/>
                <w:sz w:val="16"/>
              </w:rPr>
              <w:t>待遇确定机制和基础养老金调整机制不断完善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21CE7">
            <w:pPr>
              <w:jc w:val="center"/>
            </w:pPr>
            <w:r>
              <w:rPr>
                <w:rFonts w:ascii="宋体" w:hAnsi="宋体" w:eastAsia="宋体"/>
                <w:sz w:val="16"/>
              </w:rPr>
              <w:t>完善保障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4EF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DF333">
            <w:pPr>
              <w:jc w:val="center"/>
            </w:pPr>
            <w:r>
              <w:rPr>
                <w:rFonts w:ascii="宋体" w:hAnsi="宋体" w:eastAsia="宋体"/>
                <w:sz w:val="16"/>
              </w:rPr>
              <w:t>完善保障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F48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7B7B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E302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73F46">
            <w:pPr>
              <w:jc w:val="center"/>
            </w:pPr>
            <w:r>
              <w:rPr>
                <w:rFonts w:ascii="宋体" w:hAnsi="宋体" w:eastAsia="宋体"/>
                <w:sz w:val="16"/>
              </w:rPr>
              <w:t>完善保障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E9C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F49A8">
            <w:pPr>
              <w:jc w:val="center"/>
            </w:pPr>
          </w:p>
        </w:tc>
      </w:tr>
      <w:tr w14:paraId="2F92B6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86F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26795">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94C7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52351">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D0E5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46D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F31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103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37D2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EF8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0C36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5489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17E7A">
            <w:pPr>
              <w:jc w:val="center"/>
            </w:pPr>
          </w:p>
        </w:tc>
      </w:tr>
      <w:tr w14:paraId="17707A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089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22B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590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15C2F">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B524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B78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FEF4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F88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7FEF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A26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15BB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98A2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2B923">
            <w:pPr>
              <w:jc w:val="center"/>
            </w:pPr>
          </w:p>
        </w:tc>
      </w:tr>
      <w:tr w14:paraId="7B6215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C5071">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7C1E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22235">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0D90E7">
            <w:pPr>
              <w:jc w:val="center"/>
            </w:pPr>
            <w:r>
              <w:rPr>
                <w:rFonts w:ascii="宋体" w:hAnsi="宋体" w:eastAsia="宋体"/>
                <w:sz w:val="16"/>
              </w:rPr>
              <w:t>100分</w:t>
            </w:r>
          </w:p>
        </w:tc>
      </w:tr>
    </w:tbl>
    <w:p w14:paraId="4CBE57B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2494135">
        <w:tblPrEx>
          <w:tblCellMar>
            <w:top w:w="0" w:type="dxa"/>
            <w:left w:w="108" w:type="dxa"/>
            <w:bottom w:w="0" w:type="dxa"/>
            <w:right w:w="108" w:type="dxa"/>
          </w:tblCellMar>
        </w:tblPrEx>
        <w:tc>
          <w:tcPr>
            <w:tcW w:w="8848" w:type="dxa"/>
            <w:gridSpan w:val="14"/>
            <w:vAlign w:val="center"/>
          </w:tcPr>
          <w:p w14:paraId="66669FE0">
            <w:pPr>
              <w:jc w:val="center"/>
            </w:pPr>
            <w:r>
              <w:rPr>
                <w:rFonts w:ascii="宋体" w:hAnsi="宋体" w:eastAsia="宋体"/>
                <w:sz w:val="24"/>
              </w:rPr>
              <w:t>项目支出绩效自评表</w:t>
            </w:r>
          </w:p>
        </w:tc>
      </w:tr>
      <w:tr w14:paraId="2104F7C2">
        <w:tblPrEx>
          <w:tblCellMar>
            <w:top w:w="0" w:type="dxa"/>
            <w:left w:w="108" w:type="dxa"/>
            <w:bottom w:w="0" w:type="dxa"/>
            <w:right w:w="108" w:type="dxa"/>
          </w:tblCellMar>
        </w:tblPrEx>
        <w:tc>
          <w:tcPr>
            <w:tcW w:w="8848" w:type="dxa"/>
            <w:gridSpan w:val="14"/>
            <w:vAlign w:val="center"/>
          </w:tcPr>
          <w:p w14:paraId="4FBC4AD4">
            <w:pPr>
              <w:jc w:val="center"/>
            </w:pPr>
            <w:r>
              <w:rPr>
                <w:rFonts w:ascii="宋体" w:hAnsi="宋体" w:eastAsia="宋体"/>
                <w:sz w:val="24"/>
              </w:rPr>
              <w:t>(2024年度)</w:t>
            </w:r>
          </w:p>
        </w:tc>
      </w:tr>
      <w:tr w14:paraId="725D65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8928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766A8E">
            <w:pPr>
              <w:jc w:val="center"/>
            </w:pPr>
            <w:r>
              <w:rPr>
                <w:rFonts w:ascii="宋体" w:hAnsi="宋体" w:eastAsia="宋体"/>
                <w:sz w:val="16"/>
              </w:rPr>
              <w:t>自治区社保经办机构业务经费</w:t>
            </w:r>
          </w:p>
        </w:tc>
      </w:tr>
      <w:tr w14:paraId="36540A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7523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1A3001">
            <w:pPr>
              <w:jc w:val="center"/>
            </w:pPr>
            <w:r>
              <w:rPr>
                <w:rFonts w:ascii="宋体" w:hAnsi="宋体" w:eastAsia="宋体"/>
                <w:sz w:val="16"/>
              </w:rPr>
              <w:t>克孜勒苏柯尔克孜自治州社会保险中心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8DCF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351B1B">
            <w:pPr>
              <w:jc w:val="center"/>
            </w:pPr>
            <w:r>
              <w:rPr>
                <w:rFonts w:ascii="宋体" w:hAnsi="宋体" w:eastAsia="宋体"/>
                <w:sz w:val="16"/>
              </w:rPr>
              <w:t>克孜勒苏柯尔克孜自治州社会保险中心</w:t>
            </w:r>
          </w:p>
        </w:tc>
      </w:tr>
      <w:tr w14:paraId="7EB2C5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8AE8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C622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AAD1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D85A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B724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05CF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E14E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A012E">
            <w:pPr>
              <w:jc w:val="center"/>
            </w:pPr>
            <w:r>
              <w:rPr>
                <w:rFonts w:ascii="宋体" w:hAnsi="宋体" w:eastAsia="宋体"/>
                <w:sz w:val="16"/>
              </w:rPr>
              <w:t>得分</w:t>
            </w:r>
          </w:p>
        </w:tc>
      </w:tr>
      <w:tr w14:paraId="2F4B9F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AC3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AD41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DE292">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3D928">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3FFBC">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42D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8F74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8FC3B">
            <w:pPr>
              <w:jc w:val="center"/>
            </w:pPr>
            <w:r>
              <w:rPr>
                <w:rFonts w:ascii="宋体" w:hAnsi="宋体" w:eastAsia="宋体"/>
                <w:sz w:val="16"/>
              </w:rPr>
              <w:t>10.00分</w:t>
            </w:r>
          </w:p>
        </w:tc>
      </w:tr>
      <w:tr w14:paraId="46A4DF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760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E9B6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4468B">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74092">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6D89D">
            <w:pPr>
              <w:jc w:val="center"/>
            </w:pPr>
            <w:r>
              <w:rPr>
                <w:rFonts w:ascii="宋体" w:hAnsi="宋体" w:eastAsia="宋体"/>
                <w:sz w:val="16"/>
              </w:rPr>
              <w:t>17.00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C73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F26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CD5F">
            <w:pPr>
              <w:jc w:val="center"/>
            </w:pPr>
            <w:r>
              <w:rPr>
                <w:rFonts w:ascii="宋体" w:hAnsi="宋体" w:eastAsia="宋体"/>
                <w:sz w:val="16"/>
              </w:rPr>
              <w:t>—</w:t>
            </w:r>
          </w:p>
        </w:tc>
      </w:tr>
      <w:tr w14:paraId="41B938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88F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94A8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7F4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7FF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8E7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49E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411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AE4BA">
            <w:pPr>
              <w:jc w:val="center"/>
            </w:pPr>
            <w:r>
              <w:rPr>
                <w:rFonts w:ascii="宋体" w:hAnsi="宋体" w:eastAsia="宋体"/>
                <w:sz w:val="16"/>
              </w:rPr>
              <w:t>—</w:t>
            </w:r>
          </w:p>
        </w:tc>
      </w:tr>
      <w:tr w14:paraId="4C60BF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5AF88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5D18D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C6E6D2">
            <w:pPr>
              <w:jc w:val="center"/>
            </w:pPr>
            <w:r>
              <w:rPr>
                <w:rFonts w:ascii="宋体" w:hAnsi="宋体" w:eastAsia="宋体"/>
                <w:sz w:val="16"/>
              </w:rPr>
              <w:t>实际完成情况</w:t>
            </w:r>
          </w:p>
        </w:tc>
      </w:tr>
      <w:tr w14:paraId="064AA7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9762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2E0F14">
            <w:pPr>
              <w:jc w:val="both"/>
            </w:pPr>
            <w:r>
              <w:rPr>
                <w:rFonts w:ascii="宋体" w:hAnsi="宋体" w:eastAsia="宋体"/>
                <w:sz w:val="16"/>
              </w:rPr>
              <w:t>该项目资金共17万元，其中财政资金17万元，其他资金0万元。主要用于保障单位正常业务运行的零星开支，办公用品的购买，差旅费的报销，固定资产、资产清查等， 有效推进各级社保经办机构相关业务开展，全民参保和扩面征缴取得成效。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B6738C">
            <w:pPr>
              <w:jc w:val="both"/>
            </w:pPr>
            <w:r>
              <w:rPr>
                <w:rFonts w:hint="eastAsia" w:ascii="宋体" w:hAnsi="宋体"/>
                <w:sz w:val="16"/>
                <w:lang w:eastAsia="zh-CN"/>
              </w:rPr>
              <w:t>截至2024</w:t>
            </w:r>
            <w:r>
              <w:rPr>
                <w:rFonts w:ascii="宋体" w:hAnsi="宋体" w:eastAsia="宋体"/>
                <w:sz w:val="16"/>
              </w:rPr>
              <w:t>年12月31日，购买办公用品5次，报销差旅费5次，购买固定资产5次，主要用于保障单位正常业务运行的零星开支，办公用品的购买，差旅费的报销，固定资产、资产清查等， 有效推进各级社保经办机构相关业务开展，全民参保和扩面征缴取得成效。</w:t>
            </w:r>
          </w:p>
        </w:tc>
      </w:tr>
      <w:tr w14:paraId="62DD4E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97EF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5AD4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E3CB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B7DD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1AA4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BFBF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5B65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B29D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7D98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0848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54CF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A2ED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9049E">
            <w:pPr>
              <w:jc w:val="center"/>
            </w:pPr>
            <w:r>
              <w:rPr>
                <w:rFonts w:ascii="宋体" w:hAnsi="宋体" w:eastAsia="宋体"/>
                <w:sz w:val="16"/>
              </w:rPr>
              <w:t>偏差原因分析及改进措施</w:t>
            </w:r>
          </w:p>
        </w:tc>
      </w:tr>
      <w:tr w14:paraId="72B1D6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74951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237E2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2DCE0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18121">
            <w:pPr>
              <w:jc w:val="center"/>
            </w:pPr>
            <w:r>
              <w:rPr>
                <w:rFonts w:ascii="宋体" w:hAnsi="宋体" w:eastAsia="宋体"/>
                <w:sz w:val="16"/>
              </w:rPr>
              <w:t>购买办公用品（批次）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4AFFD">
            <w:pPr>
              <w:jc w:val="center"/>
            </w:pPr>
            <w:r>
              <w:rPr>
                <w:rFonts w:ascii="宋体" w:hAnsi="宋体" w:eastAsia="宋体"/>
                <w:sz w:val="16"/>
              </w:rPr>
              <w:t>&gt;=10批次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FE9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0E8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5D1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F38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6B0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8D166">
            <w:pPr>
              <w:jc w:val="center"/>
            </w:pPr>
            <w:r>
              <w:rPr>
                <w:rFonts w:ascii="宋体" w:hAnsi="宋体" w:eastAsia="宋体"/>
                <w:sz w:val="16"/>
              </w:rPr>
              <w:t>=10批次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3956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0F733">
            <w:pPr>
              <w:jc w:val="center"/>
            </w:pPr>
          </w:p>
        </w:tc>
      </w:tr>
      <w:tr w14:paraId="055837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010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34B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76D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4ACB2">
            <w:pPr>
              <w:jc w:val="center"/>
            </w:pPr>
            <w:r>
              <w:rPr>
                <w:rFonts w:ascii="宋体" w:hAnsi="宋体" w:eastAsia="宋体"/>
                <w:sz w:val="16"/>
              </w:rPr>
              <w:t>报销差旅费（批次）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39109">
            <w:pPr>
              <w:jc w:val="center"/>
            </w:pPr>
            <w:r>
              <w:rPr>
                <w:rFonts w:ascii="宋体" w:hAnsi="宋体" w:eastAsia="宋体"/>
                <w:sz w:val="16"/>
              </w:rPr>
              <w:t>&gt;=5批次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B4C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C1F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6C5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C2C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767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E4FE">
            <w:pPr>
              <w:jc w:val="center"/>
            </w:pPr>
            <w:r>
              <w:rPr>
                <w:rFonts w:ascii="宋体" w:hAnsi="宋体" w:eastAsia="宋体"/>
                <w:sz w:val="16"/>
              </w:rPr>
              <w:t>=5批次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C95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0AE34">
            <w:pPr>
              <w:jc w:val="center"/>
            </w:pPr>
          </w:p>
        </w:tc>
      </w:tr>
      <w:tr w14:paraId="3A80B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394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D4D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D0D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F01FD">
            <w:pPr>
              <w:jc w:val="center"/>
            </w:pPr>
            <w:r>
              <w:rPr>
                <w:rFonts w:ascii="宋体" w:hAnsi="宋体" w:eastAsia="宋体"/>
                <w:sz w:val="16"/>
              </w:rPr>
              <w:t>购买固定资产（批次）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493F8">
            <w:pPr>
              <w:jc w:val="center"/>
            </w:pPr>
            <w:r>
              <w:rPr>
                <w:rFonts w:ascii="宋体" w:hAnsi="宋体" w:eastAsia="宋体"/>
                <w:sz w:val="16"/>
              </w:rPr>
              <w:t>&gt;=3批次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80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FCD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6EB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726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4F5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1955B">
            <w:pPr>
              <w:jc w:val="center"/>
            </w:pPr>
            <w:r>
              <w:rPr>
                <w:rFonts w:ascii="宋体" w:hAnsi="宋体" w:eastAsia="宋体"/>
                <w:sz w:val="16"/>
              </w:rPr>
              <w: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8A0E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31AED">
            <w:pPr>
              <w:jc w:val="center"/>
            </w:pPr>
          </w:p>
        </w:tc>
      </w:tr>
      <w:tr w14:paraId="31D8B1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63C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D40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A5FB3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4136C">
            <w:pPr>
              <w:jc w:val="center"/>
            </w:pPr>
            <w:r>
              <w:rPr>
                <w:rFonts w:ascii="宋体" w:hAnsi="宋体" w:eastAsia="宋体"/>
                <w:sz w:val="16"/>
              </w:rPr>
              <w:t>经费使用政策合规率（%）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2B1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A0F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42B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0B7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DD7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BF4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DE7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DE9B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CA5C9">
            <w:pPr>
              <w:jc w:val="center"/>
            </w:pPr>
          </w:p>
        </w:tc>
      </w:tr>
      <w:tr w14:paraId="5F9FE2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E50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577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A7D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A76B2">
            <w:pPr>
              <w:jc w:val="center"/>
            </w:pPr>
            <w:r>
              <w:rPr>
                <w:rFonts w:ascii="宋体" w:hAnsi="宋体" w:eastAsia="宋体"/>
                <w:sz w:val="16"/>
              </w:rPr>
              <w:t>设</w:t>
            </w:r>
            <w:r>
              <w:rPr>
                <w:rFonts w:hint="eastAsia" w:ascii="宋体" w:hAnsi="宋体"/>
                <w:sz w:val="16"/>
                <w:lang w:eastAsia="zh-CN"/>
              </w:rPr>
              <w:t>备采</w:t>
            </w:r>
            <w:r>
              <w:rPr>
                <w:rFonts w:ascii="宋体" w:hAnsi="宋体" w:eastAsia="宋体"/>
                <w:sz w:val="16"/>
              </w:rPr>
              <w:t>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E1C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372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A9E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17C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35B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ED6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C3E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408A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741F0">
            <w:pPr>
              <w:jc w:val="center"/>
            </w:pPr>
          </w:p>
        </w:tc>
      </w:tr>
      <w:tr w14:paraId="09267F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514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26B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75C2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78B0D">
            <w:pPr>
              <w:jc w:val="center"/>
            </w:pPr>
            <w:r>
              <w:rPr>
                <w:rFonts w:ascii="宋体" w:hAnsi="宋体" w:eastAsia="宋体"/>
                <w:sz w:val="16"/>
              </w:rPr>
              <w:t>自治区社保经办机构业务经费完成时限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E98D2">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087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C65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62E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2F6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320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BD8C">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1D8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0630C">
            <w:pPr>
              <w:jc w:val="center"/>
            </w:pPr>
          </w:p>
        </w:tc>
      </w:tr>
      <w:tr w14:paraId="37D533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9A3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19D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D13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24CC6">
            <w:pPr>
              <w:jc w:val="center"/>
            </w:pPr>
            <w:r>
              <w:rPr>
                <w:rFonts w:ascii="宋体" w:hAnsi="宋体" w:eastAsia="宋体"/>
                <w:sz w:val="16"/>
              </w:rPr>
              <w:t>设备购买及时率（%）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2A1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E01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1E9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5D5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C12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37A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566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F424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0A3D5">
            <w:pPr>
              <w:jc w:val="center"/>
            </w:pPr>
          </w:p>
        </w:tc>
      </w:tr>
      <w:tr w14:paraId="17E349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EEB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C0AD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D607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5BADD">
            <w:pPr>
              <w:jc w:val="center"/>
            </w:pPr>
            <w:r>
              <w:rPr>
                <w:rFonts w:ascii="宋体" w:hAnsi="宋体" w:eastAsia="宋体"/>
                <w:sz w:val="16"/>
              </w:rPr>
              <w:t>购买办公用品（万元）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C7927">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22D8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914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B33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718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4E7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7F373">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8092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FB526">
            <w:pPr>
              <w:jc w:val="center"/>
            </w:pPr>
          </w:p>
        </w:tc>
      </w:tr>
      <w:tr w14:paraId="30A8FB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0A2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BBD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E3B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C3705">
            <w:pPr>
              <w:jc w:val="center"/>
            </w:pPr>
            <w:r>
              <w:rPr>
                <w:rFonts w:ascii="宋体" w:hAnsi="宋体" w:eastAsia="宋体"/>
                <w:sz w:val="16"/>
              </w:rPr>
              <w:t>报销差旅费（万元）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84621">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BF2D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454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864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425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2B3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B53D4">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525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A527E">
            <w:pPr>
              <w:jc w:val="center"/>
            </w:pPr>
          </w:p>
        </w:tc>
      </w:tr>
      <w:tr w14:paraId="066523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5DF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DF8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405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51561">
            <w:pPr>
              <w:jc w:val="center"/>
            </w:pPr>
            <w:r>
              <w:rPr>
                <w:rFonts w:ascii="宋体" w:hAnsi="宋体" w:eastAsia="宋体"/>
                <w:sz w:val="16"/>
              </w:rPr>
              <w:t>购买资产及资产清查（万元）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35A59">
            <w:pPr>
              <w:jc w:val="center"/>
            </w:pPr>
            <w:r>
              <w:rPr>
                <w:rFonts w:ascii="宋体" w:hAnsi="宋体" w:eastAsia="宋体"/>
                <w:sz w:val="16"/>
              </w:rPr>
              <w:t>&lt;=11万元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8255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102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E88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959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FBC4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50519">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F93D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363A1">
            <w:pPr>
              <w:jc w:val="center"/>
            </w:pPr>
          </w:p>
        </w:tc>
      </w:tr>
      <w:tr w14:paraId="370779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97A6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2662B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AAB99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76858">
            <w:pPr>
              <w:jc w:val="center"/>
            </w:pPr>
            <w:r>
              <w:rPr>
                <w:rFonts w:ascii="宋体" w:hAnsi="宋体" w:eastAsia="宋体"/>
                <w:sz w:val="16"/>
              </w:rPr>
              <w:t>充分发挥社会保险职能作用，实现社会保险应保尽保的目标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043F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E66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958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7B4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A4C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E8F3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F4C2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491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E22D0">
            <w:pPr>
              <w:jc w:val="center"/>
            </w:pPr>
          </w:p>
        </w:tc>
      </w:tr>
      <w:tr w14:paraId="4218F7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7D4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4EEE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61E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684C9">
            <w:pPr>
              <w:jc w:val="center"/>
            </w:pPr>
            <w:r>
              <w:rPr>
                <w:rFonts w:ascii="宋体" w:hAnsi="宋体" w:eastAsia="宋体"/>
                <w:sz w:val="16"/>
              </w:rPr>
              <w:t>提升社会保险覆盖面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318C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D4D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99A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A1E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847B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077B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0553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D81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6ED1F">
            <w:pPr>
              <w:jc w:val="center"/>
            </w:pPr>
          </w:p>
        </w:tc>
      </w:tr>
      <w:tr w14:paraId="62613D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458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BC8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707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45F23">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319B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F03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222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0EF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E8E6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62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E406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626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68003">
            <w:pPr>
              <w:jc w:val="center"/>
            </w:pPr>
          </w:p>
        </w:tc>
      </w:tr>
      <w:tr w14:paraId="59DC89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BC347">
            <w:pPr>
              <w:jc w:val="center"/>
            </w:pPr>
            <w:r>
              <w:rPr>
                <w:rFonts w:ascii="宋体" w:hAnsi="宋体" w:eastAsia="宋体"/>
                <w:sz w:val="16"/>
              </w:rPr>
              <w:t>总分</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33AE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37BCE">
            <w:pPr>
              <w:jc w:val="center"/>
            </w:pPr>
            <w:r>
              <w:rPr>
                <w:rFonts w:ascii="宋体" w:hAnsi="宋体" w:eastAsia="宋体"/>
                <w:sz w:val="16"/>
              </w:rPr>
              <w:t>得分</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2D81A3">
            <w:pPr>
              <w:jc w:val="center"/>
            </w:pPr>
            <w:r>
              <w:rPr>
                <w:rFonts w:ascii="宋体" w:hAnsi="宋体" w:eastAsia="宋体"/>
                <w:sz w:val="16"/>
              </w:rPr>
              <w:t>100分</w:t>
            </w:r>
          </w:p>
        </w:tc>
      </w:tr>
    </w:tbl>
    <w:p w14:paraId="07FE4612">
      <w:r>
        <w:br w:type="page"/>
      </w:r>
    </w:p>
    <w:p w14:paraId="7A3221CB">
      <w:pPr>
        <w:spacing w:line="640" w:lineRule="exact"/>
        <w:ind w:firstLine="640"/>
        <w:jc w:val="both"/>
        <w:outlineLvl w:val="2"/>
      </w:pPr>
      <w:r>
        <w:rPr>
          <w:rFonts w:ascii="黑体" w:hAnsi="黑体" w:eastAsia="黑体"/>
          <w:sz w:val="32"/>
        </w:rPr>
        <w:t>十二、其他需说明的事项</w:t>
      </w:r>
    </w:p>
    <w:p w14:paraId="6105A26E">
      <w:pPr>
        <w:spacing w:line="580" w:lineRule="exact"/>
        <w:ind w:firstLine="640"/>
        <w:jc w:val="both"/>
      </w:pPr>
      <w:r>
        <w:rPr>
          <w:rFonts w:ascii="仿宋_GB2312" w:hAnsi="仿宋_GB2312" w:eastAsia="仿宋_GB2312"/>
          <w:b w:val="0"/>
          <w:sz w:val="32"/>
        </w:rPr>
        <w:t>本单位无其他需说明的事项。</w:t>
      </w:r>
    </w:p>
    <w:p w14:paraId="75EF364F">
      <w:r>
        <w:br w:type="page"/>
      </w:r>
    </w:p>
    <w:p w14:paraId="475C123D">
      <w:pPr>
        <w:spacing w:line="240" w:lineRule="auto"/>
        <w:jc w:val="center"/>
        <w:outlineLvl w:val="1"/>
      </w:pPr>
      <w:r>
        <w:rPr>
          <w:rFonts w:ascii="黑体" w:hAnsi="黑体" w:eastAsia="黑体"/>
          <w:sz w:val="32"/>
        </w:rPr>
        <w:t>第三部分 专业名词解释</w:t>
      </w:r>
    </w:p>
    <w:p w14:paraId="3FC9BF3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FC6B85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64A272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276176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AFB1C4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762030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9FCF19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B756A0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A51BA0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860990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D70F83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B5D01E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3AD8B8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D31F9D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477BBA6">
      <w:r>
        <w:br w:type="page"/>
      </w:r>
    </w:p>
    <w:p w14:paraId="2FA7237D">
      <w:pPr>
        <w:spacing w:line="240" w:lineRule="auto"/>
        <w:jc w:val="center"/>
        <w:outlineLvl w:val="1"/>
      </w:pPr>
      <w:r>
        <w:rPr>
          <w:rFonts w:ascii="黑体" w:hAnsi="黑体" w:eastAsia="黑体"/>
          <w:sz w:val="32"/>
        </w:rPr>
        <w:t>第四部分 部门决算报表（见附表）</w:t>
      </w:r>
    </w:p>
    <w:p w14:paraId="478C952C">
      <w:pPr>
        <w:spacing w:line="240" w:lineRule="auto"/>
        <w:ind w:firstLine="640"/>
        <w:jc w:val="both"/>
      </w:pPr>
      <w:r>
        <w:rPr>
          <w:rFonts w:ascii="仿宋_GB2312" w:hAnsi="仿宋_GB2312" w:eastAsia="仿宋_GB2312"/>
          <w:b w:val="0"/>
          <w:sz w:val="32"/>
        </w:rPr>
        <w:t>一、《收入支出决算总表》</w:t>
      </w:r>
    </w:p>
    <w:p w14:paraId="752974DD">
      <w:pPr>
        <w:spacing w:line="240" w:lineRule="auto"/>
        <w:ind w:firstLine="640"/>
        <w:jc w:val="both"/>
      </w:pPr>
      <w:r>
        <w:rPr>
          <w:rFonts w:ascii="仿宋_GB2312" w:hAnsi="仿宋_GB2312" w:eastAsia="仿宋_GB2312"/>
          <w:b w:val="0"/>
          <w:sz w:val="32"/>
        </w:rPr>
        <w:t>二、《收入决算表》</w:t>
      </w:r>
    </w:p>
    <w:p w14:paraId="18DE6934">
      <w:pPr>
        <w:spacing w:line="240" w:lineRule="auto"/>
        <w:ind w:firstLine="640"/>
        <w:jc w:val="both"/>
      </w:pPr>
      <w:r>
        <w:rPr>
          <w:rFonts w:ascii="仿宋_GB2312" w:hAnsi="仿宋_GB2312" w:eastAsia="仿宋_GB2312"/>
          <w:b w:val="0"/>
          <w:sz w:val="32"/>
        </w:rPr>
        <w:t>三、《支出决算表》</w:t>
      </w:r>
    </w:p>
    <w:p w14:paraId="1F3AE35B">
      <w:pPr>
        <w:spacing w:line="240" w:lineRule="auto"/>
        <w:ind w:firstLine="640"/>
        <w:jc w:val="both"/>
      </w:pPr>
      <w:r>
        <w:rPr>
          <w:rFonts w:ascii="仿宋_GB2312" w:hAnsi="仿宋_GB2312" w:eastAsia="仿宋_GB2312"/>
          <w:b w:val="0"/>
          <w:sz w:val="32"/>
        </w:rPr>
        <w:t>四、《财政拨款收入支出决算总表》</w:t>
      </w:r>
    </w:p>
    <w:p w14:paraId="6E567BB8">
      <w:pPr>
        <w:spacing w:line="240" w:lineRule="auto"/>
        <w:ind w:firstLine="640"/>
        <w:jc w:val="both"/>
      </w:pPr>
      <w:r>
        <w:rPr>
          <w:rFonts w:ascii="仿宋_GB2312" w:hAnsi="仿宋_GB2312" w:eastAsia="仿宋_GB2312"/>
          <w:b w:val="0"/>
          <w:sz w:val="32"/>
        </w:rPr>
        <w:t>五、《一般公共预算财政拨款支出决算表》</w:t>
      </w:r>
    </w:p>
    <w:p w14:paraId="27B713F4">
      <w:pPr>
        <w:spacing w:line="240" w:lineRule="auto"/>
        <w:ind w:firstLine="640"/>
        <w:jc w:val="both"/>
      </w:pPr>
      <w:r>
        <w:rPr>
          <w:rFonts w:ascii="仿宋_GB2312" w:hAnsi="仿宋_GB2312" w:eastAsia="仿宋_GB2312"/>
          <w:b w:val="0"/>
          <w:sz w:val="32"/>
        </w:rPr>
        <w:t>六、《一般公共预算财政拨款基本支出决算表》</w:t>
      </w:r>
    </w:p>
    <w:p w14:paraId="18FDAA84">
      <w:pPr>
        <w:spacing w:line="240" w:lineRule="auto"/>
        <w:ind w:firstLine="640"/>
        <w:jc w:val="both"/>
      </w:pPr>
      <w:r>
        <w:rPr>
          <w:rFonts w:ascii="仿宋_GB2312" w:hAnsi="仿宋_GB2312" w:eastAsia="仿宋_GB2312"/>
          <w:b w:val="0"/>
          <w:sz w:val="32"/>
        </w:rPr>
        <w:t>七、《政府性基金预算财政拨款收入支出决算表》</w:t>
      </w:r>
    </w:p>
    <w:p w14:paraId="23AD8077">
      <w:pPr>
        <w:spacing w:line="240" w:lineRule="auto"/>
        <w:ind w:firstLine="640"/>
        <w:jc w:val="both"/>
      </w:pPr>
      <w:r>
        <w:rPr>
          <w:rFonts w:ascii="仿宋_GB2312" w:hAnsi="仿宋_GB2312" w:eastAsia="仿宋_GB2312"/>
          <w:b w:val="0"/>
          <w:sz w:val="32"/>
        </w:rPr>
        <w:t>八、《国有资本经营预算财政拨款收入支出决算表》</w:t>
      </w:r>
    </w:p>
    <w:p w14:paraId="171FF3A7">
      <w:pPr>
        <w:spacing w:line="240" w:lineRule="auto"/>
        <w:ind w:firstLine="640"/>
        <w:jc w:val="both"/>
      </w:pPr>
      <w:r>
        <w:rPr>
          <w:rFonts w:ascii="仿宋_GB2312" w:hAnsi="仿宋_GB2312" w:eastAsia="仿宋_GB2312"/>
          <w:b w:val="0"/>
          <w:sz w:val="32"/>
        </w:rPr>
        <w:t>九、《财政拨款“三公”经费支出决算表》</w:t>
      </w:r>
    </w:p>
    <w:p w14:paraId="1D845483">
      <w:pPr>
        <w:spacing w:line="240" w:lineRule="auto"/>
        <w:ind w:firstLine="640"/>
        <w:jc w:val="both"/>
      </w:pPr>
    </w:p>
    <w:p w14:paraId="4E373F3F">
      <w:pPr>
        <w:spacing w:line="240" w:lineRule="auto"/>
        <w:ind w:firstLine="640"/>
        <w:jc w:val="both"/>
      </w:pPr>
    </w:p>
    <w:p w14:paraId="1A778052">
      <w:pPr>
        <w:spacing w:line="240" w:lineRule="auto"/>
        <w:ind w:firstLine="640"/>
        <w:jc w:val="both"/>
      </w:pPr>
    </w:p>
    <w:p w14:paraId="6BDE4816">
      <w:pPr>
        <w:spacing w:line="240" w:lineRule="auto"/>
        <w:ind w:firstLine="640"/>
        <w:jc w:val="both"/>
      </w:pPr>
    </w:p>
    <w:p w14:paraId="707D637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0A0119A"/>
    <w:rsid w:val="11E15093"/>
    <w:rsid w:val="120E0809"/>
    <w:rsid w:val="18666771"/>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6825</Words>
  <Characters>7599</Characters>
  <Lines>0</Lines>
  <Paragraphs>0</Paragraphs>
  <TotalTime>5</TotalTime>
  <ScaleCrop>false</ScaleCrop>
  <LinksUpToDate>false</LinksUpToDate>
  <CharactersWithSpaces>7607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2025-09-02T04:15:15Z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eyJoZGlkIjoiNTM1NjJiMTUwNmFhZWNlZmQwNDVjMDAxNDMwM2IwMDkiLCJ1c2VySWQiOiIyNTk4NTcxMjUifQ==</vt:lpwstr>
  </property>
</Properties>
</file>