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中共克孜勒苏柯尔克孜自治州委员会统一战线工作部2024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919F8E2">
      <w:r>
        <w:br w:type="page"/>
      </w:r>
    </w:p>
    <w:p w14:paraId="47E58991">
      <w:pPr>
        <w:spacing w:line="640" w:lineRule="exact"/>
        <w:jc w:val="center"/>
        <w:outlineLvl w:val="1"/>
      </w:pPr>
      <w:r>
        <w:rPr>
          <w:rFonts w:ascii="黑体" w:hAnsi="黑体" w:eastAsia="黑体"/>
          <w:sz w:val="32"/>
        </w:rPr>
        <w:t>第一部分 单位概况</w:t>
      </w:r>
    </w:p>
    <w:p w14:paraId="5744318A">
      <w:pPr>
        <w:spacing w:line="640" w:lineRule="exact"/>
        <w:ind w:firstLine="640"/>
        <w:jc w:val="both"/>
        <w:outlineLvl w:val="2"/>
      </w:pPr>
      <w:r>
        <w:rPr>
          <w:rFonts w:ascii="黑体" w:hAnsi="黑体" w:eastAsia="黑体"/>
          <w:sz w:val="32"/>
        </w:rPr>
        <w:t>一、主要职能</w:t>
      </w:r>
    </w:p>
    <w:p w14:paraId="3041AED4">
      <w:pPr>
        <w:spacing w:line="580" w:lineRule="exact"/>
        <w:ind w:firstLine="640"/>
        <w:jc w:val="both"/>
      </w:pPr>
      <w:r>
        <w:rPr>
          <w:rFonts w:ascii="仿宋_GB2312" w:hAnsi="仿宋_GB2312" w:eastAsia="仿宋_GB2312"/>
          <w:sz w:val="32"/>
        </w:rPr>
        <w:t>维护党的章程和其他党内法规，检查党的路线、方针、政策和决议的执行情况，协助党的委员会加强党风建设和组织协调反腐败工作。州党委统战部机关负责党委统战部全体会议、常委会会议、各部门培训工作，组织实施机关的各类会议，负责领导的视察、督查检查、调研、学习等日常活动的各项服务、组织工作。</w:t>
      </w:r>
    </w:p>
    <w:p w14:paraId="389375EE">
      <w:pPr>
        <w:spacing w:line="580" w:lineRule="exact"/>
        <w:ind w:firstLine="640"/>
        <w:jc w:val="both"/>
      </w:pPr>
      <w:r>
        <w:rPr>
          <w:rFonts w:ascii="仿宋_GB2312" w:hAnsi="仿宋_GB2312" w:eastAsia="仿宋_GB2312"/>
          <w:sz w:val="32"/>
        </w:rPr>
        <w:t>（1）坚持和加强党对统一战线工作的集中统一领导，贯彻落实党中央关于统一战线工作的方针政策和决策部署，贯彻落实自治区、自治州党委关于统一战线工作的部署要求和重大举措，紧紧围绕新疆社会稳定和长治久安总目标，发挥自治州党委在统战工作方面的参谋机构、组织协调机构、具体执行机构、督促检查机构作用，了解情况、掌握政策、协调关系、安排人事、增进共识、加强团结，协调统一战线各方面关系，巩固壮大最广泛的统一战线。</w:t>
      </w:r>
    </w:p>
    <w:p w14:paraId="0BDB44B5">
      <w:pPr>
        <w:spacing w:line="580" w:lineRule="exact"/>
        <w:ind w:firstLine="640"/>
        <w:jc w:val="both"/>
      </w:pPr>
      <w:r>
        <w:rPr>
          <w:rFonts w:ascii="仿宋_GB2312" w:hAnsi="仿宋_GB2312" w:eastAsia="仿宋_GB2312"/>
          <w:sz w:val="32"/>
        </w:rPr>
        <w:t>（2）推动新疆统一战线工作的政策和法律法规的落实，深入调查研究，及时向自治州党委报告统一战线工作情况并提出建议，统筹协调和指导各县（市）各部门各单位统一战线工作。</w:t>
      </w:r>
    </w:p>
    <w:p w14:paraId="3CC1A2DF">
      <w:pPr>
        <w:spacing w:line="580" w:lineRule="exact"/>
        <w:ind w:firstLine="640"/>
        <w:jc w:val="both"/>
      </w:pPr>
      <w:r>
        <w:rPr>
          <w:rFonts w:ascii="仿宋_GB2312" w:hAnsi="仿宋_GB2312" w:eastAsia="仿宋_GB2312"/>
          <w:sz w:val="32"/>
        </w:rPr>
        <w:t>（3）负责发现、培养党外代表人士，负责党外人士的政治安排，会同有关部门做好安排党外人士担任政府和司法机关等领导职务的工作，协助自治州工商联做好干部管理工作，反映和协调解决党外代表人士工作生活中的实际困难。</w:t>
      </w:r>
    </w:p>
    <w:p w14:paraId="7BF60A9C">
      <w:pPr>
        <w:spacing w:line="580" w:lineRule="exact"/>
        <w:ind w:firstLine="640"/>
        <w:jc w:val="both"/>
      </w:pPr>
      <w:r>
        <w:rPr>
          <w:rFonts w:ascii="仿宋_GB2312" w:hAnsi="仿宋_GB2312" w:eastAsia="仿宋_GB2312"/>
          <w:sz w:val="32"/>
        </w:rPr>
        <w:t>（4）贯彻落实党的宣传工作方针，统筹推进州内外统一战线宣传工作。</w:t>
      </w:r>
    </w:p>
    <w:p w14:paraId="6A0799D2">
      <w:pPr>
        <w:spacing w:line="580" w:lineRule="exact"/>
        <w:ind w:firstLine="640"/>
        <w:jc w:val="both"/>
      </w:pPr>
      <w:r>
        <w:rPr>
          <w:rFonts w:ascii="仿宋_GB2312" w:hAnsi="仿宋_GB2312" w:eastAsia="仿宋_GB2312"/>
          <w:sz w:val="32"/>
        </w:rPr>
        <w:t>（5）负责联系</w:t>
      </w:r>
      <w:r>
        <w:rPr>
          <w:rFonts w:hint="eastAsia" w:ascii="仿宋_GB2312" w:hAnsi="仿宋_GB2312" w:eastAsia="仿宋_GB2312"/>
          <w:sz w:val="32"/>
          <w:lang w:eastAsia="zh-CN"/>
        </w:rPr>
        <w:t>各民主党派</w:t>
      </w:r>
      <w:r>
        <w:rPr>
          <w:rFonts w:ascii="仿宋_GB2312" w:hAnsi="仿宋_GB2312" w:eastAsia="仿宋_GB2312"/>
          <w:sz w:val="32"/>
        </w:rPr>
        <w:t>，通报情况、反映意见，贯彻落实中国共产党领导的多党合作和政治协商制度以及对民主党派的方针政策，支持、帮助民主党派加强自身建设，做好支持民主党派履行职能、发挥作用的工作。</w:t>
      </w:r>
    </w:p>
    <w:p w14:paraId="2045C353">
      <w:pPr>
        <w:spacing w:line="580" w:lineRule="exact"/>
        <w:ind w:firstLine="640"/>
        <w:jc w:val="both"/>
      </w:pPr>
      <w:r>
        <w:rPr>
          <w:rFonts w:ascii="仿宋_GB2312" w:hAnsi="仿宋_GB2312" w:eastAsia="仿宋_GB2312"/>
          <w:sz w:val="32"/>
        </w:rPr>
        <w:t>（6）贯彻落实党的民族工作方针，研究拟订民族工作政策措施并督促落实，协调处理民族工作中的重大问题，根据分工做好少数民族干部工作。</w:t>
      </w:r>
    </w:p>
    <w:p w14:paraId="196BFD6E">
      <w:pPr>
        <w:spacing w:line="580" w:lineRule="exact"/>
        <w:ind w:firstLine="640"/>
        <w:jc w:val="both"/>
      </w:pPr>
      <w:r>
        <w:rPr>
          <w:rFonts w:ascii="仿宋_GB2312" w:hAnsi="仿宋_GB2312" w:eastAsia="仿宋_GB2312"/>
          <w:sz w:val="32"/>
        </w:rPr>
        <w:t>（7）贯彻落实党中央治疆方略，组织协调和指导各县（市）各部门各单位做好有关工作。</w:t>
      </w:r>
    </w:p>
    <w:p w14:paraId="722D96BA">
      <w:pPr>
        <w:spacing w:line="580" w:lineRule="exact"/>
        <w:ind w:firstLine="640"/>
        <w:jc w:val="both"/>
      </w:pPr>
      <w:r>
        <w:rPr>
          <w:rFonts w:ascii="仿宋_GB2312" w:hAnsi="仿宋_GB2312" w:eastAsia="仿宋_GB2312"/>
          <w:sz w:val="32"/>
        </w:rPr>
        <w:t>（8）贯彻落实</w:t>
      </w:r>
      <w:r>
        <w:rPr>
          <w:rFonts w:hint="eastAsia" w:ascii="仿宋_GB2312" w:hAnsi="仿宋_GB2312" w:eastAsia="仿宋_GB2312"/>
          <w:sz w:val="32"/>
          <w:lang w:eastAsia="zh-CN"/>
        </w:rPr>
        <w:t>党的</w:t>
      </w:r>
      <w:r>
        <w:rPr>
          <w:rFonts w:hint="eastAsia" w:ascii="仿宋_GB2312" w:hAnsi="仿宋_GB2312" w:eastAsia="仿宋_GB2312"/>
          <w:sz w:val="32"/>
          <w:lang w:val="en-US" w:eastAsia="zh-CN"/>
        </w:rPr>
        <w:t>ZJ</w:t>
      </w:r>
      <w:r>
        <w:rPr>
          <w:rFonts w:hint="eastAsia" w:ascii="仿宋_GB2312" w:hAnsi="仿宋_GB2312" w:eastAsia="仿宋_GB2312"/>
          <w:sz w:val="32"/>
          <w:lang w:eastAsia="zh-CN"/>
        </w:rPr>
        <w:t>工作基本方针</w:t>
      </w:r>
      <w:r>
        <w:rPr>
          <w:rFonts w:ascii="仿宋_GB2312" w:hAnsi="仿宋_GB2312" w:eastAsia="仿宋_GB2312"/>
          <w:sz w:val="32"/>
        </w:rPr>
        <w:t>、政策，研究拟订</w:t>
      </w:r>
      <w:r>
        <w:rPr>
          <w:rFonts w:hint="eastAsia" w:ascii="仿宋_GB2312" w:hAnsi="仿宋_GB2312" w:eastAsia="仿宋_GB2312"/>
          <w:sz w:val="32"/>
          <w:lang w:eastAsia="zh-CN"/>
        </w:rPr>
        <w:t>ZJ</w:t>
      </w:r>
      <w:r>
        <w:rPr>
          <w:rFonts w:ascii="仿宋_GB2312" w:hAnsi="仿宋_GB2312" w:eastAsia="仿宋_GB2312"/>
          <w:sz w:val="32"/>
        </w:rPr>
        <w:t>工作政策措施并督促落实，引导各</w:t>
      </w:r>
      <w:r>
        <w:rPr>
          <w:rFonts w:hint="eastAsia" w:ascii="仿宋_GB2312" w:hAnsi="仿宋_GB2312" w:eastAsia="仿宋_GB2312"/>
          <w:sz w:val="32"/>
          <w:lang w:eastAsia="zh-CN"/>
        </w:rPr>
        <w:t>ZJ</w:t>
      </w:r>
      <w:r>
        <w:rPr>
          <w:rFonts w:ascii="仿宋_GB2312" w:hAnsi="仿宋_GB2312" w:eastAsia="仿宋_GB2312"/>
          <w:sz w:val="32"/>
        </w:rPr>
        <w:t>坚持中国化方向，促进</w:t>
      </w:r>
      <w:r>
        <w:rPr>
          <w:rFonts w:hint="eastAsia" w:ascii="仿宋_GB2312" w:hAnsi="仿宋_GB2312" w:eastAsia="仿宋_GB2312"/>
          <w:sz w:val="32"/>
          <w:lang w:eastAsia="zh-CN"/>
        </w:rPr>
        <w:t>ZJ</w:t>
      </w:r>
      <w:r>
        <w:rPr>
          <w:rFonts w:ascii="仿宋_GB2312" w:hAnsi="仿宋_GB2312" w:eastAsia="仿宋_GB2312"/>
          <w:sz w:val="32"/>
        </w:rPr>
        <w:t>与社会主义社会相适应，巩固和发展同</w:t>
      </w:r>
      <w:r>
        <w:rPr>
          <w:rFonts w:hint="eastAsia" w:ascii="仿宋_GB2312" w:hAnsi="仿宋_GB2312" w:eastAsia="仿宋_GB2312"/>
          <w:sz w:val="32"/>
          <w:lang w:eastAsia="zh-CN"/>
        </w:rPr>
        <w:t>ZJ</w:t>
      </w:r>
      <w:r>
        <w:rPr>
          <w:rFonts w:ascii="仿宋_GB2312" w:hAnsi="仿宋_GB2312" w:eastAsia="仿宋_GB2312"/>
          <w:sz w:val="32"/>
        </w:rPr>
        <w:t>界的爱国统一战线。</w:t>
      </w:r>
    </w:p>
    <w:p w14:paraId="41F882B2">
      <w:pPr>
        <w:spacing w:line="580" w:lineRule="exact"/>
        <w:ind w:firstLine="640"/>
        <w:jc w:val="both"/>
      </w:pPr>
      <w:r>
        <w:rPr>
          <w:rFonts w:ascii="仿宋_GB2312" w:hAnsi="仿宋_GB2312" w:eastAsia="仿宋_GB2312"/>
          <w:sz w:val="32"/>
        </w:rPr>
        <w:t>（9）负责联系、培养无党派代表人士，支持、帮助无党派人士加强自身建设、发挥作用。调查研究党外知识分子和新的社会阶层人士情况并提出政策建议。</w:t>
      </w:r>
    </w:p>
    <w:p w14:paraId="44983BEF">
      <w:pPr>
        <w:spacing w:line="580" w:lineRule="exact"/>
        <w:ind w:firstLine="640"/>
        <w:jc w:val="both"/>
      </w:pPr>
      <w:r>
        <w:rPr>
          <w:rFonts w:ascii="仿宋_GB2312" w:hAnsi="仿宋_GB2312" w:eastAsia="仿宋_GB2312"/>
          <w:sz w:val="32"/>
        </w:rPr>
        <w:t>（10）参与制定、推动落实鼓励支持引导非公有制经济发展的方针政策，调查研究非公有制经济人士情况并提出政策建议。</w:t>
      </w:r>
    </w:p>
    <w:p w14:paraId="76BAD283">
      <w:pPr>
        <w:spacing w:line="580" w:lineRule="exact"/>
        <w:ind w:firstLine="640"/>
        <w:jc w:val="both"/>
      </w:pPr>
      <w:r>
        <w:rPr>
          <w:rFonts w:ascii="仿宋_GB2312" w:hAnsi="仿宋_GB2312" w:eastAsia="仿宋_GB2312"/>
          <w:sz w:val="32"/>
        </w:rPr>
        <w:t>（11）统一领导海外统战工作，牵头开展港澳统战工作，开展对台统战工作。</w:t>
      </w:r>
    </w:p>
    <w:p w14:paraId="238AE587">
      <w:pPr>
        <w:spacing w:line="580" w:lineRule="exact"/>
        <w:ind w:firstLine="640"/>
        <w:jc w:val="both"/>
      </w:pPr>
      <w:r>
        <w:rPr>
          <w:rFonts w:ascii="仿宋_GB2312" w:hAnsi="仿宋_GB2312" w:eastAsia="仿宋_GB2312"/>
          <w:sz w:val="32"/>
        </w:rPr>
        <w:t>（12）统一管理侨务工作，贯彻落实党的侨务工作方针政策。</w:t>
      </w:r>
    </w:p>
    <w:p w14:paraId="46E07E0F">
      <w:pPr>
        <w:spacing w:line="580" w:lineRule="exact"/>
        <w:ind w:firstLine="640"/>
        <w:jc w:val="both"/>
      </w:pPr>
      <w:r>
        <w:rPr>
          <w:rFonts w:ascii="仿宋_GB2312" w:hAnsi="仿宋_GB2312" w:eastAsia="仿宋_GB2312"/>
          <w:sz w:val="32"/>
        </w:rPr>
        <w:t>（13）做好统一战线有关单位和团体的管理工作。做好统战系统干部和统一战线成员的教育培训工作。</w:t>
      </w:r>
    </w:p>
    <w:p w14:paraId="4F317D96">
      <w:pPr>
        <w:spacing w:line="580" w:lineRule="exact"/>
        <w:ind w:firstLine="640"/>
        <w:jc w:val="both"/>
      </w:pPr>
      <w:r>
        <w:rPr>
          <w:rFonts w:ascii="仿宋_GB2312" w:hAnsi="仿宋_GB2312" w:eastAsia="仿宋_GB2312"/>
          <w:sz w:val="32"/>
        </w:rPr>
        <w:t>（14）完成自治州党委交办的其他任务。</w:t>
      </w:r>
    </w:p>
    <w:p w14:paraId="3A3355EB">
      <w:pPr>
        <w:spacing w:line="640" w:lineRule="exact"/>
        <w:ind w:firstLine="640"/>
        <w:jc w:val="both"/>
        <w:outlineLvl w:val="2"/>
      </w:pPr>
      <w:r>
        <w:rPr>
          <w:rFonts w:ascii="黑体" w:hAnsi="黑体" w:eastAsia="黑体"/>
          <w:sz w:val="32"/>
        </w:rPr>
        <w:t>二、机构设置及人员情况</w:t>
      </w:r>
    </w:p>
    <w:p w14:paraId="509E5A85">
      <w:pPr>
        <w:spacing w:line="580" w:lineRule="exact"/>
        <w:ind w:firstLine="640"/>
        <w:jc w:val="both"/>
      </w:pPr>
      <w:r>
        <w:rPr>
          <w:rFonts w:ascii="仿宋_GB2312" w:hAnsi="仿宋_GB2312" w:eastAsia="仿宋_GB2312"/>
          <w:sz w:val="32"/>
        </w:rPr>
        <w:t>中共克孜勒苏柯尔克孜自治州委员会统一战线工作部2024年度，实有人数20人，其中：在职人员16人，增加1人；离休人员0人，增加0人；退休人员4人,增加1人。</w:t>
      </w:r>
    </w:p>
    <w:p w14:paraId="0643FA3B">
      <w:pPr>
        <w:spacing w:line="580" w:lineRule="exact"/>
        <w:ind w:firstLine="640"/>
        <w:jc w:val="both"/>
      </w:pPr>
      <w:r>
        <w:rPr>
          <w:rFonts w:ascii="仿宋_GB2312" w:hAnsi="仿宋_GB2312" w:eastAsia="仿宋_GB2312"/>
          <w:sz w:val="32"/>
        </w:rPr>
        <w:t>中共克孜勒苏柯尔克孜自治州委员会统一战线工作部无下属预算单位，下设5个科室，分别是：办公室、侨务台务工作科、民族工作科、工作科、党外人士联络服务中心。</w:t>
      </w:r>
    </w:p>
    <w:p w14:paraId="0242B403">
      <w:r>
        <w:br w:type="page"/>
      </w:r>
    </w:p>
    <w:p w14:paraId="0DEAD2E8">
      <w:pPr>
        <w:spacing w:line="240" w:lineRule="auto"/>
        <w:jc w:val="center"/>
        <w:outlineLvl w:val="1"/>
      </w:pPr>
      <w:r>
        <w:rPr>
          <w:rFonts w:ascii="黑体" w:hAnsi="黑体" w:eastAsia="黑体"/>
          <w:sz w:val="32"/>
        </w:rPr>
        <w:t>第二部分 部门决算情况说明</w:t>
      </w:r>
    </w:p>
    <w:p w14:paraId="6D435B93">
      <w:pPr>
        <w:spacing w:line="640" w:lineRule="exact"/>
        <w:ind w:firstLine="640"/>
        <w:jc w:val="both"/>
        <w:outlineLvl w:val="2"/>
      </w:pPr>
      <w:r>
        <w:rPr>
          <w:rFonts w:ascii="黑体" w:hAnsi="黑体" w:eastAsia="黑体"/>
          <w:sz w:val="32"/>
        </w:rPr>
        <w:t>一、收入支出决算总体情况说明</w:t>
      </w:r>
    </w:p>
    <w:p w14:paraId="5888B0FB">
      <w:pPr>
        <w:spacing w:line="580" w:lineRule="exact"/>
        <w:ind w:firstLine="640"/>
        <w:jc w:val="both"/>
      </w:pPr>
      <w:r>
        <w:rPr>
          <w:rFonts w:ascii="仿宋_GB2312" w:hAnsi="仿宋_GB2312" w:eastAsia="仿宋_GB2312"/>
          <w:b/>
          <w:sz w:val="32"/>
        </w:rPr>
        <w:t>2024年度收入总计535.22万元，</w:t>
      </w:r>
      <w:r>
        <w:rPr>
          <w:rFonts w:ascii="仿宋_GB2312" w:hAnsi="仿宋_GB2312" w:eastAsia="仿宋_GB2312"/>
          <w:b w:val="0"/>
          <w:sz w:val="32"/>
        </w:rPr>
        <w:t>其中：本年收入合计533.07万元，使用非财政拨款结余（含专用结余）0.00万元，年初结转和结余2.15万元。</w:t>
      </w:r>
    </w:p>
    <w:p w14:paraId="098239AF">
      <w:pPr>
        <w:spacing w:line="580" w:lineRule="exact"/>
        <w:ind w:firstLine="640"/>
        <w:jc w:val="both"/>
      </w:pPr>
      <w:r>
        <w:rPr>
          <w:rFonts w:ascii="仿宋_GB2312" w:hAnsi="仿宋_GB2312" w:eastAsia="仿宋_GB2312"/>
          <w:b/>
          <w:sz w:val="32"/>
        </w:rPr>
        <w:t>2024年度支出总计535.22万元，</w:t>
      </w:r>
      <w:r>
        <w:rPr>
          <w:rFonts w:ascii="仿宋_GB2312" w:hAnsi="仿宋_GB2312" w:eastAsia="仿宋_GB2312"/>
          <w:b w:val="0"/>
          <w:sz w:val="32"/>
        </w:rPr>
        <w:t>其中：本年支出合计534.64万元，结余分配0.00万元，年末结转和结余0.59万元。</w:t>
      </w:r>
    </w:p>
    <w:p w14:paraId="30F00511">
      <w:pPr>
        <w:spacing w:line="580" w:lineRule="exact"/>
        <w:ind w:firstLine="640"/>
        <w:jc w:val="both"/>
      </w:pPr>
      <w:r>
        <w:rPr>
          <w:rFonts w:ascii="仿宋_GB2312" w:hAnsi="仿宋_GB2312" w:eastAsia="仿宋_GB2312"/>
          <w:b w:val="0"/>
          <w:sz w:val="32"/>
        </w:rPr>
        <w:t>收入支出总体与上年相比，减少322.46万元，下降37.60%，主要原因是：本年减少民族团结创建工作经费项目经费、自治区专项经费。</w:t>
      </w:r>
    </w:p>
    <w:p w14:paraId="2DA1F240">
      <w:pPr>
        <w:spacing w:line="640" w:lineRule="exact"/>
        <w:ind w:firstLine="640"/>
        <w:jc w:val="both"/>
        <w:outlineLvl w:val="2"/>
      </w:pPr>
      <w:r>
        <w:rPr>
          <w:rFonts w:ascii="黑体" w:hAnsi="黑体" w:eastAsia="黑体"/>
          <w:sz w:val="32"/>
        </w:rPr>
        <w:t>二、收入决算情况说明</w:t>
      </w:r>
    </w:p>
    <w:p w14:paraId="70072FB2">
      <w:pPr>
        <w:spacing w:line="580" w:lineRule="exact"/>
        <w:ind w:firstLine="640"/>
        <w:jc w:val="both"/>
      </w:pPr>
      <w:r>
        <w:rPr>
          <w:rFonts w:ascii="仿宋_GB2312" w:hAnsi="仿宋_GB2312" w:eastAsia="仿宋_GB2312"/>
          <w:b/>
          <w:sz w:val="32"/>
        </w:rPr>
        <w:t>本年收入533.07万元，</w:t>
      </w:r>
      <w:r>
        <w:rPr>
          <w:rFonts w:ascii="仿宋_GB2312" w:hAnsi="仿宋_GB2312" w:eastAsia="仿宋_GB2312"/>
          <w:b w:val="0"/>
          <w:sz w:val="32"/>
        </w:rPr>
        <w:t>其中：财政拨款收入503.11万元，占94.38%；上级补助收入0.00万元，占0.00%；事业收入0.00万元，占0.00%；经营收入0.00万元，占0.00%；附属单位上缴收入0.00万元，占0.00%；其他收入29.96万元，占5.62%。</w:t>
      </w:r>
    </w:p>
    <w:p w14:paraId="2CE60B3B">
      <w:pPr>
        <w:spacing w:line="640" w:lineRule="exact"/>
        <w:ind w:firstLine="640"/>
        <w:jc w:val="both"/>
        <w:outlineLvl w:val="2"/>
      </w:pPr>
      <w:r>
        <w:rPr>
          <w:rFonts w:ascii="黑体" w:hAnsi="黑体" w:eastAsia="黑体"/>
          <w:sz w:val="32"/>
        </w:rPr>
        <w:t>三、支出决算情况说明</w:t>
      </w:r>
    </w:p>
    <w:p w14:paraId="73C87B46">
      <w:pPr>
        <w:spacing w:line="580" w:lineRule="exact"/>
        <w:ind w:firstLine="640"/>
        <w:jc w:val="both"/>
      </w:pPr>
      <w:r>
        <w:rPr>
          <w:rFonts w:ascii="仿宋_GB2312" w:hAnsi="仿宋_GB2312" w:eastAsia="仿宋_GB2312"/>
          <w:b/>
          <w:sz w:val="32"/>
        </w:rPr>
        <w:t>本年支出534.64万元，</w:t>
      </w:r>
      <w:r>
        <w:rPr>
          <w:rFonts w:ascii="仿宋_GB2312" w:hAnsi="仿宋_GB2312" w:eastAsia="仿宋_GB2312"/>
          <w:b w:val="0"/>
          <w:sz w:val="32"/>
        </w:rPr>
        <w:t>其中：基本支出350.24万元，占65.51%；项目支出184.40万元，占34.49%；上缴上级支出0.00万元，占0.00%；经营支出0.00万元，占0.00%；对附属单位补助支出0.00万元，占0.00%。</w:t>
      </w:r>
    </w:p>
    <w:p w14:paraId="43953F06">
      <w:pPr>
        <w:spacing w:line="640" w:lineRule="exact"/>
        <w:ind w:firstLine="640"/>
        <w:jc w:val="both"/>
        <w:outlineLvl w:val="2"/>
      </w:pPr>
      <w:r>
        <w:rPr>
          <w:rFonts w:ascii="黑体" w:hAnsi="黑体" w:eastAsia="黑体"/>
          <w:sz w:val="32"/>
        </w:rPr>
        <w:t>四、财政拨款收入支出决算总体情况说明</w:t>
      </w:r>
    </w:p>
    <w:p w14:paraId="3A63FF31">
      <w:pPr>
        <w:spacing w:line="580" w:lineRule="exact"/>
        <w:ind w:firstLine="640"/>
        <w:jc w:val="both"/>
      </w:pPr>
      <w:r>
        <w:rPr>
          <w:rFonts w:ascii="仿宋_GB2312" w:hAnsi="仿宋_GB2312" w:eastAsia="仿宋_GB2312"/>
          <w:b/>
          <w:sz w:val="32"/>
        </w:rPr>
        <w:t>2024年度财政拨款收入总计503.11万元，</w:t>
      </w:r>
      <w:r>
        <w:rPr>
          <w:rFonts w:ascii="仿宋_GB2312" w:hAnsi="仿宋_GB2312" w:eastAsia="仿宋_GB2312"/>
          <w:b w:val="0"/>
          <w:sz w:val="32"/>
        </w:rPr>
        <w:t>其中：年初财政拨款结转和结余0.00万元，本年财政拨款收入503.11万元。</w:t>
      </w:r>
      <w:r>
        <w:rPr>
          <w:rFonts w:ascii="仿宋_GB2312" w:hAnsi="仿宋_GB2312" w:eastAsia="仿宋_GB2312"/>
          <w:b/>
          <w:sz w:val="32"/>
        </w:rPr>
        <w:t>财政拨款支出总计503.11万元，</w:t>
      </w:r>
      <w:r>
        <w:rPr>
          <w:rFonts w:ascii="仿宋_GB2312" w:hAnsi="仿宋_GB2312" w:eastAsia="仿宋_GB2312"/>
          <w:b w:val="0"/>
          <w:sz w:val="32"/>
        </w:rPr>
        <w:t>其中：年末财政拨款结转和结余0.00万元，本年财政拨款支出503.11万元。</w:t>
      </w:r>
    </w:p>
    <w:p w14:paraId="20A197E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减少351.75万元，下降41.15%，主要原因是：本年减少民族团结创建工作经费项目经费、自治区专项经费。</w:t>
      </w:r>
      <w:r>
        <w:rPr>
          <w:rFonts w:ascii="仿宋_GB2312" w:hAnsi="仿宋_GB2312" w:eastAsia="仿宋_GB2312"/>
          <w:b/>
          <w:sz w:val="32"/>
        </w:rPr>
        <w:t>与年初预算相比，</w:t>
      </w:r>
      <w:r>
        <w:rPr>
          <w:rFonts w:ascii="仿宋_GB2312" w:hAnsi="仿宋_GB2312" w:eastAsia="仿宋_GB2312"/>
          <w:b w:val="0"/>
          <w:sz w:val="32"/>
        </w:rPr>
        <w:t>年初预算数532.71万元，决算数503.11万元，预决算差异率-5.56%，主要原因是：年初预算中包含民族团结创建工作经费项目经费，年中执行实际由克州民族事务委员会单位执行，导致预决算存在差异。</w:t>
      </w:r>
    </w:p>
    <w:p w14:paraId="37BF7E62">
      <w:pPr>
        <w:spacing w:line="640" w:lineRule="exact"/>
        <w:ind w:firstLine="640"/>
        <w:jc w:val="both"/>
        <w:outlineLvl w:val="2"/>
      </w:pPr>
      <w:r>
        <w:rPr>
          <w:rFonts w:ascii="黑体" w:hAnsi="黑体" w:eastAsia="黑体"/>
          <w:sz w:val="32"/>
        </w:rPr>
        <w:t>五、一般公共预算财政拨款支出决算情况说明</w:t>
      </w:r>
    </w:p>
    <w:p w14:paraId="659A24F3">
      <w:pPr>
        <w:spacing w:line="640" w:lineRule="exact"/>
        <w:ind w:firstLine="640"/>
        <w:jc w:val="both"/>
        <w:outlineLvl w:val="3"/>
      </w:pPr>
      <w:r>
        <w:rPr>
          <w:rFonts w:ascii="楷体_GB2312" w:hAnsi="楷体_GB2312" w:eastAsia="楷体_GB2312"/>
          <w:b/>
          <w:sz w:val="32"/>
        </w:rPr>
        <w:t>（一）一般公共预算财政拨款支出决算总体情况</w:t>
      </w:r>
    </w:p>
    <w:p w14:paraId="57DBB509">
      <w:pPr>
        <w:spacing w:line="580" w:lineRule="exact"/>
        <w:ind w:firstLine="640"/>
        <w:jc w:val="both"/>
      </w:pPr>
      <w:r>
        <w:rPr>
          <w:rFonts w:ascii="仿宋_GB2312" w:hAnsi="仿宋_GB2312" w:eastAsia="仿宋_GB2312"/>
          <w:b/>
          <w:sz w:val="32"/>
        </w:rPr>
        <w:t>2024年度一般公共预算财政拨款支出503.11万元，</w:t>
      </w:r>
      <w:r>
        <w:rPr>
          <w:rFonts w:ascii="仿宋_GB2312" w:hAnsi="仿宋_GB2312" w:eastAsia="仿宋_GB2312"/>
          <w:b w:val="0"/>
          <w:sz w:val="32"/>
        </w:rPr>
        <w:t>占本年支出合计的94.10%。</w:t>
      </w:r>
      <w:r>
        <w:rPr>
          <w:rFonts w:ascii="仿宋_GB2312" w:hAnsi="仿宋_GB2312" w:eastAsia="仿宋_GB2312"/>
          <w:b/>
          <w:sz w:val="32"/>
        </w:rPr>
        <w:t>与上年相比，</w:t>
      </w:r>
      <w:r>
        <w:rPr>
          <w:rFonts w:ascii="仿宋_GB2312" w:hAnsi="仿宋_GB2312" w:eastAsia="仿宋_GB2312"/>
          <w:b w:val="0"/>
          <w:sz w:val="32"/>
        </w:rPr>
        <w:t>减少351.75万元，下降41.15%，主要原因是：本年减少民族团结创建工作经费项目经费、自治区专项经费。</w:t>
      </w:r>
      <w:r>
        <w:rPr>
          <w:rFonts w:ascii="仿宋_GB2312" w:hAnsi="仿宋_GB2312" w:eastAsia="仿宋_GB2312"/>
          <w:b/>
          <w:sz w:val="32"/>
        </w:rPr>
        <w:t>与年初预算相比,</w:t>
      </w:r>
      <w:r>
        <w:rPr>
          <w:rFonts w:ascii="仿宋_GB2312" w:hAnsi="仿宋_GB2312" w:eastAsia="仿宋_GB2312"/>
          <w:b w:val="0"/>
          <w:sz w:val="32"/>
        </w:rPr>
        <w:t>年初预算数532.71万元，决算数503.11万元，预决算差异率-5.56%，主要原因是：年初预算中包含民族团结创建工作经费项目经费，年中执行实际由克州民族事务委员会单位执行，导致预决算存在差异。</w:t>
      </w:r>
    </w:p>
    <w:p w14:paraId="6FC663B6">
      <w:pPr>
        <w:spacing w:line="640" w:lineRule="exact"/>
        <w:ind w:firstLine="640"/>
        <w:jc w:val="both"/>
        <w:outlineLvl w:val="3"/>
      </w:pPr>
      <w:r>
        <w:rPr>
          <w:rFonts w:ascii="楷体_GB2312" w:hAnsi="楷体_GB2312" w:eastAsia="楷体_GB2312"/>
          <w:b/>
          <w:sz w:val="32"/>
        </w:rPr>
        <w:t>（二）一般公共预算财政拨款支出决算结构情况</w:t>
      </w:r>
    </w:p>
    <w:p w14:paraId="2D98DBF9">
      <w:pPr>
        <w:spacing w:line="580" w:lineRule="exact"/>
        <w:ind w:firstLine="640"/>
        <w:jc w:val="both"/>
      </w:pPr>
      <w:r>
        <w:rPr>
          <w:rFonts w:ascii="仿宋_GB2312" w:hAnsi="仿宋_GB2312" w:eastAsia="仿宋_GB2312"/>
          <w:b w:val="0"/>
          <w:sz w:val="32"/>
        </w:rPr>
        <w:t>1.一般公共服务支出(类)454.41万元,占90.32%。</w:t>
      </w:r>
    </w:p>
    <w:p w14:paraId="16E01CF2">
      <w:pPr>
        <w:spacing w:line="580" w:lineRule="exact"/>
        <w:ind w:firstLine="640"/>
        <w:jc w:val="both"/>
      </w:pPr>
      <w:r>
        <w:rPr>
          <w:rFonts w:ascii="仿宋_GB2312" w:hAnsi="仿宋_GB2312" w:eastAsia="仿宋_GB2312"/>
          <w:b w:val="0"/>
          <w:sz w:val="32"/>
        </w:rPr>
        <w:t>2.社会保障和就业支出(类)48.70万元,占9.68%。</w:t>
      </w:r>
    </w:p>
    <w:p w14:paraId="03E0F80C">
      <w:pPr>
        <w:spacing w:line="640" w:lineRule="exact"/>
        <w:ind w:firstLine="640"/>
        <w:jc w:val="both"/>
        <w:outlineLvl w:val="3"/>
      </w:pPr>
      <w:r>
        <w:rPr>
          <w:rFonts w:ascii="楷体_GB2312" w:hAnsi="楷体_GB2312" w:eastAsia="楷体_GB2312"/>
          <w:b/>
          <w:sz w:val="32"/>
        </w:rPr>
        <w:t>（三）一般公共预算财政拨款支出决算具体情况</w:t>
      </w:r>
    </w:p>
    <w:p w14:paraId="194F5229">
      <w:pPr>
        <w:spacing w:line="580" w:lineRule="exact"/>
        <w:ind w:firstLine="640"/>
        <w:jc w:val="both"/>
      </w:pPr>
      <w:r>
        <w:rPr>
          <w:rFonts w:ascii="仿宋_GB2312" w:hAnsi="仿宋_GB2312" w:eastAsia="仿宋_GB2312"/>
          <w:b w:val="0"/>
          <w:sz w:val="32"/>
        </w:rPr>
        <w:t>1.一般公共服务支出(类)统战事务(款)行政运行(项):支出决算数为231.22万元，比上年决算减少82.64万元，下降26.33%,主要原因是：本年无死亡人员，减少抚恤金。</w:t>
      </w:r>
    </w:p>
    <w:p w14:paraId="0E45D339">
      <w:pPr>
        <w:spacing w:line="580" w:lineRule="exact"/>
        <w:ind w:firstLine="640"/>
        <w:jc w:val="both"/>
      </w:pPr>
      <w:r>
        <w:rPr>
          <w:rFonts w:ascii="仿宋_GB2312" w:hAnsi="仿宋_GB2312" w:eastAsia="仿宋_GB2312"/>
          <w:b w:val="0"/>
          <w:sz w:val="32"/>
        </w:rPr>
        <w:t>2.一般公共服务支出(类)统战事务(款)宗教事务(项):支出决算数为20.81万元，比上年决算增加20.81万元，增长100.00%,主要原因是：本年功能科目调整，自治区培训经费上年度在其他统战事务支出科目列支，本年单独列支，导致经费增加。</w:t>
      </w:r>
    </w:p>
    <w:p w14:paraId="39DF73F7">
      <w:pPr>
        <w:spacing w:line="580" w:lineRule="exact"/>
        <w:ind w:firstLine="640"/>
        <w:jc w:val="both"/>
      </w:pPr>
      <w:r>
        <w:rPr>
          <w:rFonts w:ascii="仿宋_GB2312" w:hAnsi="仿宋_GB2312" w:eastAsia="仿宋_GB2312"/>
          <w:b w:val="0"/>
          <w:sz w:val="32"/>
        </w:rPr>
        <w:t>3.一般公共服务支出(类)统战事务(款)事业运行(项):支出决算数为69.80万元，比上年决算增加19.26万元，增长38.11%,主要原因是：</w:t>
      </w:r>
      <w:r>
        <w:rPr>
          <w:rFonts w:hint="eastAsia" w:ascii="仿宋_GB2312" w:hAnsi="仿宋_GB2312" w:eastAsia="仿宋_GB2312"/>
          <w:b w:val="0"/>
          <w:sz w:val="32"/>
          <w:lang w:eastAsia="zh-CN"/>
        </w:rPr>
        <w:t>本</w:t>
      </w:r>
      <w:r>
        <w:rPr>
          <w:rFonts w:ascii="仿宋_GB2312" w:hAnsi="仿宋_GB2312" w:eastAsia="仿宋_GB2312"/>
          <w:b w:val="0"/>
          <w:sz w:val="32"/>
        </w:rPr>
        <w:t>年在职人员工资调增，导致相关人员经费较上年有所增加。</w:t>
      </w:r>
    </w:p>
    <w:p w14:paraId="642DA7A6">
      <w:pPr>
        <w:spacing w:line="580" w:lineRule="exact"/>
        <w:ind w:firstLine="640"/>
        <w:jc w:val="both"/>
      </w:pPr>
      <w:r>
        <w:rPr>
          <w:rFonts w:ascii="仿宋_GB2312" w:hAnsi="仿宋_GB2312" w:eastAsia="仿宋_GB2312"/>
          <w:b w:val="0"/>
          <w:sz w:val="32"/>
        </w:rPr>
        <w:t>4.一般公共服务支出(类)统战事务(款)其他统战事务支出(项):支出决算数为132.59万元，比上年决算减少318.73万元，下降70.62%,主要原因是：本年自治区专项经费减少；功能科目调整，自治区培训经费上年度在其他统战事务支出科目列支，本年宗教事务</w:t>
      </w:r>
      <w:r>
        <w:rPr>
          <w:rFonts w:hint="eastAsia" w:ascii="仿宋_GB2312" w:hAnsi="仿宋_GB2312" w:eastAsia="仿宋_GB2312"/>
          <w:b w:val="0"/>
          <w:sz w:val="32"/>
          <w:lang w:val="en-US" w:eastAsia="zh-CN"/>
        </w:rPr>
        <w:t>科目</w:t>
      </w:r>
      <w:bookmarkStart w:id="0" w:name="_GoBack"/>
      <w:bookmarkEnd w:id="0"/>
      <w:r>
        <w:rPr>
          <w:rFonts w:ascii="仿宋_GB2312" w:hAnsi="仿宋_GB2312" w:eastAsia="仿宋_GB2312"/>
          <w:b w:val="0"/>
          <w:sz w:val="32"/>
        </w:rPr>
        <w:t>列支，导致经费减少。</w:t>
      </w:r>
    </w:p>
    <w:p w14:paraId="6A008978">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5.社会保障和就业支出(类)行政事业单位养老支出(款)行政单位离退休(项):支出决算数为7.77万元，比上年决算增加0.06万元，增长0.78%,主要原因是：本年退休人员增加1人，退休费支出增加。</w:t>
      </w:r>
    </w:p>
    <w:p w14:paraId="505C456B">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30.03万元，比上年决算增加0.12万元，增长0.40%,主要原因是：本年度事业人员调入1人、在职人员工资基数调增，养老缴费基数上涨，相应支出增加。</w:t>
      </w:r>
    </w:p>
    <w:p w14:paraId="4072E061">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7.社会保障和就业支出(类)行政事业单位养老支出(款)机关事业单位职业年金缴费支出(项):支出决算数为10.90万元，比上年决算增加9.38万元，增长617.11%,主要原因是：本年新增退休人员1人，职业年金缴费支出增加。</w:t>
      </w:r>
    </w:p>
    <w:p w14:paraId="5A5A791E">
      <w:pPr>
        <w:spacing w:line="640" w:lineRule="exact"/>
        <w:ind w:firstLine="640"/>
        <w:jc w:val="both"/>
        <w:outlineLvl w:val="2"/>
      </w:pPr>
      <w:r>
        <w:rPr>
          <w:rFonts w:ascii="黑体" w:hAnsi="黑体" w:eastAsia="黑体"/>
          <w:sz w:val="32"/>
        </w:rPr>
        <w:t>六、一般公共预算财政拨款基本支出决算情况说明</w:t>
      </w:r>
    </w:p>
    <w:p w14:paraId="7BFFE9C2">
      <w:pPr>
        <w:spacing w:line="580" w:lineRule="exact"/>
        <w:ind w:firstLine="640"/>
        <w:jc w:val="both"/>
      </w:pPr>
      <w:r>
        <w:rPr>
          <w:rFonts w:ascii="仿宋_GB2312" w:hAnsi="仿宋_GB2312" w:eastAsia="仿宋_GB2312"/>
          <w:b w:val="0"/>
          <w:sz w:val="32"/>
        </w:rPr>
        <w:t>2024年度一般公共预算财政拨款基本支出349.72万元，其中：</w:t>
      </w:r>
      <w:r>
        <w:rPr>
          <w:rFonts w:ascii="仿宋_GB2312" w:hAnsi="仿宋_GB2312" w:eastAsia="仿宋_GB2312"/>
          <w:b/>
          <w:sz w:val="32"/>
        </w:rPr>
        <w:t>人员经费337.62万元，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w:t>
      </w:r>
    </w:p>
    <w:p w14:paraId="7782DB84">
      <w:pPr>
        <w:spacing w:line="580" w:lineRule="exact"/>
        <w:ind w:firstLine="640"/>
        <w:jc w:val="both"/>
      </w:pPr>
      <w:r>
        <w:rPr>
          <w:rFonts w:ascii="仿宋_GB2312" w:hAnsi="仿宋_GB2312" w:eastAsia="仿宋_GB2312"/>
          <w:b/>
          <w:sz w:val="32"/>
        </w:rPr>
        <w:t>公用经费12.10万元，</w:t>
      </w:r>
      <w:r>
        <w:rPr>
          <w:rFonts w:ascii="仿宋_GB2312" w:hAnsi="仿宋_GB2312" w:eastAsia="仿宋_GB2312"/>
          <w:b w:val="0"/>
          <w:sz w:val="32"/>
        </w:rPr>
        <w:t>包括：办公费、咨询费、水费、电费、邮电费、公务接待费、劳务费、工会经费、福利费、公务用车运行维护费、办公设备购置、无形资产购置。</w:t>
      </w:r>
    </w:p>
    <w:p w14:paraId="6938E1F2">
      <w:pPr>
        <w:spacing w:line="640" w:lineRule="exact"/>
        <w:ind w:firstLine="640"/>
        <w:jc w:val="both"/>
        <w:outlineLvl w:val="2"/>
      </w:pPr>
      <w:r>
        <w:rPr>
          <w:rFonts w:ascii="黑体" w:hAnsi="黑体" w:eastAsia="黑体"/>
          <w:sz w:val="32"/>
        </w:rPr>
        <w:t>七、政府性基金预算财政拨款收入支出决算情况说明</w:t>
      </w:r>
    </w:p>
    <w:p w14:paraId="395EEAD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12448B9">
      <w:pPr>
        <w:spacing w:line="640" w:lineRule="exact"/>
        <w:ind w:firstLine="640"/>
        <w:jc w:val="both"/>
        <w:outlineLvl w:val="2"/>
      </w:pPr>
      <w:r>
        <w:rPr>
          <w:rFonts w:ascii="黑体" w:hAnsi="黑体" w:eastAsia="黑体"/>
          <w:sz w:val="32"/>
        </w:rPr>
        <w:t>八、国有资本经营预算财政拨款收入支出决算情况说明</w:t>
      </w:r>
    </w:p>
    <w:p w14:paraId="0DC3DD9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CC59353">
      <w:pPr>
        <w:spacing w:line="640" w:lineRule="exact"/>
        <w:ind w:firstLine="640"/>
        <w:jc w:val="both"/>
        <w:outlineLvl w:val="2"/>
      </w:pPr>
      <w:r>
        <w:rPr>
          <w:rFonts w:ascii="黑体" w:hAnsi="黑体" w:eastAsia="黑体"/>
          <w:sz w:val="32"/>
        </w:rPr>
        <w:t>九、财政拨款“三公”经费支出决算情况说明</w:t>
      </w:r>
    </w:p>
    <w:p w14:paraId="672F232A">
      <w:pPr>
        <w:spacing w:line="580" w:lineRule="exact"/>
        <w:ind w:firstLine="640"/>
        <w:jc w:val="both"/>
      </w:pPr>
      <w:r>
        <w:rPr>
          <w:rFonts w:ascii="仿宋_GB2312" w:hAnsi="仿宋_GB2312" w:eastAsia="仿宋_GB2312"/>
          <w:b/>
          <w:sz w:val="32"/>
        </w:rPr>
        <w:t>2024年度财政拨款“三公”经费支出13.98万元，</w:t>
      </w:r>
      <w:r>
        <w:rPr>
          <w:rFonts w:ascii="仿宋_GB2312" w:hAnsi="仿宋_GB2312" w:eastAsia="仿宋_GB2312"/>
          <w:b w:val="0"/>
          <w:sz w:val="32"/>
        </w:rPr>
        <w:t>比上年增加3.26万元，增长30.47%，主要原因是：本年业务来访人员增加，导致公务接待费较上年增加。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6.67万元，占47.71%，比上年增加0.31万元，增长4.87%，主要原因是：本年因业务需求，用车次数增加，燃油费增加，导致公务用车运行维护费较上年增加。公务接待费支出7.30万元，占52.22%，比上年增加2.95万元，增长67.82%，主要原因是：本年业务来访人员增加，导致公务接待费较上年增加。</w:t>
      </w:r>
    </w:p>
    <w:p w14:paraId="08086F5C">
      <w:pPr>
        <w:spacing w:line="580" w:lineRule="exact"/>
        <w:ind w:firstLine="640"/>
        <w:jc w:val="both"/>
      </w:pPr>
      <w:r>
        <w:rPr>
          <w:rFonts w:ascii="仿宋_GB2312" w:hAnsi="仿宋_GB2312" w:eastAsia="仿宋_GB2312"/>
          <w:b/>
          <w:sz w:val="32"/>
        </w:rPr>
        <w:t>具体情况如下：</w:t>
      </w:r>
    </w:p>
    <w:p w14:paraId="18FE866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6E4B98">
      <w:pPr>
        <w:spacing w:line="580" w:lineRule="exact"/>
        <w:ind w:firstLine="640"/>
        <w:jc w:val="both"/>
      </w:pPr>
      <w:r>
        <w:rPr>
          <w:rFonts w:ascii="仿宋_GB2312" w:hAnsi="仿宋_GB2312" w:eastAsia="仿宋_GB2312"/>
          <w:b w:val="0"/>
          <w:sz w:val="32"/>
        </w:rPr>
        <w:t>公务用车购置及运行维护费6.67万元，其中：公务用车购置费0.00万元，公务用车运行维护费6.67万元。公务用车运行维护费开支内容包括车辆加油费、保险费、过路费、维修费。公务用车购置数0辆，公务用车保有量1辆。国有资产占用情况中固定资产车辆1辆，与公务用车保有量差异原因是：本单位固定资产车辆与公务用车保有量一致无差异。</w:t>
      </w:r>
    </w:p>
    <w:p w14:paraId="59647715">
      <w:pPr>
        <w:spacing w:line="580" w:lineRule="exact"/>
        <w:ind w:firstLine="640"/>
        <w:jc w:val="both"/>
      </w:pPr>
      <w:r>
        <w:rPr>
          <w:rFonts w:ascii="仿宋_GB2312" w:hAnsi="仿宋_GB2312" w:eastAsia="仿宋_GB2312"/>
          <w:b w:val="0"/>
          <w:sz w:val="32"/>
        </w:rPr>
        <w:t>公务接待费7.30万元，开支内容包括因工作原因，接待上级调研及考察学习产生的就餐费。单位全年安排的国内公务接待31批次，487人次。</w:t>
      </w:r>
    </w:p>
    <w:p w14:paraId="4F7F634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18.00万元，决算数13.98万元，预决算差异率-22.33%，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8.00万元，决算数6.67万元，预决算差异率-16.62%，主要原因是：严格落实中央八项规定精神，厉行节约，减少经费支出。公务接待费全年预算数10.00万元，决算数7.30万元，预决算差异率-27.00%，主要原因是：严格落实中央八项规定精神，厉行节约，减少经费支出。</w:t>
      </w:r>
    </w:p>
    <w:p w14:paraId="45DAF454">
      <w:pPr>
        <w:spacing w:line="640" w:lineRule="exact"/>
        <w:ind w:firstLine="640"/>
        <w:jc w:val="both"/>
        <w:outlineLvl w:val="2"/>
      </w:pPr>
      <w:r>
        <w:rPr>
          <w:rFonts w:ascii="黑体" w:hAnsi="黑体" w:eastAsia="黑体"/>
          <w:sz w:val="32"/>
        </w:rPr>
        <w:t>十、其他重要事项的情况说明</w:t>
      </w:r>
    </w:p>
    <w:p w14:paraId="1AF05D17">
      <w:pPr>
        <w:spacing w:line="640" w:lineRule="exact"/>
        <w:ind w:firstLine="640"/>
        <w:jc w:val="both"/>
        <w:outlineLvl w:val="3"/>
      </w:pPr>
      <w:r>
        <w:rPr>
          <w:rFonts w:ascii="楷体_GB2312" w:hAnsi="楷体_GB2312" w:eastAsia="楷体_GB2312"/>
          <w:b/>
          <w:sz w:val="32"/>
        </w:rPr>
        <w:t>（一）机关运行经费及公用经费支出情况</w:t>
      </w:r>
    </w:p>
    <w:p w14:paraId="3B9649E4">
      <w:pPr>
        <w:spacing w:line="580" w:lineRule="exact"/>
        <w:ind w:firstLine="640"/>
        <w:jc w:val="both"/>
      </w:pPr>
      <w:r>
        <w:rPr>
          <w:rFonts w:ascii="仿宋_GB2312" w:hAnsi="仿宋_GB2312" w:eastAsia="仿宋_GB2312"/>
          <w:b w:val="0"/>
          <w:sz w:val="32"/>
        </w:rPr>
        <w:t>2024年度中共克孜勒苏柯尔克孜自治州委员会统一战线工作部（行政单位和参照公务员法管理事业单位）机关运行经费支出12.10万元，比上年减少1.23万元，下降9.23%，主要原因是：严格控制公用经费，合理节约办公用品，减少不必要开支。</w:t>
      </w:r>
    </w:p>
    <w:p w14:paraId="18EED5A3">
      <w:pPr>
        <w:spacing w:line="640" w:lineRule="exact"/>
        <w:ind w:firstLine="640"/>
        <w:jc w:val="both"/>
        <w:outlineLvl w:val="3"/>
      </w:pPr>
      <w:r>
        <w:rPr>
          <w:rFonts w:ascii="楷体_GB2312" w:hAnsi="楷体_GB2312" w:eastAsia="楷体_GB2312"/>
          <w:b/>
          <w:sz w:val="32"/>
        </w:rPr>
        <w:t>（二）政府采购情况</w:t>
      </w:r>
    </w:p>
    <w:p w14:paraId="2FD080B6">
      <w:pPr>
        <w:spacing w:line="580" w:lineRule="exact"/>
        <w:ind w:firstLine="640"/>
        <w:jc w:val="both"/>
      </w:pPr>
      <w:r>
        <w:rPr>
          <w:rFonts w:ascii="仿宋_GB2312" w:hAnsi="仿宋_GB2312" w:eastAsia="仿宋_GB2312"/>
          <w:b w:val="0"/>
          <w:sz w:val="32"/>
        </w:rPr>
        <w:t>2024年度政府采购支出总额22.21万元，其中：政府采购货物支出7.00万元、政府采购工程支出0.00万元、政府采购服务支出15.21万元。</w:t>
      </w:r>
    </w:p>
    <w:p w14:paraId="0CF64C2D">
      <w:pPr>
        <w:spacing w:line="580" w:lineRule="exact"/>
        <w:ind w:firstLine="640"/>
        <w:jc w:val="both"/>
      </w:pPr>
      <w:r>
        <w:rPr>
          <w:rFonts w:ascii="仿宋_GB2312" w:hAnsi="仿宋_GB2312" w:eastAsia="仿宋_GB2312"/>
          <w:b w:val="0"/>
          <w:sz w:val="32"/>
        </w:rPr>
        <w:t>授予中小企业合同金额21.37万元，占政府采购支出总额的96.22%，其中：授予小微企业合同金额21.33万元，占政府采购支出总额的96.04%。</w:t>
      </w:r>
    </w:p>
    <w:p w14:paraId="21904C78">
      <w:pPr>
        <w:spacing w:line="640" w:lineRule="exact"/>
        <w:ind w:firstLine="640"/>
        <w:jc w:val="both"/>
        <w:outlineLvl w:val="3"/>
      </w:pPr>
      <w:r>
        <w:rPr>
          <w:rFonts w:ascii="楷体_GB2312" w:hAnsi="楷体_GB2312" w:eastAsia="楷体_GB2312"/>
          <w:b/>
          <w:sz w:val="32"/>
        </w:rPr>
        <w:t>（三）国有资产占用情况说明</w:t>
      </w:r>
    </w:p>
    <w:p w14:paraId="52C133E4">
      <w:pPr>
        <w:spacing w:line="580" w:lineRule="exact"/>
        <w:ind w:firstLine="640"/>
        <w:jc w:val="both"/>
      </w:pPr>
      <w:r>
        <w:rPr>
          <w:rFonts w:ascii="仿宋_GB2312" w:hAnsi="仿宋_GB2312" w:eastAsia="仿宋_GB2312"/>
          <w:b w:val="0"/>
          <w:sz w:val="32"/>
        </w:rPr>
        <w:t>截至2024年12月31日，房屋0.00平方米，价值0.00万元。车辆1辆，价值38.50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7D25599">
      <w:pPr>
        <w:spacing w:line="640" w:lineRule="exact"/>
        <w:ind w:firstLine="640"/>
        <w:jc w:val="both"/>
        <w:outlineLvl w:val="2"/>
      </w:pPr>
      <w:r>
        <w:rPr>
          <w:rFonts w:ascii="黑体" w:hAnsi="黑体" w:eastAsia="黑体"/>
          <w:sz w:val="32"/>
        </w:rPr>
        <w:t>十一、预算绩效的情况说明</w:t>
      </w:r>
    </w:p>
    <w:p w14:paraId="43B2836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lang w:val="en-US" w:eastAsia="zh-CN"/>
        </w:rPr>
        <w:t>535.23</w:t>
      </w:r>
      <w:r>
        <w:rPr>
          <w:rFonts w:ascii="仿宋_GB2312" w:hAnsi="仿宋_GB2312" w:eastAsia="仿宋_GB2312"/>
          <w:b w:val="0"/>
          <w:sz w:val="32"/>
        </w:rPr>
        <w:t>万元，实际执行总额</w:t>
      </w:r>
      <w:r>
        <w:rPr>
          <w:rFonts w:hint="eastAsia" w:ascii="仿宋_GB2312" w:hAnsi="仿宋_GB2312" w:eastAsia="仿宋_GB2312"/>
          <w:b w:val="0"/>
          <w:sz w:val="32"/>
          <w:lang w:val="en-US" w:eastAsia="zh-CN"/>
        </w:rPr>
        <w:t>534.64</w:t>
      </w:r>
      <w:r>
        <w:rPr>
          <w:rFonts w:ascii="仿宋_GB2312" w:hAnsi="仿宋_GB2312" w:eastAsia="仿宋_GB2312"/>
          <w:b w:val="0"/>
          <w:sz w:val="32"/>
        </w:rPr>
        <w:t>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267.97</w:t>
      </w:r>
      <w:r>
        <w:rPr>
          <w:rFonts w:ascii="仿宋_GB2312" w:hAnsi="仿宋_GB2312" w:eastAsia="仿宋_GB2312"/>
          <w:b w:val="0"/>
          <w:sz w:val="32"/>
        </w:rPr>
        <w:t>万元，全年执行数</w:t>
      </w:r>
      <w:r>
        <w:rPr>
          <w:rFonts w:hint="eastAsia" w:ascii="仿宋_GB2312" w:hAnsi="仿宋_GB2312" w:eastAsia="仿宋_GB2312"/>
          <w:b w:val="0"/>
          <w:sz w:val="32"/>
        </w:rPr>
        <w:t>184.41</w:t>
      </w:r>
      <w:r>
        <w:rPr>
          <w:rFonts w:ascii="仿宋_GB2312" w:hAnsi="仿宋_GB2312" w:eastAsia="仿宋_GB2312"/>
          <w:b w:val="0"/>
          <w:sz w:val="32"/>
        </w:rPr>
        <w:t>万元。预算绩效管理取得的成效：一是开展绩效评价，提高了绩效工作管理水平，科学制定目标，促进了绩效目标顺利实现。二是提高了项目资金使用的绩效意识，以便项目实施完成，进行跟踪问效评价，对下一年此类项目预算编制提供参考。发现的问题及原因：一是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强化运行监管，突出结果导向。预算项目和预算资金一经批复，相关单位应当迅速组织执行并加强管理，财政及有关监督部门应当动态掌握情况并监督实施。一是确定监控重点。按照“有申报就有监控、有执行就要跟进”的要求，重点对社会关注度高的民生工程、影响地方经济社会发展的基础设施建设工程的推进运行情况进行全过程监督。二是明确监管内容。要把项目的绩效目标实现程度、资金使用、项目实施、项目管理等情况全部纳入监督范围。三是强化整改措施。绩效运行中发现的问题，要即知即改；绩效评价时指出的问题，要问责问效；管理机制上存在的问题，要标本兼治。具体附项目支出绩效自评表和评价报告。</w:t>
      </w:r>
    </w:p>
    <w:p w14:paraId="202C636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FE0A8E4">
        <w:tblPrEx>
          <w:tblCellMar>
            <w:top w:w="0" w:type="dxa"/>
            <w:left w:w="108" w:type="dxa"/>
            <w:bottom w:w="0" w:type="dxa"/>
            <w:right w:w="108" w:type="dxa"/>
          </w:tblCellMar>
        </w:tblPrEx>
        <w:tc>
          <w:tcPr>
            <w:tcW w:w="8848" w:type="dxa"/>
            <w:gridSpan w:val="14"/>
            <w:vAlign w:val="center"/>
          </w:tcPr>
          <w:p w14:paraId="7E5635F9">
            <w:pPr>
              <w:jc w:val="center"/>
            </w:pPr>
            <w:r>
              <w:rPr>
                <w:rFonts w:ascii="宋体" w:hAnsi="宋体" w:eastAsia="宋体"/>
                <w:sz w:val="24"/>
              </w:rPr>
              <w:t>项目支出绩效自评表</w:t>
            </w:r>
          </w:p>
        </w:tc>
      </w:tr>
      <w:tr w14:paraId="48710914">
        <w:tblPrEx>
          <w:tblCellMar>
            <w:top w:w="0" w:type="dxa"/>
            <w:left w:w="108" w:type="dxa"/>
            <w:bottom w:w="0" w:type="dxa"/>
            <w:right w:w="108" w:type="dxa"/>
          </w:tblCellMar>
        </w:tblPrEx>
        <w:tc>
          <w:tcPr>
            <w:tcW w:w="8848" w:type="dxa"/>
            <w:gridSpan w:val="14"/>
            <w:vAlign w:val="center"/>
          </w:tcPr>
          <w:p w14:paraId="30663C0B">
            <w:pPr>
              <w:jc w:val="center"/>
            </w:pPr>
            <w:r>
              <w:rPr>
                <w:rFonts w:ascii="宋体" w:hAnsi="宋体" w:eastAsia="宋体"/>
                <w:sz w:val="24"/>
              </w:rPr>
              <w:t>(2024年度)</w:t>
            </w:r>
          </w:p>
        </w:tc>
      </w:tr>
      <w:tr w14:paraId="14C50A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48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3BCF97">
            <w:pPr>
              <w:jc w:val="center"/>
            </w:pPr>
            <w:r>
              <w:rPr>
                <w:rFonts w:ascii="宋体" w:hAnsi="宋体" w:eastAsia="宋体"/>
                <w:sz w:val="16"/>
              </w:rPr>
              <w:t>2024年单位其他资金收入</w:t>
            </w:r>
          </w:p>
        </w:tc>
      </w:tr>
      <w:tr w14:paraId="77D72C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65A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72107">
            <w:pPr>
              <w:jc w:val="center"/>
            </w:pPr>
            <w:r>
              <w:rPr>
                <w:rFonts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4B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BB9004">
            <w:pPr>
              <w:jc w:val="center"/>
            </w:pPr>
            <w:r>
              <w:rPr>
                <w:rFonts w:ascii="宋体" w:hAnsi="宋体" w:eastAsia="宋体"/>
                <w:sz w:val="16"/>
              </w:rPr>
              <w:t>中共克孜勒苏柯尔克孜自治州委员会统一战线工作部</w:t>
            </w:r>
          </w:p>
        </w:tc>
      </w:tr>
      <w:tr w14:paraId="57009D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56C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C03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55F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766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25A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3D6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6EE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18A8">
            <w:pPr>
              <w:jc w:val="center"/>
            </w:pPr>
            <w:r>
              <w:rPr>
                <w:rFonts w:ascii="宋体" w:hAnsi="宋体" w:eastAsia="宋体"/>
                <w:sz w:val="16"/>
              </w:rPr>
              <w:t>得分</w:t>
            </w:r>
          </w:p>
        </w:tc>
      </w:tr>
      <w:tr w14:paraId="23043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7DC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EFA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B6B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58684">
            <w:pPr>
              <w:jc w:val="center"/>
            </w:pPr>
            <w:r>
              <w:rPr>
                <w:rFonts w:ascii="宋体" w:hAnsi="宋体" w:eastAsia="宋体"/>
                <w:sz w:val="16"/>
              </w:rPr>
              <w:t>31.01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B3438">
            <w:pPr>
              <w:jc w:val="center"/>
            </w:pPr>
            <w:r>
              <w:rPr>
                <w:rFonts w:ascii="宋体" w:hAnsi="宋体" w:eastAsia="宋体"/>
                <w:sz w:val="16"/>
              </w:rPr>
              <w:t>31.01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76F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E3C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9D7B">
            <w:pPr>
              <w:jc w:val="center"/>
            </w:pPr>
            <w:r>
              <w:rPr>
                <w:rFonts w:ascii="宋体" w:hAnsi="宋体" w:eastAsia="宋体"/>
                <w:sz w:val="16"/>
              </w:rPr>
              <w:t>10.00分</w:t>
            </w:r>
          </w:p>
        </w:tc>
      </w:tr>
      <w:tr w14:paraId="5539D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09F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43B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C48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828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C93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21F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B9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F266">
            <w:pPr>
              <w:jc w:val="center"/>
            </w:pPr>
            <w:r>
              <w:rPr>
                <w:rFonts w:ascii="宋体" w:hAnsi="宋体" w:eastAsia="宋体"/>
                <w:sz w:val="16"/>
              </w:rPr>
              <w:t>—</w:t>
            </w:r>
          </w:p>
        </w:tc>
      </w:tr>
      <w:tr w14:paraId="127E5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E7E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7B2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1BF3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847FF">
            <w:pPr>
              <w:jc w:val="center"/>
            </w:pPr>
            <w:r>
              <w:rPr>
                <w:rFonts w:ascii="宋体" w:hAnsi="宋体" w:eastAsia="宋体"/>
                <w:sz w:val="16"/>
              </w:rPr>
              <w:t>31.01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9A7D9">
            <w:pPr>
              <w:jc w:val="center"/>
            </w:pPr>
            <w:r>
              <w:rPr>
                <w:rFonts w:ascii="宋体" w:hAnsi="宋体" w:eastAsia="宋体"/>
                <w:sz w:val="16"/>
              </w:rPr>
              <w:t>31.01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90F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FB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000AE">
            <w:pPr>
              <w:jc w:val="center"/>
            </w:pPr>
            <w:r>
              <w:rPr>
                <w:rFonts w:ascii="宋体" w:hAnsi="宋体" w:eastAsia="宋体"/>
                <w:sz w:val="16"/>
              </w:rPr>
              <w:t>—</w:t>
            </w:r>
          </w:p>
        </w:tc>
      </w:tr>
      <w:tr w14:paraId="038DCE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132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890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9B4AC9">
            <w:pPr>
              <w:jc w:val="center"/>
            </w:pPr>
            <w:r>
              <w:rPr>
                <w:rFonts w:ascii="宋体" w:hAnsi="宋体" w:eastAsia="宋体"/>
                <w:sz w:val="16"/>
              </w:rPr>
              <w:t>实际完成情况</w:t>
            </w:r>
          </w:p>
        </w:tc>
      </w:tr>
      <w:tr w14:paraId="1EF48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448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4C91D">
            <w:pPr>
              <w:jc w:val="both"/>
            </w:pPr>
            <w:r>
              <w:rPr>
                <w:rFonts w:ascii="宋体" w:hAnsi="宋体" w:eastAsia="宋体"/>
                <w:sz w:val="16"/>
              </w:rPr>
              <w:t>该项目总投资50万元，其中：财政资金0万元，其他资金50万元；完成保障60人前往江苏交往交流交融，保障开展统战工作调研及慰问的4次，保障统战工作的办公运转。加强民族团结、促进民族交往交流交融，坚持和加强党对统一战线工作的集中统一领导，增进共识、加强团结，巩固壮大统一战线，铸牢中华民族共同体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FE2FE6">
            <w:pPr>
              <w:jc w:val="both"/>
            </w:pPr>
            <w:r>
              <w:rPr>
                <w:rFonts w:ascii="宋体" w:hAnsi="宋体" w:eastAsia="宋体"/>
                <w:sz w:val="16"/>
              </w:rPr>
              <w:br w:type="textWrapping"/>
            </w:r>
            <w:r>
              <w:rPr>
                <w:rFonts w:ascii="宋体" w:hAnsi="宋体" w:eastAsia="宋体"/>
                <w:sz w:val="16"/>
              </w:rPr>
              <w:t>截至2024年12月31日，项目支出31.01万元,已完成：保障交往交流交融人员数量60人，保障开展统战工作调研及慰问的次数2次，通过该项目的实施，加强民族团结、促进民族交往交流交融，坚持和加强党对统一战线工作的集中统一领导，增进共识、加强团结，巩固壮大统一战线，铸牢中华民族共同体意识。</w:t>
            </w:r>
          </w:p>
        </w:tc>
      </w:tr>
      <w:tr w14:paraId="1F58DC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F51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55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CB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66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D6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1A3D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D0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B8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83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A2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5F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B9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CDEBF">
            <w:pPr>
              <w:jc w:val="center"/>
            </w:pPr>
            <w:r>
              <w:rPr>
                <w:rFonts w:ascii="宋体" w:hAnsi="宋体" w:eastAsia="宋体"/>
                <w:sz w:val="16"/>
              </w:rPr>
              <w:t>偏差原因分析及改进措施</w:t>
            </w:r>
          </w:p>
        </w:tc>
      </w:tr>
      <w:tr w14:paraId="5BE9D4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BE53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5D5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6D8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C692">
            <w:pPr>
              <w:jc w:val="center"/>
            </w:pPr>
            <w:r>
              <w:rPr>
                <w:rFonts w:ascii="宋体" w:hAnsi="宋体" w:eastAsia="宋体"/>
                <w:sz w:val="16"/>
              </w:rPr>
              <w:t>保障交往交流交融人员数量(人)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D910">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5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D5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5A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FA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6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4854">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C8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2B776">
            <w:pPr>
              <w:jc w:val="center"/>
            </w:pPr>
          </w:p>
        </w:tc>
      </w:tr>
      <w:tr w14:paraId="548DE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E3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66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2B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03C6">
            <w:pPr>
              <w:jc w:val="center"/>
            </w:pPr>
            <w:r>
              <w:rPr>
                <w:rFonts w:ascii="宋体" w:hAnsi="宋体" w:eastAsia="宋体"/>
                <w:sz w:val="16"/>
              </w:rPr>
              <w:t>保障开展统战工作调研及慰问的次数（次）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2F8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D9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27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E7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7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6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38B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DF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B6CDF">
            <w:pPr>
              <w:jc w:val="center"/>
            </w:pPr>
          </w:p>
        </w:tc>
      </w:tr>
      <w:tr w14:paraId="7A46C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DD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D2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74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1C6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B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3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65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B7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D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3B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5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2A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129B">
            <w:pPr>
              <w:jc w:val="center"/>
            </w:pPr>
          </w:p>
        </w:tc>
      </w:tr>
      <w:tr w14:paraId="11ABB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6B2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3D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F0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5465">
            <w:pPr>
              <w:jc w:val="center"/>
            </w:pPr>
            <w:r>
              <w:rPr>
                <w:rFonts w:ascii="宋体" w:hAnsi="宋体" w:eastAsia="宋体"/>
                <w:sz w:val="16"/>
              </w:rPr>
              <w:t>调研工作开展及时率（%）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9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7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6C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76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F8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5B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4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D2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29BD6">
            <w:pPr>
              <w:jc w:val="center"/>
            </w:pPr>
          </w:p>
        </w:tc>
      </w:tr>
      <w:tr w14:paraId="7443A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BC7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59F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756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DCF3">
            <w:pPr>
              <w:jc w:val="center"/>
            </w:pPr>
            <w:r>
              <w:rPr>
                <w:rFonts w:ascii="宋体" w:hAnsi="宋体" w:eastAsia="宋体"/>
                <w:sz w:val="16"/>
              </w:rPr>
              <w:t>交往交流交融所需的人员经费（万元）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3C31">
            <w:pPr>
              <w:jc w:val="center"/>
            </w:pPr>
            <w:r>
              <w:rPr>
                <w:rFonts w:ascii="宋体" w:hAnsi="宋体" w:eastAsia="宋体"/>
                <w:sz w:val="16"/>
              </w:rPr>
              <w:t>&lt;=28.74万元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2C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2F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38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A9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CD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FB17">
            <w:pPr>
              <w:jc w:val="center"/>
            </w:pPr>
            <w:r>
              <w:rPr>
                <w:rFonts w:ascii="宋体" w:hAnsi="宋体" w:eastAsia="宋体"/>
                <w:sz w:val="16"/>
              </w:rPr>
              <w:t>=28.74万元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85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E602F">
            <w:pPr>
              <w:jc w:val="center"/>
            </w:pPr>
          </w:p>
        </w:tc>
      </w:tr>
      <w:tr w14:paraId="4C855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75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A2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11E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4F71">
            <w:pPr>
              <w:jc w:val="center"/>
            </w:pPr>
            <w:r>
              <w:rPr>
                <w:rFonts w:ascii="宋体" w:hAnsi="宋体" w:eastAsia="宋体"/>
                <w:sz w:val="16"/>
              </w:rPr>
              <w:t>保障统战工作所需的费用（万元）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8230">
            <w:pPr>
              <w:jc w:val="center"/>
            </w:pPr>
            <w:r>
              <w:rPr>
                <w:rFonts w:ascii="宋体" w:hAnsi="宋体" w:eastAsia="宋体"/>
                <w:sz w:val="16"/>
              </w:rPr>
              <w:t>&lt;=2.27万元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A6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8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A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1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94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7018">
            <w:pPr>
              <w:jc w:val="center"/>
            </w:pPr>
            <w:r>
              <w:rPr>
                <w:rFonts w:ascii="宋体" w:hAnsi="宋体" w:eastAsia="宋体"/>
                <w:sz w:val="16"/>
              </w:rPr>
              <w:t>=2.27万元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94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B3C49">
            <w:pPr>
              <w:jc w:val="center"/>
            </w:pPr>
          </w:p>
        </w:tc>
      </w:tr>
      <w:tr w14:paraId="48CB52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C22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94B1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518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865A">
            <w:pPr>
              <w:jc w:val="center"/>
            </w:pPr>
            <w:r>
              <w:rPr>
                <w:rFonts w:ascii="宋体" w:hAnsi="宋体" w:eastAsia="宋体"/>
                <w:sz w:val="16"/>
              </w:rPr>
              <w:t>促进民族交往交流交融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68B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CCC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15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8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DD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B2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238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EA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F211E">
            <w:pPr>
              <w:jc w:val="center"/>
            </w:pPr>
          </w:p>
        </w:tc>
      </w:tr>
      <w:tr w14:paraId="76A26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B2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A42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31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335B">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E7A3">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598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EF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4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6D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EA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96E13">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21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A777D">
            <w:pPr>
              <w:jc w:val="center"/>
            </w:pPr>
          </w:p>
        </w:tc>
      </w:tr>
      <w:tr w14:paraId="00F7D0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59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40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F8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B8A8">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BF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D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6B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11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FC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95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10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A1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26D9B">
            <w:pPr>
              <w:jc w:val="center"/>
            </w:pPr>
          </w:p>
        </w:tc>
      </w:tr>
      <w:tr w14:paraId="50ECE7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964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F0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C5D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651376">
            <w:pPr>
              <w:jc w:val="center"/>
            </w:pPr>
            <w:r>
              <w:rPr>
                <w:rFonts w:ascii="宋体" w:hAnsi="宋体" w:eastAsia="宋体"/>
                <w:sz w:val="16"/>
              </w:rPr>
              <w:t>100分</w:t>
            </w:r>
          </w:p>
        </w:tc>
      </w:tr>
    </w:tbl>
    <w:p w14:paraId="600DBF2E">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5C29CE7B">
        <w:tblPrEx>
          <w:tblCellMar>
            <w:top w:w="0" w:type="dxa"/>
            <w:left w:w="108" w:type="dxa"/>
            <w:bottom w:w="0" w:type="dxa"/>
            <w:right w:w="108" w:type="dxa"/>
          </w:tblCellMar>
        </w:tblPrEx>
        <w:tc>
          <w:tcPr>
            <w:tcW w:w="9060" w:type="dxa"/>
            <w:gridSpan w:val="14"/>
            <w:vAlign w:val="center"/>
          </w:tcPr>
          <w:p w14:paraId="3F6C5E01">
            <w:pPr>
              <w:jc w:val="center"/>
            </w:pPr>
            <w:r>
              <w:rPr>
                <w:rFonts w:ascii="宋体" w:hAnsi="宋体" w:eastAsia="宋体"/>
                <w:sz w:val="24"/>
              </w:rPr>
              <w:t>项目支出绩效自评表</w:t>
            </w:r>
          </w:p>
        </w:tc>
      </w:tr>
      <w:tr w14:paraId="093F07A7">
        <w:tblPrEx>
          <w:tblCellMar>
            <w:top w:w="0" w:type="dxa"/>
            <w:left w:w="108" w:type="dxa"/>
            <w:bottom w:w="0" w:type="dxa"/>
            <w:right w:w="108" w:type="dxa"/>
          </w:tblCellMar>
        </w:tblPrEx>
        <w:tc>
          <w:tcPr>
            <w:tcW w:w="9060" w:type="dxa"/>
            <w:gridSpan w:val="14"/>
            <w:vAlign w:val="center"/>
          </w:tcPr>
          <w:p w14:paraId="6FD69637">
            <w:pPr>
              <w:jc w:val="center"/>
            </w:pPr>
            <w:r>
              <w:rPr>
                <w:rFonts w:ascii="宋体" w:hAnsi="宋体" w:eastAsia="宋体"/>
                <w:sz w:val="24"/>
              </w:rPr>
              <w:t>(2024年度)</w:t>
            </w:r>
          </w:p>
        </w:tc>
      </w:tr>
      <w:tr w14:paraId="5FE4CD3A">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3FB5215">
            <w:pPr>
              <w:jc w:val="center"/>
            </w:pPr>
            <w:r>
              <w:rPr>
                <w:rFonts w:ascii="宋体" w:hAnsi="宋体" w:eastAsia="宋体"/>
                <w:sz w:val="16"/>
              </w:rPr>
              <w:t>项目名称</w:t>
            </w:r>
          </w:p>
        </w:tc>
        <w:tc>
          <w:tcPr>
            <w:tcW w:w="843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E64485">
            <w:pPr>
              <w:jc w:val="center"/>
            </w:pPr>
            <w:r>
              <w:rPr>
                <w:rFonts w:ascii="宋体" w:hAnsi="宋体" w:eastAsia="宋体"/>
                <w:sz w:val="16"/>
              </w:rPr>
              <w:t>民族团结一家亲活动经费项目</w:t>
            </w:r>
          </w:p>
        </w:tc>
      </w:tr>
      <w:tr w14:paraId="39015258">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5F1C045">
            <w:pPr>
              <w:jc w:val="center"/>
            </w:pPr>
            <w:r>
              <w:rPr>
                <w:rFonts w:ascii="宋体" w:hAnsi="宋体" w:eastAsia="宋体"/>
                <w:sz w:val="16"/>
              </w:rPr>
              <w:t>主管部门</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9A7F1">
            <w:pPr>
              <w:jc w:val="center"/>
            </w:pPr>
            <w:r>
              <w:rPr>
                <w:rFonts w:ascii="宋体" w:hAnsi="宋体" w:eastAsia="宋体"/>
                <w:sz w:val="16"/>
              </w:rPr>
              <w:t>中共克孜勒苏柯尔克孜自治州委员会统一战线工作部</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3A63B9">
            <w:pPr>
              <w:jc w:val="center"/>
            </w:pPr>
            <w:r>
              <w:rPr>
                <w:rFonts w:ascii="宋体" w:hAnsi="宋体" w:eastAsia="宋体"/>
                <w:sz w:val="16"/>
              </w:rPr>
              <w:t>实施单位</w:t>
            </w:r>
          </w:p>
        </w:tc>
        <w:tc>
          <w:tcPr>
            <w:tcW w:w="320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2AE56A">
            <w:pPr>
              <w:jc w:val="center"/>
            </w:pPr>
            <w:r>
              <w:rPr>
                <w:rFonts w:ascii="宋体" w:hAnsi="宋体" w:eastAsia="宋体"/>
                <w:sz w:val="16"/>
              </w:rPr>
              <w:t>中共克孜勒苏柯尔克孜自治州委员会统一战线工作部</w:t>
            </w:r>
          </w:p>
        </w:tc>
      </w:tr>
      <w:tr w14:paraId="3FA027B1">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82A67">
            <w:pPr>
              <w:jc w:val="center"/>
            </w:pPr>
            <w:r>
              <w:rPr>
                <w:rFonts w:ascii="宋体" w:hAnsi="宋体" w:eastAsia="宋体"/>
                <w:sz w:val="16"/>
              </w:rPr>
              <w:t>项目资金 （万元）</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D5898">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8EAA1">
            <w:pPr>
              <w:jc w:val="center"/>
            </w:pPr>
            <w:r>
              <w:rPr>
                <w:rFonts w:ascii="宋体" w:hAnsi="宋体" w:eastAsia="宋体"/>
                <w:sz w:val="16"/>
              </w:rPr>
              <w:t>年初预算数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CA01">
            <w:pPr>
              <w:jc w:val="center"/>
            </w:pPr>
            <w:r>
              <w:rPr>
                <w:rFonts w:ascii="宋体" w:hAnsi="宋体" w:eastAsia="宋体"/>
                <w:sz w:val="16"/>
              </w:rPr>
              <w:t>全年预算数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DC5CB">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AF71A">
            <w:pPr>
              <w:jc w:val="center"/>
            </w:pPr>
            <w:r>
              <w:rPr>
                <w:rFonts w:ascii="宋体" w:hAnsi="宋体" w:eastAsia="宋体"/>
                <w:sz w:val="16"/>
              </w:rPr>
              <w:t>分值</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6A609">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89D6CCC">
            <w:pPr>
              <w:jc w:val="center"/>
            </w:pPr>
            <w:r>
              <w:rPr>
                <w:rFonts w:ascii="宋体" w:hAnsi="宋体" w:eastAsia="宋体"/>
                <w:sz w:val="16"/>
              </w:rPr>
              <w:t>得分</w:t>
            </w:r>
          </w:p>
        </w:tc>
      </w:tr>
      <w:tr w14:paraId="5D072181">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E9D1653"/>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475CD">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A3826">
            <w:pPr>
              <w:jc w:val="center"/>
            </w:pPr>
            <w:r>
              <w:rPr>
                <w:rFonts w:ascii="宋体" w:hAnsi="宋体" w:eastAsia="宋体"/>
                <w:sz w:val="16"/>
              </w:rPr>
              <w:t>30.00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77F2B">
            <w:pPr>
              <w:jc w:val="center"/>
            </w:pPr>
            <w:r>
              <w:rPr>
                <w:rFonts w:ascii="宋体" w:hAnsi="宋体" w:eastAsia="宋体"/>
                <w:sz w:val="16"/>
              </w:rPr>
              <w:t>30.00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4F6E4">
            <w:pPr>
              <w:jc w:val="center"/>
            </w:pPr>
            <w:r>
              <w:rPr>
                <w:rFonts w:ascii="宋体" w:hAnsi="宋体" w:eastAsia="宋体"/>
                <w:sz w:val="16"/>
              </w:rPr>
              <w:t>28.00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E1B0C">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7D59D">
            <w:pPr>
              <w:jc w:val="center"/>
            </w:pPr>
            <w:r>
              <w:rPr>
                <w:rFonts w:ascii="宋体" w:hAnsi="宋体" w:eastAsia="宋体"/>
                <w:sz w:val="16"/>
              </w:rPr>
              <w:t>93.3%</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70AD97">
            <w:pPr>
              <w:jc w:val="center"/>
            </w:pPr>
            <w:r>
              <w:rPr>
                <w:rFonts w:ascii="宋体" w:hAnsi="宋体" w:eastAsia="宋体"/>
                <w:sz w:val="16"/>
              </w:rPr>
              <w:t>8.33分</w:t>
            </w:r>
          </w:p>
        </w:tc>
      </w:tr>
      <w:tr w14:paraId="5F6D4106">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C1CD295"/>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C1748">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E816">
            <w:pPr>
              <w:jc w:val="center"/>
            </w:pPr>
            <w:r>
              <w:rPr>
                <w:rFonts w:ascii="宋体" w:hAnsi="宋体" w:eastAsia="宋体"/>
                <w:sz w:val="16"/>
              </w:rPr>
              <w:t>30.00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DC959">
            <w:pPr>
              <w:jc w:val="center"/>
            </w:pPr>
            <w:r>
              <w:rPr>
                <w:rFonts w:ascii="宋体" w:hAnsi="宋体" w:eastAsia="宋体"/>
                <w:sz w:val="16"/>
              </w:rPr>
              <w:t>30.00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0AC12">
            <w:pPr>
              <w:jc w:val="center"/>
            </w:pPr>
            <w:r>
              <w:rPr>
                <w:rFonts w:ascii="宋体" w:hAnsi="宋体" w:eastAsia="宋体"/>
                <w:sz w:val="16"/>
              </w:rPr>
              <w:t>28.00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FEE15">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7332D">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0F1504A">
            <w:pPr>
              <w:jc w:val="center"/>
            </w:pPr>
            <w:r>
              <w:rPr>
                <w:rFonts w:ascii="宋体" w:hAnsi="宋体" w:eastAsia="宋体"/>
                <w:sz w:val="16"/>
              </w:rPr>
              <w:t>—</w:t>
            </w:r>
          </w:p>
        </w:tc>
      </w:tr>
      <w:tr w14:paraId="33A9E937">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6905113"/>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C055D">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CC54">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8885B">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384E5">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48155">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B49A4">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634723E">
            <w:pPr>
              <w:jc w:val="center"/>
            </w:pPr>
            <w:r>
              <w:rPr>
                <w:rFonts w:ascii="宋体" w:hAnsi="宋体" w:eastAsia="宋体"/>
                <w:sz w:val="16"/>
              </w:rPr>
              <w:t>—</w:t>
            </w:r>
          </w:p>
        </w:tc>
      </w:tr>
      <w:tr w14:paraId="4B4B247B">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CAA25">
            <w:pPr>
              <w:jc w:val="center"/>
            </w:pPr>
            <w:r>
              <w:rPr>
                <w:rFonts w:ascii="宋体" w:hAnsi="宋体" w:eastAsia="宋体"/>
                <w:sz w:val="16"/>
              </w:rPr>
              <w:t>三、目标完成情况</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17D6AE">
            <w:pPr>
              <w:jc w:val="center"/>
            </w:pPr>
            <w:r>
              <w:rPr>
                <w:rFonts w:ascii="宋体" w:hAnsi="宋体" w:eastAsia="宋体"/>
                <w:sz w:val="16"/>
              </w:rPr>
              <w:t>预期目标</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9B950F">
            <w:pPr>
              <w:jc w:val="center"/>
            </w:pPr>
            <w:r>
              <w:rPr>
                <w:rFonts w:ascii="宋体" w:hAnsi="宋体" w:eastAsia="宋体"/>
                <w:sz w:val="16"/>
              </w:rPr>
              <w:t>实际完成情况</w:t>
            </w:r>
          </w:p>
        </w:tc>
      </w:tr>
      <w:tr w14:paraId="660D6D94">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0EAAC15A"/>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159B0">
            <w:pPr>
              <w:jc w:val="both"/>
            </w:pPr>
            <w:r>
              <w:rPr>
                <w:rFonts w:ascii="宋体" w:hAnsi="宋体" w:eastAsia="宋体"/>
                <w:sz w:val="16"/>
              </w:rPr>
              <w:t>该项目总投资30万元，其中：财政资金30万元，其他资金0万元;该项目主要用于慰问“民族团结一家亲”先进个人、保障办公室运转支出、开展“民族团结一家亲”和民族团结联谊活动经费等支出。通过该项目的实施，持续推进“民族团结一家亲”和民族团结联谊活动制度化、常态化、长效化。</w:t>
            </w:r>
          </w:p>
        </w:tc>
        <w:tc>
          <w:tcPr>
            <w:tcW w:w="382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9F7A38">
            <w:pPr>
              <w:jc w:val="both"/>
            </w:pPr>
            <w:r>
              <w:rPr>
                <w:rFonts w:ascii="宋体" w:hAnsi="宋体" w:eastAsia="宋体"/>
                <w:sz w:val="16"/>
              </w:rPr>
              <w:t>截至2024年12月31日，项目支出28万元,已完成：保障民族团结一家亲临时机构1个，开展慰问</w:t>
            </w:r>
            <w:r>
              <w:rPr>
                <w:rFonts w:hint="eastAsia" w:ascii="宋体" w:hAnsi="宋体"/>
                <w:sz w:val="16"/>
                <w:lang w:eastAsia="zh-CN"/>
              </w:rPr>
              <w:t>“</w:t>
            </w:r>
            <w:r>
              <w:rPr>
                <w:rFonts w:ascii="宋体" w:hAnsi="宋体" w:eastAsia="宋体"/>
                <w:sz w:val="16"/>
              </w:rPr>
              <w:t>民族团结一家亲</w:t>
            </w:r>
            <w:r>
              <w:rPr>
                <w:rFonts w:hint="default" w:ascii="宋体" w:hAnsi="宋体"/>
                <w:sz w:val="16"/>
                <w:lang w:val="en-US" w:eastAsia="zh-CN"/>
              </w:rPr>
              <w:t>”</w:t>
            </w:r>
            <w:r>
              <w:rPr>
                <w:rFonts w:ascii="宋体" w:hAnsi="宋体" w:eastAsia="宋体"/>
                <w:sz w:val="16"/>
              </w:rPr>
              <w:t>先进个人209户，购买办公用品及耗材2批次，通过该项目的实施，持续推进“民族团结一家亲”和民族团结联谊活动制度化、常态化、长效化。</w:t>
            </w:r>
          </w:p>
        </w:tc>
      </w:tr>
      <w:tr w14:paraId="7FF8EB02">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tcPr>
          <w:p w14:paraId="1F1ED4B7"/>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04196C">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14526A">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7A22D3">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A243E6">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C1157C">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482013">
            <w:pPr>
              <w:jc w:val="center"/>
            </w:pPr>
            <w:r>
              <w:rPr>
                <w:rFonts w:ascii="宋体" w:hAnsi="宋体" w:eastAsia="宋体"/>
                <w:sz w:val="16"/>
              </w:rPr>
              <w:t>上年完成情况</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58F0FC3">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C757887">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31F1A42">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129594">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1E2BE95">
            <w:pPr>
              <w:jc w:val="center"/>
            </w:pPr>
            <w:r>
              <w:rPr>
                <w:rFonts w:ascii="宋体" w:hAnsi="宋体" w:eastAsia="宋体"/>
                <w:sz w:val="16"/>
              </w:rPr>
              <w:t>得分</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FCED6">
            <w:pPr>
              <w:jc w:val="center"/>
            </w:pPr>
            <w:r>
              <w:rPr>
                <w:rFonts w:ascii="宋体" w:hAnsi="宋体" w:eastAsia="宋体"/>
                <w:sz w:val="16"/>
              </w:rPr>
              <w:t>偏差原因分析及改进措施</w:t>
            </w:r>
          </w:p>
        </w:tc>
      </w:tr>
      <w:tr w14:paraId="1CB56FF8">
        <w:tblPrEx>
          <w:tblCellMar>
            <w:top w:w="0" w:type="dxa"/>
            <w:left w:w="108" w:type="dxa"/>
            <w:bottom w:w="0" w:type="dxa"/>
            <w:right w:w="108" w:type="dxa"/>
          </w:tblCellMar>
        </w:tblPrEx>
        <w:tc>
          <w:tcPr>
            <w:tcW w:w="63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26A42">
            <w:pPr>
              <w:jc w:val="center"/>
            </w:pPr>
            <w:r>
              <w:rPr>
                <w:rFonts w:ascii="宋体" w:hAnsi="宋体" w:eastAsia="宋体"/>
                <w:sz w:val="16"/>
              </w:rPr>
              <w:t>年度绩效指标完成情况</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B4712">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8A702">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B75333">
            <w:pPr>
              <w:jc w:val="center"/>
            </w:pPr>
            <w:r>
              <w:rPr>
                <w:rFonts w:ascii="宋体" w:hAnsi="宋体" w:eastAsia="宋体"/>
                <w:sz w:val="16"/>
              </w:rPr>
              <w:t>保障民族团结一家亲临时机构（个）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314AD3">
            <w:pPr>
              <w:jc w:val="center"/>
            </w:pPr>
            <w:r>
              <w:rPr>
                <w:rFonts w:ascii="宋体" w:hAnsi="宋体" w:eastAsia="宋体"/>
                <w:sz w:val="16"/>
              </w:rPr>
              <w:t>=1个</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E8AA2B">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B04D6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6CB1D2">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207F35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F5FFAD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336177">
            <w:pPr>
              <w:jc w:val="center"/>
            </w:pPr>
            <w:r>
              <w:rPr>
                <w:rFonts w:ascii="宋体" w:hAnsi="宋体" w:eastAsia="宋体"/>
                <w:sz w:val="16"/>
              </w:rPr>
              <w:t>=1个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92F9CE">
            <w:pPr>
              <w:jc w:val="center"/>
            </w:pPr>
            <w:r>
              <w:rPr>
                <w:rFonts w:ascii="宋体" w:hAnsi="宋体" w:eastAsia="宋体"/>
                <w:sz w:val="16"/>
              </w:rPr>
              <w:t>6</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7A2BC">
            <w:pPr>
              <w:jc w:val="center"/>
            </w:pPr>
          </w:p>
        </w:tc>
      </w:tr>
      <w:tr w14:paraId="0017857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441819C"/>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1FAA12D"/>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A543DC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113664">
            <w:pPr>
              <w:jc w:val="center"/>
            </w:pPr>
            <w:r>
              <w:rPr>
                <w:rFonts w:ascii="宋体" w:hAnsi="宋体" w:eastAsia="宋体"/>
                <w:sz w:val="16"/>
              </w:rPr>
              <w:t>开展慰问“民族团结一家亲”先进个人（户）</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4797A6">
            <w:pPr>
              <w:jc w:val="center"/>
            </w:pPr>
            <w:r>
              <w:rPr>
                <w:rFonts w:ascii="宋体" w:hAnsi="宋体" w:eastAsia="宋体"/>
                <w:sz w:val="16"/>
              </w:rPr>
              <w:t>&gt;=209户</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D63600D">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01DA0D">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012DB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EF8C12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292866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6490DA">
            <w:pPr>
              <w:jc w:val="center"/>
            </w:pPr>
            <w:r>
              <w:rPr>
                <w:rFonts w:ascii="宋体" w:hAnsi="宋体" w:eastAsia="宋体"/>
                <w:sz w:val="16"/>
              </w:rPr>
              <w:t>=209户</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BED401">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0DD41">
            <w:pPr>
              <w:jc w:val="center"/>
            </w:pPr>
          </w:p>
        </w:tc>
      </w:tr>
      <w:tr w14:paraId="06C2AEC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F7AB993"/>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2CD8630"/>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6826CD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4524A5">
            <w:pPr>
              <w:jc w:val="center"/>
            </w:pPr>
            <w:r>
              <w:rPr>
                <w:rFonts w:ascii="宋体" w:hAnsi="宋体" w:eastAsia="宋体"/>
                <w:sz w:val="16"/>
              </w:rPr>
              <w:t>购买办公用品及耗材批次（批次）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0FF3A3">
            <w:pPr>
              <w:jc w:val="center"/>
            </w:pPr>
            <w:r>
              <w:rPr>
                <w:rFonts w:ascii="宋体" w:hAnsi="宋体" w:eastAsia="宋体"/>
                <w:sz w:val="16"/>
              </w:rPr>
              <w:t>&gt;=2批次</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356732">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67CEF89">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22ABD5">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D42D4F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D8245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1A753B">
            <w:pPr>
              <w:jc w:val="center"/>
            </w:pPr>
            <w:r>
              <w:rPr>
                <w:rFonts w:ascii="宋体" w:hAnsi="宋体" w:eastAsia="宋体"/>
                <w:sz w:val="16"/>
              </w:rPr>
              <w:t>=2批次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02B88F">
            <w:pPr>
              <w:jc w:val="center"/>
            </w:pPr>
            <w:r>
              <w:rPr>
                <w:rFonts w:ascii="宋体" w:hAnsi="宋体" w:eastAsia="宋体"/>
                <w:sz w:val="16"/>
              </w:rPr>
              <w:t>6</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37407">
            <w:pPr>
              <w:jc w:val="center"/>
            </w:pPr>
          </w:p>
        </w:tc>
      </w:tr>
      <w:tr w14:paraId="3516AA5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68B7546C"/>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D260F34"/>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63A86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E4A0EE">
            <w:pPr>
              <w:jc w:val="center"/>
            </w:pPr>
            <w:r>
              <w:rPr>
                <w:rFonts w:ascii="宋体" w:hAnsi="宋体" w:eastAsia="宋体"/>
                <w:sz w:val="16"/>
              </w:rPr>
              <w:t>资金使用合规率（%）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4BC33D">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166444">
            <w:pPr>
              <w:jc w:val="center"/>
            </w:pPr>
            <w:r>
              <w:rPr>
                <w:rFonts w:ascii="宋体" w:hAnsi="宋体" w:eastAsia="宋体"/>
                <w:sz w:val="16"/>
              </w:rPr>
              <w:t>行业标准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41D2D4">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82CB1C8">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7C6A4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09B0A8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441D0C">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6444B2B">
            <w:pPr>
              <w:jc w:val="center"/>
            </w:pPr>
            <w:r>
              <w:rPr>
                <w:rFonts w:ascii="宋体" w:hAnsi="宋体" w:eastAsia="宋体"/>
                <w:sz w:val="16"/>
              </w:rPr>
              <w:t>6</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0DE32">
            <w:pPr>
              <w:jc w:val="center"/>
            </w:pPr>
          </w:p>
        </w:tc>
      </w:tr>
      <w:tr w14:paraId="4E43633B">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4785865F"/>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6225F29"/>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E9FEE">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BF0F7F">
            <w:pPr>
              <w:jc w:val="center"/>
            </w:pPr>
            <w:r>
              <w:rPr>
                <w:rFonts w:ascii="宋体" w:hAnsi="宋体" w:eastAsia="宋体"/>
                <w:sz w:val="16"/>
              </w:rPr>
              <w:t>调研任务按时完成率（%）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C1BCB4">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488636">
            <w:pPr>
              <w:jc w:val="center"/>
            </w:pPr>
            <w:r>
              <w:rPr>
                <w:rFonts w:ascii="宋体" w:hAnsi="宋体" w:eastAsia="宋体"/>
                <w:sz w:val="16"/>
              </w:rPr>
              <w:t>行业标准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AE6FEC">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A418425">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942DC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E99EE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28270C">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581C533">
            <w:pPr>
              <w:jc w:val="center"/>
            </w:pPr>
            <w:r>
              <w:rPr>
                <w:rFonts w:ascii="宋体" w:hAnsi="宋体" w:eastAsia="宋体"/>
                <w:sz w:val="16"/>
              </w:rPr>
              <w:t>6</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5B657">
            <w:pPr>
              <w:jc w:val="center"/>
            </w:pPr>
          </w:p>
        </w:tc>
      </w:tr>
      <w:tr w14:paraId="1180641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8AD17F0"/>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A6EA3AD"/>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100DEB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7FEBE3">
            <w:pPr>
              <w:jc w:val="center"/>
            </w:pPr>
            <w:r>
              <w:rPr>
                <w:rFonts w:ascii="宋体" w:hAnsi="宋体" w:eastAsia="宋体"/>
                <w:sz w:val="16"/>
              </w:rPr>
              <w:t>资金支付及时率（%）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135A0D">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6F441CD">
            <w:pPr>
              <w:jc w:val="center"/>
            </w:pPr>
            <w:r>
              <w:rPr>
                <w:rFonts w:ascii="宋体" w:hAnsi="宋体" w:eastAsia="宋体"/>
                <w:sz w:val="16"/>
              </w:rPr>
              <w:t>行业标准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CEE755A">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9FE139">
            <w:pPr>
              <w:jc w:val="center"/>
            </w:pPr>
            <w:r>
              <w:rPr>
                <w:rFonts w:ascii="宋体" w:hAnsi="宋体" w:eastAsia="宋体"/>
                <w:sz w:val="16"/>
              </w:rPr>
              <w:t>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E6A257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C61C6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C26C75">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45DD376">
            <w:pPr>
              <w:jc w:val="center"/>
            </w:pPr>
            <w:r>
              <w:rPr>
                <w:rFonts w:ascii="宋体" w:hAnsi="宋体" w:eastAsia="宋体"/>
                <w:sz w:val="16"/>
              </w:rPr>
              <w:t>6</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F206C">
            <w:pPr>
              <w:jc w:val="center"/>
            </w:pPr>
          </w:p>
        </w:tc>
      </w:tr>
      <w:tr w14:paraId="7907BE7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57FA7864"/>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9E992">
            <w:pPr>
              <w:jc w:val="center"/>
            </w:pPr>
            <w:r>
              <w:rPr>
                <w:rFonts w:ascii="宋体" w:hAnsi="宋体" w:eastAsia="宋体"/>
                <w:sz w:val="16"/>
              </w:rPr>
              <w:t>成本指标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E6AB6">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6A1EC7">
            <w:pPr>
              <w:jc w:val="center"/>
            </w:pPr>
            <w:r>
              <w:rPr>
                <w:rFonts w:ascii="宋体" w:hAnsi="宋体" w:eastAsia="宋体"/>
                <w:sz w:val="16"/>
              </w:rPr>
              <w:t>日常办公运转经费（万元）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D06978">
            <w:pPr>
              <w:jc w:val="center"/>
            </w:pPr>
            <w:r>
              <w:rPr>
                <w:rFonts w:ascii="宋体" w:hAnsi="宋体" w:eastAsia="宋体"/>
                <w:sz w:val="16"/>
              </w:rPr>
              <w:t>&lt;=19.55万元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6D3633">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2CEC28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DDD5027">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5F253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E7424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537354">
            <w:pPr>
              <w:jc w:val="center"/>
            </w:pPr>
            <w:r>
              <w:rPr>
                <w:rFonts w:ascii="宋体" w:hAnsi="宋体" w:eastAsia="宋体"/>
                <w:sz w:val="16"/>
              </w:rPr>
              <w:t>=17.55万元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1192149">
            <w:pPr>
              <w:jc w:val="center"/>
            </w:pPr>
            <w:r>
              <w:rPr>
                <w:rFonts w:ascii="宋体" w:hAnsi="宋体" w:eastAsia="宋体"/>
                <w:sz w:val="16"/>
              </w:rPr>
              <w:t>7.44</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AA418">
            <w:pPr>
              <w:jc w:val="center"/>
            </w:pPr>
            <w:r>
              <w:rPr>
                <w:rFonts w:ascii="宋体" w:hAnsi="宋体" w:eastAsia="宋体"/>
                <w:sz w:val="16"/>
              </w:rPr>
              <w:t>偏差原因：2024年年初预算业务运行经费做</w:t>
            </w:r>
            <w:r>
              <w:rPr>
                <w:rFonts w:hint="eastAsia" w:ascii="宋体" w:hAnsi="宋体"/>
                <w:sz w:val="16"/>
                <w:lang w:eastAsia="zh-CN"/>
              </w:rPr>
              <w:t>得</w:t>
            </w:r>
            <w:r>
              <w:rPr>
                <w:rFonts w:ascii="宋体" w:hAnsi="宋体" w:eastAsia="宋体"/>
                <w:sz w:val="16"/>
              </w:rPr>
              <w:t>不够细化、准确。改进措施：2025年预算更加细化指标，更加精准。</w:t>
            </w:r>
          </w:p>
        </w:tc>
      </w:tr>
      <w:tr w14:paraId="20EA8565">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1524C8E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18F9574"/>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1DABEF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1FA934">
            <w:pPr>
              <w:jc w:val="center"/>
            </w:pPr>
            <w:r>
              <w:rPr>
                <w:rFonts w:ascii="宋体" w:hAnsi="宋体" w:eastAsia="宋体"/>
                <w:sz w:val="16"/>
              </w:rPr>
              <w:t>开展慰问</w:t>
            </w:r>
            <w:r>
              <w:rPr>
                <w:rFonts w:hint="default" w:ascii="宋体" w:hAnsi="宋体"/>
                <w:sz w:val="16"/>
                <w:lang w:val="en-US" w:eastAsia="zh-CN"/>
              </w:rPr>
              <w:t>“</w:t>
            </w:r>
            <w:r>
              <w:rPr>
                <w:rFonts w:ascii="宋体" w:hAnsi="宋体" w:eastAsia="宋体"/>
                <w:sz w:val="16"/>
              </w:rPr>
              <w:t>民族团结一家亲</w:t>
            </w:r>
            <w:r>
              <w:rPr>
                <w:rFonts w:hint="default" w:ascii="宋体" w:hAnsi="宋体"/>
                <w:sz w:val="16"/>
                <w:lang w:val="en-US" w:eastAsia="zh-CN"/>
              </w:rPr>
              <w:t>”</w:t>
            </w:r>
            <w:r>
              <w:rPr>
                <w:rFonts w:ascii="宋体" w:hAnsi="宋体" w:eastAsia="宋体"/>
                <w:sz w:val="16"/>
              </w:rPr>
              <w:t>先进个人费用（万元）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01ED56">
            <w:pPr>
              <w:jc w:val="center"/>
            </w:pPr>
            <w:r>
              <w:rPr>
                <w:rFonts w:ascii="宋体" w:hAnsi="宋体" w:eastAsia="宋体"/>
                <w:sz w:val="16"/>
              </w:rPr>
              <w:t>&lt;=10.45万元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DA99245">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4A7CF0">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9C39B6">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A49A1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FAB63C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2F8F53">
            <w:pPr>
              <w:jc w:val="center"/>
            </w:pPr>
            <w:r>
              <w:rPr>
                <w:rFonts w:ascii="宋体" w:hAnsi="宋体" w:eastAsia="宋体"/>
                <w:sz w:val="16"/>
              </w:rPr>
              <w:t>=10.45万元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D92B539">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C464B">
            <w:pPr>
              <w:jc w:val="center"/>
            </w:pPr>
          </w:p>
        </w:tc>
      </w:tr>
      <w:tr w14:paraId="5B12A2E7">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2836EBDB"/>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7169A">
            <w:pPr>
              <w:jc w:val="center"/>
            </w:pPr>
            <w:r>
              <w:rPr>
                <w:rFonts w:ascii="宋体" w:hAnsi="宋体" w:eastAsia="宋体"/>
                <w:sz w:val="16"/>
              </w:rPr>
              <w:t>效益指标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3D8AC">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6A45BF">
            <w:pPr>
              <w:jc w:val="center"/>
            </w:pPr>
            <w:r>
              <w:rPr>
                <w:rFonts w:ascii="宋体" w:hAnsi="宋体" w:eastAsia="宋体"/>
                <w:sz w:val="16"/>
              </w:rPr>
              <w:t>保障工作需要促进民族团结一家亲</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5791F2">
            <w:pPr>
              <w:jc w:val="center"/>
            </w:pPr>
            <w:r>
              <w:rPr>
                <w:rFonts w:ascii="宋体" w:hAnsi="宋体" w:eastAsia="宋体"/>
                <w:sz w:val="16"/>
              </w:rPr>
              <w:t>有效保障</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6896AF">
            <w:pPr>
              <w:jc w:val="center"/>
            </w:pPr>
            <w:r>
              <w:rPr>
                <w:rFonts w:ascii="宋体" w:hAnsi="宋体" w:eastAsia="宋体"/>
                <w:sz w:val="16"/>
              </w:rPr>
              <w:t>其他标准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4530E6F">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1CF0B9">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54AB88">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F510A6F">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BDCCA0">
            <w:pPr>
              <w:jc w:val="center"/>
            </w:pPr>
            <w:r>
              <w:rPr>
                <w:rFonts w:ascii="宋体" w:hAnsi="宋体" w:eastAsia="宋体"/>
                <w:sz w:val="16"/>
              </w:rPr>
              <w:t>有效保障</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150DAAB">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D315D">
            <w:pPr>
              <w:jc w:val="center"/>
            </w:pPr>
          </w:p>
        </w:tc>
      </w:tr>
      <w:tr w14:paraId="205E65BA">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770D088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DF71284"/>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E3F802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BCCC96">
            <w:pPr>
              <w:jc w:val="center"/>
            </w:pPr>
            <w:r>
              <w:rPr>
                <w:rFonts w:ascii="宋体" w:hAnsi="宋体" w:eastAsia="宋体"/>
                <w:sz w:val="16"/>
              </w:rPr>
              <w:t>铸牢中华民族共同体意识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D0B464">
            <w:pPr>
              <w:jc w:val="center"/>
            </w:pPr>
            <w:r>
              <w:rPr>
                <w:rFonts w:ascii="宋体" w:hAnsi="宋体" w:eastAsia="宋体"/>
                <w:sz w:val="16"/>
              </w:rPr>
              <w:t>有效铸牢</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DE2BCA8">
            <w:pPr>
              <w:jc w:val="center"/>
            </w:pPr>
            <w:r>
              <w:rPr>
                <w:rFonts w:ascii="宋体" w:hAnsi="宋体" w:eastAsia="宋体"/>
                <w:sz w:val="16"/>
              </w:rPr>
              <w:t>其他标准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E7DB735">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85D85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FDCDDFA">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E4614B">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ED201F">
            <w:pPr>
              <w:jc w:val="center"/>
            </w:pPr>
            <w:r>
              <w:rPr>
                <w:rFonts w:ascii="宋体" w:hAnsi="宋体" w:eastAsia="宋体"/>
                <w:sz w:val="16"/>
              </w:rPr>
              <w:t>有效铸牢</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195EEB4">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74F11">
            <w:pPr>
              <w:jc w:val="center"/>
            </w:pPr>
          </w:p>
        </w:tc>
      </w:tr>
      <w:tr w14:paraId="6E2269F8">
        <w:tblPrEx>
          <w:tblCellMar>
            <w:top w:w="0" w:type="dxa"/>
            <w:left w:w="108" w:type="dxa"/>
            <w:bottom w:w="0" w:type="dxa"/>
            <w:right w:w="108" w:type="dxa"/>
          </w:tblCellMar>
        </w:tblPrEx>
        <w:tc>
          <w:tcPr>
            <w:tcW w:w="630" w:type="dxa"/>
            <w:vMerge w:val="continue"/>
            <w:tcBorders>
              <w:top w:val="single" w:color="auto" w:sz="10" w:space="0"/>
              <w:left w:val="single" w:color="auto" w:sz="10" w:space="0"/>
              <w:bottom w:val="single" w:color="auto" w:sz="10" w:space="0"/>
              <w:right w:val="single" w:color="auto" w:sz="10" w:space="0"/>
              <w:insideV w:val="single" w:sz="10" w:space="0"/>
            </w:tcBorders>
          </w:tcPr>
          <w:p w14:paraId="3239DB90"/>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D9908BE">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0BE32E">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5E140F">
            <w:pPr>
              <w:jc w:val="center"/>
            </w:pPr>
            <w:r>
              <w:rPr>
                <w:rFonts w:ascii="宋体" w:hAnsi="宋体" w:eastAsia="宋体"/>
                <w:sz w:val="16"/>
              </w:rPr>
              <w:t>受益群众满意度（%）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914CA4">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BD362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90C4E1">
            <w:pPr>
              <w:jc w:val="center"/>
            </w:pPr>
            <w:r>
              <w:rPr>
                <w:rFonts w:ascii="宋体" w:hAnsi="宋体" w:eastAsia="宋体"/>
                <w:sz w:val="16"/>
              </w:rPr>
              <w:t>新增</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54A178">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3376095">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40881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F7BE5F">
            <w:pPr>
              <w:jc w:val="center"/>
            </w:pPr>
            <w:r>
              <w:rPr>
                <w:rFonts w:ascii="宋体" w:hAnsi="宋体" w:eastAsia="宋体"/>
                <w:sz w:val="16"/>
              </w:rPr>
              <w:t>=95%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B79E950">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B5741">
            <w:pPr>
              <w:jc w:val="center"/>
            </w:pPr>
          </w:p>
        </w:tc>
      </w:tr>
      <w:tr w14:paraId="5ADFAF3D">
        <w:tblPrEx>
          <w:tblCellMar>
            <w:top w:w="0" w:type="dxa"/>
            <w:left w:w="108" w:type="dxa"/>
            <w:bottom w:w="0" w:type="dxa"/>
            <w:right w:w="108" w:type="dxa"/>
          </w:tblCellMar>
        </w:tblPrEx>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653CB5A">
            <w:pPr>
              <w:jc w:val="center"/>
            </w:pPr>
            <w:r>
              <w:rPr>
                <w:rFonts w:ascii="宋体" w:hAnsi="宋体" w:eastAsia="宋体"/>
                <w:sz w:val="16"/>
              </w:rPr>
              <w:t>总分</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5AD8B">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359EB4">
            <w:pPr>
              <w:jc w:val="center"/>
            </w:pPr>
            <w:r>
              <w:rPr>
                <w:rFonts w:ascii="宋体" w:hAnsi="宋体" w:eastAsia="宋体"/>
                <w:sz w:val="16"/>
              </w:rPr>
              <w:t>得分</w:t>
            </w:r>
          </w:p>
        </w:tc>
        <w:tc>
          <w:tcPr>
            <w:tcW w:w="320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7EFBE5">
            <w:pPr>
              <w:jc w:val="center"/>
            </w:pPr>
            <w:r>
              <w:rPr>
                <w:rFonts w:ascii="宋体" w:hAnsi="宋体" w:eastAsia="宋体"/>
                <w:sz w:val="16"/>
              </w:rPr>
              <w:t>95.77分</w:t>
            </w:r>
          </w:p>
        </w:tc>
      </w:tr>
    </w:tbl>
    <w:p w14:paraId="26B5F3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FE8BBA0">
        <w:tblPrEx>
          <w:tblCellMar>
            <w:top w:w="0" w:type="dxa"/>
            <w:left w:w="108" w:type="dxa"/>
            <w:bottom w:w="0" w:type="dxa"/>
            <w:right w:w="108" w:type="dxa"/>
          </w:tblCellMar>
        </w:tblPrEx>
        <w:tc>
          <w:tcPr>
            <w:tcW w:w="8848" w:type="dxa"/>
            <w:gridSpan w:val="14"/>
            <w:vAlign w:val="center"/>
          </w:tcPr>
          <w:p w14:paraId="369C1C3E">
            <w:pPr>
              <w:jc w:val="center"/>
            </w:pPr>
            <w:r>
              <w:rPr>
                <w:rFonts w:ascii="宋体" w:hAnsi="宋体" w:eastAsia="宋体"/>
                <w:sz w:val="24"/>
              </w:rPr>
              <w:t>项目支出绩效自评表</w:t>
            </w:r>
          </w:p>
        </w:tc>
      </w:tr>
      <w:tr w14:paraId="0B80D645">
        <w:tblPrEx>
          <w:tblCellMar>
            <w:top w:w="0" w:type="dxa"/>
            <w:left w:w="108" w:type="dxa"/>
            <w:bottom w:w="0" w:type="dxa"/>
            <w:right w:w="108" w:type="dxa"/>
          </w:tblCellMar>
        </w:tblPrEx>
        <w:tc>
          <w:tcPr>
            <w:tcW w:w="8848" w:type="dxa"/>
            <w:gridSpan w:val="14"/>
            <w:vAlign w:val="center"/>
          </w:tcPr>
          <w:p w14:paraId="2589BCFC">
            <w:pPr>
              <w:jc w:val="center"/>
            </w:pPr>
            <w:r>
              <w:rPr>
                <w:rFonts w:ascii="宋体" w:hAnsi="宋体" w:eastAsia="宋体"/>
                <w:sz w:val="24"/>
              </w:rPr>
              <w:t>(2024年度)</w:t>
            </w:r>
          </w:p>
        </w:tc>
      </w:tr>
      <w:tr w14:paraId="17FF8E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0D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1A873A">
            <w:pPr>
              <w:jc w:val="center"/>
            </w:pPr>
            <w:r>
              <w:rPr>
                <w:rFonts w:ascii="宋体" w:hAnsi="宋体" w:eastAsia="宋体"/>
                <w:sz w:val="16"/>
              </w:rPr>
              <w:t>民族团结创建工作经费项目</w:t>
            </w:r>
          </w:p>
        </w:tc>
      </w:tr>
      <w:tr w14:paraId="6F9D2A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47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025C8">
            <w:pPr>
              <w:jc w:val="center"/>
            </w:pPr>
            <w:r>
              <w:rPr>
                <w:rFonts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11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4EA1A">
            <w:pPr>
              <w:jc w:val="center"/>
            </w:pPr>
            <w:r>
              <w:rPr>
                <w:rFonts w:ascii="宋体" w:hAnsi="宋体" w:eastAsia="宋体"/>
                <w:sz w:val="16"/>
              </w:rPr>
              <w:t>中共克孜勒苏柯尔克孜自治州委员会统一战线工作部</w:t>
            </w:r>
          </w:p>
        </w:tc>
      </w:tr>
      <w:tr w14:paraId="6605E7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750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6EE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51F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DAD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36F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481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03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FDAA">
            <w:pPr>
              <w:jc w:val="center"/>
            </w:pPr>
            <w:r>
              <w:rPr>
                <w:rFonts w:ascii="宋体" w:hAnsi="宋体" w:eastAsia="宋体"/>
                <w:sz w:val="16"/>
              </w:rPr>
              <w:t>得分</w:t>
            </w:r>
          </w:p>
        </w:tc>
      </w:tr>
      <w:tr w14:paraId="13247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D87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9CD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DCD6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F32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B7C75">
            <w:pPr>
              <w:jc w:val="center"/>
            </w:pPr>
            <w:r>
              <w:rPr>
                <w:rFonts w:ascii="宋体" w:hAnsi="宋体" w:eastAsia="宋体"/>
                <w:sz w:val="16"/>
              </w:rPr>
              <w:t>56.49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48C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AD6E5">
            <w:pPr>
              <w:jc w:val="center"/>
            </w:pPr>
            <w:r>
              <w:rPr>
                <w:rFonts w:ascii="宋体" w:hAnsi="宋体" w:eastAsia="宋体"/>
                <w:sz w:val="16"/>
              </w:rPr>
              <w:t>56.5%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F4A4">
            <w:pPr>
              <w:jc w:val="center"/>
            </w:pPr>
            <w:r>
              <w:rPr>
                <w:rFonts w:ascii="宋体" w:hAnsi="宋体" w:eastAsia="宋体"/>
                <w:sz w:val="16"/>
              </w:rPr>
              <w:t>0.00分</w:t>
            </w:r>
          </w:p>
        </w:tc>
      </w:tr>
      <w:tr w14:paraId="57E05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1E8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1AE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2CF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7E1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F2D0B">
            <w:pPr>
              <w:jc w:val="center"/>
            </w:pPr>
            <w:r>
              <w:rPr>
                <w:rFonts w:ascii="宋体" w:hAnsi="宋体" w:eastAsia="宋体"/>
                <w:sz w:val="16"/>
              </w:rPr>
              <w:t>56.49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9EF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5BE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E31E">
            <w:pPr>
              <w:jc w:val="center"/>
            </w:pPr>
            <w:r>
              <w:rPr>
                <w:rFonts w:ascii="宋体" w:hAnsi="宋体" w:eastAsia="宋体"/>
                <w:sz w:val="16"/>
              </w:rPr>
              <w:t>—</w:t>
            </w:r>
          </w:p>
        </w:tc>
      </w:tr>
      <w:tr w14:paraId="22BFD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99E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CC3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4CE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1E6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AAB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D99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72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E666">
            <w:pPr>
              <w:jc w:val="center"/>
            </w:pPr>
            <w:r>
              <w:rPr>
                <w:rFonts w:ascii="宋体" w:hAnsi="宋体" w:eastAsia="宋体"/>
                <w:sz w:val="16"/>
              </w:rPr>
              <w:t>—</w:t>
            </w:r>
          </w:p>
        </w:tc>
      </w:tr>
      <w:tr w14:paraId="645E14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CB04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ED5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2A4EC0">
            <w:pPr>
              <w:jc w:val="center"/>
            </w:pPr>
            <w:r>
              <w:rPr>
                <w:rFonts w:ascii="宋体" w:hAnsi="宋体" w:eastAsia="宋体"/>
                <w:sz w:val="16"/>
              </w:rPr>
              <w:t>实际完成情况</w:t>
            </w:r>
          </w:p>
        </w:tc>
      </w:tr>
      <w:tr w14:paraId="314B9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3C9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42E56">
            <w:pPr>
              <w:jc w:val="both"/>
            </w:pPr>
            <w:r>
              <w:rPr>
                <w:rFonts w:ascii="宋体" w:hAnsi="宋体" w:eastAsia="宋体"/>
                <w:sz w:val="16"/>
              </w:rPr>
              <w:t>该项目总投资100万元，其中：财政资金100万元，其他资金0万元;该项目通过开展全国民族团结进步示范州创建工作，有利于补短板、强弱项，着力解决影响民族工作方面的突出问题，有利于把党的民族政策落实到日常工作的各方面、各环节，转化为维护国家统一、社会稳定和民族团结的自觉行动，努力实现好、维护好、发展好各族人民的根本利益，深入开展文化润疆工程与铸牢中华民族共同体意识的基础性工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1C2A07">
            <w:pPr>
              <w:jc w:val="both"/>
            </w:pPr>
            <w:r>
              <w:rPr>
                <w:rFonts w:ascii="宋体" w:hAnsi="宋体" w:eastAsia="宋体"/>
                <w:sz w:val="16"/>
              </w:rPr>
              <w:t>截至2024年12月31日，项目支出56.49万元,已完成：开展工作人数20人，调研12次，购买办公耗材4次，该项目通过开展全国民族团结进步示范州创建工作，有利于补短板、强弱项，着力解决影响民族工作方面的突出问题，有利于把党的民族政策落实到日常工作的各方面、各环节，转化为维护国家统一、社会稳定和民族团结的自觉行动，努力实现好、维护好、发展好各族人民的根本利益，深入开展文化润疆工程与铸牢中华民族共同体意识的基础性工程。</w:t>
            </w:r>
          </w:p>
        </w:tc>
      </w:tr>
      <w:tr w14:paraId="5B6078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A6B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DD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9F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7F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6E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5B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FF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C6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C8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0E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83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B4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9F0C">
            <w:pPr>
              <w:jc w:val="center"/>
            </w:pPr>
            <w:r>
              <w:rPr>
                <w:rFonts w:ascii="宋体" w:hAnsi="宋体" w:eastAsia="宋体"/>
                <w:sz w:val="16"/>
              </w:rPr>
              <w:t>偏差原因分析及改进措施</w:t>
            </w:r>
          </w:p>
        </w:tc>
      </w:tr>
      <w:tr w14:paraId="3B51D9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5FD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3FDC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7FB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53D8">
            <w:pPr>
              <w:jc w:val="center"/>
            </w:pPr>
            <w:r>
              <w:rPr>
                <w:rFonts w:ascii="宋体" w:hAnsi="宋体" w:eastAsia="宋体"/>
                <w:sz w:val="16"/>
              </w:rPr>
              <w:t>开展工作人数(人)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27AA">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6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C536">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76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CE2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11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B872">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74F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0776">
            <w:pPr>
              <w:jc w:val="center"/>
            </w:pPr>
          </w:p>
        </w:tc>
      </w:tr>
      <w:tr w14:paraId="3D478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A9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C2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A7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E257">
            <w:pPr>
              <w:jc w:val="center"/>
            </w:pPr>
            <w:r>
              <w:rPr>
                <w:rFonts w:ascii="宋体" w:hAnsi="宋体" w:eastAsia="宋体"/>
                <w:sz w:val="16"/>
              </w:rPr>
              <w:t>调研次数（次）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3B15">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0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FF2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C4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C9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8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2DC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BCB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62582">
            <w:pPr>
              <w:jc w:val="center"/>
            </w:pPr>
          </w:p>
        </w:tc>
      </w:tr>
      <w:tr w14:paraId="63CE2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F1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98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D7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CEB9">
            <w:pPr>
              <w:jc w:val="center"/>
            </w:pPr>
            <w:r>
              <w:rPr>
                <w:rFonts w:ascii="宋体" w:hAnsi="宋体" w:eastAsia="宋体"/>
                <w:sz w:val="16"/>
              </w:rPr>
              <w:t>购买办公耗材次数（次）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068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0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CF0D">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12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C67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69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7856">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1A3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F6EE7">
            <w:pPr>
              <w:jc w:val="center"/>
            </w:pPr>
          </w:p>
        </w:tc>
      </w:tr>
      <w:tr w14:paraId="6AB14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D9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73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812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D20D">
            <w:pPr>
              <w:jc w:val="center"/>
            </w:pPr>
            <w:r>
              <w:rPr>
                <w:rFonts w:ascii="宋体" w:hAnsi="宋体" w:eastAsia="宋体"/>
                <w:sz w:val="16"/>
              </w:rPr>
              <w:t>购买办公耗材质量验收合格率（%）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3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243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21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09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ED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E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4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8F3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176EB">
            <w:pPr>
              <w:jc w:val="center"/>
            </w:pPr>
          </w:p>
        </w:tc>
      </w:tr>
      <w:tr w14:paraId="1B852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12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4E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9F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B05A">
            <w:pPr>
              <w:jc w:val="center"/>
            </w:pPr>
            <w:r>
              <w:rPr>
                <w:rFonts w:ascii="宋体" w:hAnsi="宋体" w:eastAsia="宋体"/>
                <w:sz w:val="16"/>
              </w:rPr>
              <w:t>创建工作合规率（%）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B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393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C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05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0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9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B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437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2314F">
            <w:pPr>
              <w:jc w:val="center"/>
            </w:pPr>
          </w:p>
        </w:tc>
      </w:tr>
      <w:tr w14:paraId="467C3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A6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E5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1A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76E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3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153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0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428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8B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FC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2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69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654EF">
            <w:pPr>
              <w:jc w:val="center"/>
            </w:pPr>
          </w:p>
        </w:tc>
      </w:tr>
      <w:tr w14:paraId="38B1F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D8C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962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7D2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1526">
            <w:pPr>
              <w:jc w:val="center"/>
            </w:pPr>
            <w:r>
              <w:rPr>
                <w:rFonts w:ascii="宋体" w:hAnsi="宋体" w:eastAsia="宋体"/>
                <w:sz w:val="16"/>
              </w:rPr>
              <w:t>基层调研指导工作经费（万元）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4E2F">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B7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08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55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7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79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1868">
            <w:pPr>
              <w:jc w:val="center"/>
            </w:pPr>
            <w:r>
              <w:rPr>
                <w:rFonts w:ascii="宋体" w:hAnsi="宋体" w:eastAsia="宋体"/>
                <w:sz w:val="16"/>
              </w:rPr>
              <w:t>=11.72万元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689B">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60D7">
            <w:pPr>
              <w:jc w:val="center"/>
            </w:pPr>
            <w:r>
              <w:rPr>
                <w:rFonts w:ascii="宋体" w:hAnsi="宋体" w:eastAsia="宋体"/>
                <w:sz w:val="16"/>
              </w:rPr>
              <w:t>偏差原因：2024年1月已被命名为全国民族团结进步示范州，原计划的相关活动未开展，相关经费未形成支出。改进措施：2025年预算更加细化指标，更加精准</w:t>
            </w:r>
          </w:p>
        </w:tc>
      </w:tr>
      <w:tr w14:paraId="15387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FF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408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47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FF99E">
            <w:pPr>
              <w:jc w:val="center"/>
            </w:pPr>
            <w:r>
              <w:rPr>
                <w:rFonts w:ascii="宋体" w:hAnsi="宋体" w:eastAsia="宋体"/>
                <w:sz w:val="16"/>
              </w:rPr>
              <w:t>日常办公运转经费数（万元）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0719">
            <w:pPr>
              <w:jc w:val="center"/>
            </w:pPr>
            <w:r>
              <w:rPr>
                <w:rFonts w:ascii="宋体" w:hAnsi="宋体" w:eastAsia="宋体"/>
                <w:sz w:val="16"/>
              </w:rPr>
              <w:t>&lt;=58万元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27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B4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53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11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5B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4256">
            <w:pPr>
              <w:jc w:val="center"/>
            </w:pPr>
            <w:r>
              <w:rPr>
                <w:rFonts w:ascii="宋体" w:hAnsi="宋体" w:eastAsia="宋体"/>
                <w:sz w:val="16"/>
              </w:rPr>
              <w:t>=44.77万元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2FD7">
            <w:pPr>
              <w:jc w:val="center"/>
            </w:pPr>
            <w:r>
              <w:rPr>
                <w:rFonts w:ascii="宋体" w:hAnsi="宋体" w:eastAsia="宋体"/>
                <w:sz w:val="16"/>
              </w:rPr>
              <w:t>3.01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CFE8C">
            <w:pPr>
              <w:jc w:val="center"/>
            </w:pPr>
            <w:r>
              <w:rPr>
                <w:rFonts w:ascii="宋体" w:hAnsi="宋体" w:eastAsia="宋体"/>
                <w:sz w:val="16"/>
              </w:rPr>
              <w:t>偏差原因：2024年1月已被命名为全国民族团结进步示范州，原计划的相关活动未开展，相关经费未形成支出。改进措施：2025年预算更加细化指标，更加精准。</w:t>
            </w:r>
          </w:p>
        </w:tc>
      </w:tr>
      <w:tr w14:paraId="75415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EA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08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0F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66FD">
            <w:pPr>
              <w:jc w:val="center"/>
            </w:pPr>
            <w:r>
              <w:rPr>
                <w:rFonts w:ascii="宋体" w:hAnsi="宋体" w:eastAsia="宋体"/>
                <w:sz w:val="16"/>
              </w:rPr>
              <w:t>申报全国民族团结进步示范州第三方评估费（万元）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3F29">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B0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87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42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F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4C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A8E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FE4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510C0">
            <w:pPr>
              <w:jc w:val="center"/>
            </w:pPr>
            <w:r>
              <w:rPr>
                <w:rFonts w:ascii="宋体" w:hAnsi="宋体" w:eastAsia="宋体"/>
                <w:sz w:val="16"/>
              </w:rPr>
              <w:t>偏差原因：2024年1月已被命名为全国民族团结进步示范州，原计划的申报民族团结进步示范州第三方评估工作未开展，相关经费未形成支出。改进措施：2025年预算更加细化指标，更加精准</w:t>
            </w:r>
          </w:p>
        </w:tc>
      </w:tr>
      <w:tr w14:paraId="003CC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637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1876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3DA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D953">
            <w:pPr>
              <w:jc w:val="center"/>
            </w:pPr>
            <w:r>
              <w:rPr>
                <w:rFonts w:ascii="宋体" w:hAnsi="宋体" w:eastAsia="宋体"/>
                <w:sz w:val="16"/>
              </w:rPr>
              <w:t>铸牢中华民族共同体意识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3E6F">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5ED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CC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B9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93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24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F2A4">
            <w:pPr>
              <w:jc w:val="center"/>
            </w:pPr>
            <w:r>
              <w:rPr>
                <w:rFonts w:ascii="宋体" w:hAnsi="宋体" w:eastAsia="宋体"/>
                <w:sz w:val="16"/>
              </w:rPr>
              <w:t>有效铸牢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AD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50D8E">
            <w:pPr>
              <w:jc w:val="center"/>
            </w:pPr>
          </w:p>
        </w:tc>
      </w:tr>
      <w:tr w14:paraId="45D1F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F5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2E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EC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DAE3">
            <w:pPr>
              <w:jc w:val="center"/>
            </w:pPr>
            <w:r>
              <w:rPr>
                <w:rFonts w:ascii="宋体" w:hAnsi="宋体" w:eastAsia="宋体"/>
                <w:sz w:val="16"/>
              </w:rPr>
              <w:t>确保民族团结创建工作顺利开展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FA9A">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31C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367B">
            <w:pPr>
              <w:jc w:val="center"/>
            </w:pPr>
            <w:r>
              <w:rPr>
                <w:rFonts w:ascii="宋体" w:hAnsi="宋体" w:eastAsia="宋体"/>
                <w:sz w:val="16"/>
              </w:rPr>
              <w:t>部分达成年度指标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B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9A0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38A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DF6E">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BF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FB9E8">
            <w:pPr>
              <w:jc w:val="center"/>
            </w:pPr>
          </w:p>
        </w:tc>
      </w:tr>
      <w:tr w14:paraId="7FA2B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3E7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3A3E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30F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BFF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D34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E2D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D2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19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75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49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86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5C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247A8">
            <w:pPr>
              <w:jc w:val="center"/>
            </w:pPr>
          </w:p>
        </w:tc>
      </w:tr>
      <w:tr w14:paraId="61475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0B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C23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1A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497E">
            <w:pPr>
              <w:jc w:val="center"/>
            </w:pPr>
            <w:r>
              <w:rPr>
                <w:rFonts w:ascii="宋体" w:hAnsi="宋体" w:eastAsia="宋体"/>
                <w:sz w:val="16"/>
              </w:rPr>
              <w:t>相关单位满意度（%）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B91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B1B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28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BA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41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9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F96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A3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ACCB">
            <w:pPr>
              <w:jc w:val="center"/>
            </w:pPr>
          </w:p>
        </w:tc>
      </w:tr>
      <w:tr w14:paraId="2FF69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2FF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F8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75E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B06549">
            <w:pPr>
              <w:jc w:val="center"/>
            </w:pPr>
            <w:r>
              <w:rPr>
                <w:rFonts w:ascii="宋体" w:hAnsi="宋体" w:eastAsia="宋体"/>
                <w:sz w:val="16"/>
              </w:rPr>
              <w:t>78.66分</w:t>
            </w:r>
          </w:p>
        </w:tc>
      </w:tr>
    </w:tbl>
    <w:p w14:paraId="02E396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7B29209">
        <w:tblPrEx>
          <w:tblCellMar>
            <w:top w:w="0" w:type="dxa"/>
            <w:left w:w="108" w:type="dxa"/>
            <w:bottom w:w="0" w:type="dxa"/>
            <w:right w:w="108" w:type="dxa"/>
          </w:tblCellMar>
        </w:tblPrEx>
        <w:tc>
          <w:tcPr>
            <w:tcW w:w="8848" w:type="dxa"/>
            <w:gridSpan w:val="14"/>
            <w:vAlign w:val="center"/>
          </w:tcPr>
          <w:p w14:paraId="7C041173">
            <w:pPr>
              <w:jc w:val="center"/>
            </w:pPr>
            <w:r>
              <w:rPr>
                <w:rFonts w:ascii="宋体" w:hAnsi="宋体" w:eastAsia="宋体"/>
                <w:sz w:val="24"/>
              </w:rPr>
              <w:t>项目支出绩效自评表</w:t>
            </w:r>
          </w:p>
        </w:tc>
      </w:tr>
      <w:tr w14:paraId="74424348">
        <w:tblPrEx>
          <w:tblCellMar>
            <w:top w:w="0" w:type="dxa"/>
            <w:left w:w="108" w:type="dxa"/>
            <w:bottom w:w="0" w:type="dxa"/>
            <w:right w:w="108" w:type="dxa"/>
          </w:tblCellMar>
        </w:tblPrEx>
        <w:tc>
          <w:tcPr>
            <w:tcW w:w="8848" w:type="dxa"/>
            <w:gridSpan w:val="14"/>
            <w:vAlign w:val="center"/>
          </w:tcPr>
          <w:p w14:paraId="7D2EA64D">
            <w:pPr>
              <w:jc w:val="center"/>
            </w:pPr>
            <w:r>
              <w:rPr>
                <w:rFonts w:ascii="宋体" w:hAnsi="宋体" w:eastAsia="宋体"/>
                <w:sz w:val="24"/>
              </w:rPr>
              <w:t>(2024年度)</w:t>
            </w:r>
          </w:p>
        </w:tc>
      </w:tr>
      <w:tr w14:paraId="28349D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18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D9FD0D">
            <w:pPr>
              <w:jc w:val="center"/>
            </w:pPr>
            <w:r>
              <w:rPr>
                <w:rFonts w:ascii="宋体" w:hAnsi="宋体" w:eastAsia="宋体"/>
                <w:sz w:val="16"/>
              </w:rPr>
              <w:t>统战工作经费</w:t>
            </w:r>
          </w:p>
        </w:tc>
      </w:tr>
      <w:tr w14:paraId="2A15EA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3B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3A989">
            <w:pPr>
              <w:jc w:val="center"/>
            </w:pPr>
            <w:r>
              <w:rPr>
                <w:rFonts w:ascii="宋体" w:hAnsi="宋体" w:eastAsia="宋体"/>
                <w:sz w:val="16"/>
              </w:rPr>
              <w:t>中共克孜勒苏柯尔克孜自治州委员会统一战线工作部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AE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377DD1">
            <w:pPr>
              <w:jc w:val="center"/>
            </w:pPr>
            <w:r>
              <w:rPr>
                <w:rFonts w:ascii="宋体" w:hAnsi="宋体" w:eastAsia="宋体"/>
                <w:sz w:val="16"/>
              </w:rPr>
              <w:t>中共克孜勒苏柯尔克孜自治州委员会统一战线工作部</w:t>
            </w:r>
          </w:p>
        </w:tc>
      </w:tr>
      <w:tr w14:paraId="3A8502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A16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D5C8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BE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423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103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BE56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2DD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1291">
            <w:pPr>
              <w:jc w:val="center"/>
            </w:pPr>
            <w:r>
              <w:rPr>
                <w:rFonts w:ascii="宋体" w:hAnsi="宋体" w:eastAsia="宋体"/>
                <w:sz w:val="16"/>
              </w:rPr>
              <w:t>得分</w:t>
            </w:r>
          </w:p>
        </w:tc>
      </w:tr>
      <w:tr w14:paraId="41329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197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878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3FB1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A3B9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AD2BD">
            <w:pPr>
              <w:jc w:val="center"/>
            </w:pPr>
            <w:r>
              <w:rPr>
                <w:rFonts w:ascii="宋体" w:hAnsi="宋体" w:eastAsia="宋体"/>
                <w:sz w:val="16"/>
              </w:rPr>
              <w:t>19.04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FDE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77A1A">
            <w:pPr>
              <w:jc w:val="center"/>
            </w:pPr>
            <w:r>
              <w:rPr>
                <w:rFonts w:ascii="宋体" w:hAnsi="宋体" w:eastAsia="宋体"/>
                <w:sz w:val="16"/>
              </w:rPr>
              <w:t>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4401">
            <w:pPr>
              <w:jc w:val="center"/>
            </w:pPr>
            <w:r>
              <w:rPr>
                <w:rFonts w:ascii="宋体" w:hAnsi="宋体" w:eastAsia="宋体"/>
                <w:sz w:val="16"/>
              </w:rPr>
              <w:t>8.80分</w:t>
            </w:r>
          </w:p>
        </w:tc>
      </w:tr>
      <w:tr w14:paraId="63AA3D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52C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50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EFF2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DC33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276AA">
            <w:pPr>
              <w:jc w:val="center"/>
            </w:pPr>
            <w:r>
              <w:rPr>
                <w:rFonts w:ascii="宋体" w:hAnsi="宋体" w:eastAsia="宋体"/>
                <w:sz w:val="16"/>
              </w:rPr>
              <w:t>19.04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94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A3B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4541">
            <w:pPr>
              <w:jc w:val="center"/>
            </w:pPr>
            <w:r>
              <w:rPr>
                <w:rFonts w:ascii="宋体" w:hAnsi="宋体" w:eastAsia="宋体"/>
                <w:sz w:val="16"/>
              </w:rPr>
              <w:t>—</w:t>
            </w:r>
          </w:p>
        </w:tc>
      </w:tr>
      <w:tr w14:paraId="1412B1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FC9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BFD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9BF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21F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CAB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DCA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F0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CD43">
            <w:pPr>
              <w:jc w:val="center"/>
            </w:pPr>
            <w:r>
              <w:rPr>
                <w:rFonts w:ascii="宋体" w:hAnsi="宋体" w:eastAsia="宋体"/>
                <w:sz w:val="16"/>
              </w:rPr>
              <w:t>—</w:t>
            </w:r>
          </w:p>
        </w:tc>
      </w:tr>
      <w:tr w14:paraId="02AD46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86CD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550B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BFA8F">
            <w:pPr>
              <w:jc w:val="center"/>
            </w:pPr>
            <w:r>
              <w:rPr>
                <w:rFonts w:ascii="宋体" w:hAnsi="宋体" w:eastAsia="宋体"/>
                <w:sz w:val="16"/>
              </w:rPr>
              <w:t>实际完成情况</w:t>
            </w:r>
          </w:p>
        </w:tc>
      </w:tr>
      <w:tr w14:paraId="4994A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994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326EC">
            <w:pPr>
              <w:jc w:val="both"/>
            </w:pPr>
            <w:r>
              <w:rPr>
                <w:rFonts w:ascii="宋体" w:hAnsi="宋体" w:eastAsia="宋体"/>
                <w:sz w:val="16"/>
              </w:rPr>
              <w:t>该项目总投资20万元，其中：财政资金20万元，其他资金0万元；保障统战工作的差旅费、办公费等。加强民族团结、确保</w:t>
            </w:r>
            <w:r>
              <w:rPr>
                <w:rFonts w:hint="eastAsia" w:ascii="宋体" w:hAnsi="宋体"/>
                <w:sz w:val="16"/>
                <w:lang w:eastAsia="zh-CN"/>
              </w:rPr>
              <w:t>ZJ</w:t>
            </w:r>
            <w:r>
              <w:rPr>
                <w:rFonts w:ascii="宋体" w:hAnsi="宋体" w:eastAsia="宋体"/>
                <w:sz w:val="16"/>
              </w:rPr>
              <w:t>和谐、意识形态领域安全，坚持和加强党对统一战线工作的集中统一领导，增进共识、加强团结，巩固壮大统一战线，实现自治州社会稳定和长治久安。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055377">
            <w:pPr>
              <w:jc w:val="both"/>
            </w:pPr>
            <w:r>
              <w:rPr>
                <w:rFonts w:ascii="宋体" w:hAnsi="宋体" w:eastAsia="宋体"/>
                <w:sz w:val="16"/>
              </w:rPr>
              <w:t>截至2024年12月31日，项目支出19.04万元,已完成：保障办公人员数量16人，保障公务接待次数6批次，公务保障用车数量1辆，购买办公用品及耗材6批次，通过开展统战工作，加强民族团结、确保</w:t>
            </w:r>
            <w:r>
              <w:rPr>
                <w:rFonts w:hint="eastAsia" w:ascii="宋体" w:hAnsi="宋体"/>
                <w:sz w:val="16"/>
                <w:lang w:eastAsia="zh-CN"/>
              </w:rPr>
              <w:t>ZJ</w:t>
            </w:r>
            <w:r>
              <w:rPr>
                <w:rFonts w:ascii="宋体" w:hAnsi="宋体" w:eastAsia="宋体"/>
                <w:sz w:val="16"/>
              </w:rPr>
              <w:t>和谐、意识形态领域安全，坚持和加强党对统一战线工作的集中统一领导，增进共识、加强团结，巩固壮大统一战线，实现自治州社会稳定和长治久安。</w:t>
            </w:r>
          </w:p>
        </w:tc>
      </w:tr>
      <w:tr w14:paraId="19DD81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B9B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B1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428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66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160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77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79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A0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0D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64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F4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01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6C1F1">
            <w:pPr>
              <w:jc w:val="center"/>
            </w:pPr>
            <w:r>
              <w:rPr>
                <w:rFonts w:ascii="宋体" w:hAnsi="宋体" w:eastAsia="宋体"/>
                <w:sz w:val="16"/>
              </w:rPr>
              <w:t>偏差原因分析及改进措施</w:t>
            </w:r>
          </w:p>
        </w:tc>
      </w:tr>
      <w:tr w14:paraId="274C8D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12D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32E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A92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0540">
            <w:pPr>
              <w:jc w:val="center"/>
            </w:pPr>
            <w:r>
              <w:rPr>
                <w:rFonts w:ascii="宋体" w:hAnsi="宋体" w:eastAsia="宋体"/>
                <w:sz w:val="16"/>
              </w:rPr>
              <w:t>保障办公人员数量(人)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E523">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6B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6651">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24D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9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6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32CF">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85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1B792">
            <w:pPr>
              <w:jc w:val="center"/>
            </w:pPr>
          </w:p>
        </w:tc>
      </w:tr>
      <w:tr w14:paraId="739F8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283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9F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5A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6A58">
            <w:pPr>
              <w:jc w:val="center"/>
            </w:pPr>
            <w:r>
              <w:rPr>
                <w:rFonts w:ascii="宋体" w:hAnsi="宋体" w:eastAsia="宋体"/>
                <w:sz w:val="16"/>
              </w:rPr>
              <w:t>保障公务接待次数（批次）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A173">
            <w:pPr>
              <w:jc w:val="center"/>
            </w:pPr>
            <w:r>
              <w:rPr>
                <w:rFonts w:ascii="宋体" w:hAnsi="宋体" w:eastAsia="宋体"/>
                <w:sz w:val="16"/>
              </w:rPr>
              <w:t>&gt;=6批次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96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5E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6E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C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7D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1E92">
            <w:pPr>
              <w:jc w:val="center"/>
            </w:pPr>
            <w:r>
              <w:rPr>
                <w:rFonts w:ascii="宋体" w:hAnsi="宋体" w:eastAsia="宋体"/>
                <w:sz w:val="16"/>
              </w:rPr>
              <w: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E1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084C5">
            <w:pPr>
              <w:jc w:val="center"/>
            </w:pPr>
          </w:p>
        </w:tc>
      </w:tr>
      <w:tr w14:paraId="1BCD92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F85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37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3A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DFDE">
            <w:pPr>
              <w:jc w:val="center"/>
            </w:pPr>
            <w:r>
              <w:rPr>
                <w:rFonts w:ascii="宋体" w:hAnsi="宋体" w:eastAsia="宋体"/>
                <w:sz w:val="16"/>
              </w:rPr>
              <w:t>公务保障用车数量（辆）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363F">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A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18CA">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B4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C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1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3DF1">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3A0A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2B309">
            <w:pPr>
              <w:jc w:val="center"/>
            </w:pPr>
          </w:p>
        </w:tc>
      </w:tr>
      <w:tr w14:paraId="58660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86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61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D4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BF5B">
            <w:pPr>
              <w:jc w:val="center"/>
            </w:pPr>
            <w:r>
              <w:rPr>
                <w:rFonts w:ascii="宋体" w:hAnsi="宋体" w:eastAsia="宋体"/>
                <w:sz w:val="16"/>
              </w:rPr>
              <w:t>购买办公用品及耗材批次（批次）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3B5F">
            <w:pPr>
              <w:jc w:val="center"/>
            </w:pPr>
            <w:r>
              <w:rPr>
                <w:rFonts w:ascii="宋体" w:hAnsi="宋体" w:eastAsia="宋体"/>
                <w:sz w:val="16"/>
              </w:rPr>
              <w:t>&gt;=6批次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2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E09F">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18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0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73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D302">
            <w:pPr>
              <w:jc w:val="center"/>
            </w:pPr>
            <w:r>
              <w:rPr>
                <w:rFonts w:ascii="宋体" w:hAnsi="宋体" w:eastAsia="宋体"/>
                <w:sz w:val="16"/>
              </w:rPr>
              <w:t>=6批次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47F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8F1D1">
            <w:pPr>
              <w:jc w:val="center"/>
            </w:pPr>
          </w:p>
        </w:tc>
      </w:tr>
      <w:tr w14:paraId="05EA2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201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2E1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AB4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F5A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EE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FF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5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B2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9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5E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E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BE3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A586">
            <w:pPr>
              <w:jc w:val="center"/>
            </w:pPr>
          </w:p>
        </w:tc>
      </w:tr>
      <w:tr w14:paraId="7E0C7B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64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D9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D94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277F">
            <w:pPr>
              <w:jc w:val="center"/>
            </w:pPr>
            <w:r>
              <w:rPr>
                <w:rFonts w:ascii="宋体" w:hAnsi="宋体" w:eastAsia="宋体"/>
                <w:sz w:val="16"/>
              </w:rPr>
              <w:t>办公用品及耗材质量验收合格率（%）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F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5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5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9D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6D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66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F0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016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4C430">
            <w:pPr>
              <w:jc w:val="center"/>
            </w:pPr>
          </w:p>
        </w:tc>
      </w:tr>
      <w:tr w14:paraId="6E407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48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0E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D0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0C0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3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9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E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357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5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B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68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B50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5572">
            <w:pPr>
              <w:jc w:val="center"/>
            </w:pPr>
          </w:p>
        </w:tc>
      </w:tr>
      <w:tr w14:paraId="50193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76E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964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4C6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BF7B">
            <w:pPr>
              <w:jc w:val="center"/>
            </w:pPr>
            <w:r>
              <w:rPr>
                <w:rFonts w:ascii="宋体" w:hAnsi="宋体" w:eastAsia="宋体"/>
                <w:sz w:val="16"/>
              </w:rPr>
              <w:t>人员运转经费数（万元）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11B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0C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75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9B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DA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85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08A1">
            <w:pPr>
              <w:jc w:val="center"/>
            </w:pPr>
            <w:r>
              <w:rPr>
                <w:rFonts w:ascii="宋体" w:hAnsi="宋体" w:eastAsia="宋体"/>
                <w:sz w:val="16"/>
              </w:rPr>
              <w:t>=9.89万元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B291">
            <w:pPr>
              <w:jc w:val="center"/>
            </w:pPr>
            <w:r>
              <w:rPr>
                <w:rFonts w:ascii="宋体" w:hAnsi="宋体" w:eastAsia="宋体"/>
                <w:sz w:val="16"/>
              </w:rPr>
              <w:t>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2A2F3">
            <w:pPr>
              <w:jc w:val="center"/>
            </w:pPr>
            <w:r>
              <w:rPr>
                <w:rFonts w:ascii="宋体" w:hAnsi="宋体" w:eastAsia="宋体"/>
                <w:sz w:val="16"/>
              </w:rPr>
              <w:t>偏差原因：2024年年初预算业务运行经费做</w:t>
            </w:r>
            <w:r>
              <w:rPr>
                <w:rFonts w:hint="eastAsia" w:ascii="宋体" w:hAnsi="宋体"/>
                <w:sz w:val="16"/>
                <w:lang w:eastAsia="zh-CN"/>
              </w:rPr>
              <w:t>得</w:t>
            </w:r>
            <w:r>
              <w:rPr>
                <w:rFonts w:ascii="宋体" w:hAnsi="宋体" w:eastAsia="宋体"/>
                <w:sz w:val="16"/>
              </w:rPr>
              <w:t>不够细化、准确。改进措施：2025年预算更加细化指标，更加精准。</w:t>
            </w:r>
          </w:p>
        </w:tc>
      </w:tr>
      <w:tr w14:paraId="06B9D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A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81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7B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7780">
            <w:pPr>
              <w:jc w:val="center"/>
            </w:pPr>
            <w:r>
              <w:rPr>
                <w:rFonts w:ascii="宋体" w:hAnsi="宋体" w:eastAsia="宋体"/>
                <w:sz w:val="16"/>
              </w:rPr>
              <w:t>公务接待费用（万元）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8C4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CE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7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9D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9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4A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6985">
            <w:pPr>
              <w:jc w:val="center"/>
            </w:pPr>
            <w:r>
              <w:rPr>
                <w:rFonts w:ascii="宋体" w:hAnsi="宋体" w:eastAsia="宋体"/>
                <w:sz w:val="16"/>
              </w:rPr>
              <w:t>=3.23万元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B066">
            <w:pPr>
              <w:jc w:val="center"/>
            </w:pPr>
            <w:r>
              <w:rPr>
                <w:rFonts w:ascii="宋体" w:hAnsi="宋体" w:eastAsia="宋体"/>
                <w:sz w:val="16"/>
              </w:rPr>
              <w:t>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E4F05">
            <w:pPr>
              <w:jc w:val="center"/>
            </w:pPr>
            <w:r>
              <w:rPr>
                <w:rFonts w:ascii="宋体" w:hAnsi="宋体" w:eastAsia="宋体"/>
                <w:sz w:val="16"/>
              </w:rPr>
              <w:t>偏差原因：2024年年初预算业务运行经费做</w:t>
            </w:r>
            <w:r>
              <w:rPr>
                <w:rFonts w:hint="eastAsia" w:ascii="宋体" w:hAnsi="宋体"/>
                <w:sz w:val="16"/>
                <w:lang w:eastAsia="zh-CN"/>
              </w:rPr>
              <w:t>得</w:t>
            </w:r>
            <w:r>
              <w:rPr>
                <w:rFonts w:ascii="宋体" w:hAnsi="宋体" w:eastAsia="宋体"/>
                <w:sz w:val="16"/>
              </w:rPr>
              <w:t>不够细化、准确。改进措施：2025年预算更加细化指标，更加精准。</w:t>
            </w:r>
          </w:p>
        </w:tc>
      </w:tr>
      <w:tr w14:paraId="4A1DB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9F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F5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44D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D302">
            <w:pPr>
              <w:jc w:val="center"/>
            </w:pPr>
            <w:r>
              <w:rPr>
                <w:rFonts w:ascii="宋体" w:hAnsi="宋体" w:eastAsia="宋体"/>
                <w:sz w:val="16"/>
              </w:rPr>
              <w:t>公务用车运行维护费（万元）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DF4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AA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A2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46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E5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22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EB67">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7ACE">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FBEB7">
            <w:pPr>
              <w:jc w:val="center"/>
            </w:pPr>
            <w:r>
              <w:rPr>
                <w:rFonts w:ascii="宋体" w:hAnsi="宋体" w:eastAsia="宋体"/>
                <w:sz w:val="16"/>
              </w:rPr>
              <w:t>偏差原因：2024年年初预算业务运行经费做</w:t>
            </w:r>
            <w:r>
              <w:rPr>
                <w:rFonts w:hint="eastAsia" w:ascii="宋体" w:hAnsi="宋体"/>
                <w:sz w:val="16"/>
                <w:lang w:eastAsia="zh-CN"/>
              </w:rPr>
              <w:t>得</w:t>
            </w:r>
            <w:r>
              <w:rPr>
                <w:rFonts w:ascii="宋体" w:hAnsi="宋体" w:eastAsia="宋体"/>
                <w:sz w:val="16"/>
              </w:rPr>
              <w:t>不够细化、准确。改进措施：2025年预算更加细化指标，更加精准。</w:t>
            </w:r>
          </w:p>
        </w:tc>
      </w:tr>
      <w:tr w14:paraId="635AB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C4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D3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04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16B8">
            <w:pPr>
              <w:jc w:val="center"/>
            </w:pPr>
            <w:r>
              <w:rPr>
                <w:rFonts w:ascii="宋体" w:hAnsi="宋体" w:eastAsia="宋体"/>
                <w:sz w:val="16"/>
              </w:rPr>
              <w:t>购买办公用品及耗材费用（万元）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0EE5">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BF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00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33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7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E1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13A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65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2ACDC">
            <w:pPr>
              <w:jc w:val="center"/>
            </w:pPr>
          </w:p>
        </w:tc>
      </w:tr>
      <w:tr w14:paraId="11454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37E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BC69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FF0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0B9C">
            <w:pPr>
              <w:jc w:val="center"/>
            </w:pPr>
            <w:r>
              <w:rPr>
                <w:rFonts w:ascii="宋体" w:hAnsi="宋体" w:eastAsia="宋体"/>
                <w:sz w:val="16"/>
              </w:rPr>
              <w:t>确保统战工作顺利开展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58F2">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E4D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294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BC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86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DB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59453">
            <w:pPr>
              <w:jc w:val="center"/>
            </w:pPr>
            <w:r>
              <w:rPr>
                <w:rFonts w:ascii="宋体" w:hAnsi="宋体" w:eastAsia="宋体"/>
                <w:sz w:val="16"/>
              </w:rPr>
              <w:t>有效确保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D52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801E2">
            <w:pPr>
              <w:jc w:val="center"/>
            </w:pPr>
          </w:p>
        </w:tc>
      </w:tr>
      <w:tr w14:paraId="68A49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06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6E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454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08EE">
            <w:pPr>
              <w:jc w:val="center"/>
            </w:pPr>
            <w:r>
              <w:rPr>
                <w:rFonts w:ascii="宋体" w:hAnsi="宋体" w:eastAsia="宋体"/>
                <w:sz w:val="16"/>
              </w:rPr>
              <w:t>维护社会稳定和长治久安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7F71">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C50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5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31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B4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5A6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887D">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DA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E0A01">
            <w:pPr>
              <w:jc w:val="center"/>
            </w:pPr>
          </w:p>
        </w:tc>
      </w:tr>
      <w:tr w14:paraId="6F1A5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EE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A4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EA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0D0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20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4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19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94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847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0D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A7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C2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284A0">
            <w:pPr>
              <w:jc w:val="center"/>
            </w:pPr>
          </w:p>
        </w:tc>
      </w:tr>
      <w:tr w14:paraId="3296E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56E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A41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E9C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7E6942">
            <w:pPr>
              <w:jc w:val="center"/>
            </w:pPr>
            <w:r>
              <w:rPr>
                <w:rFonts w:ascii="宋体" w:hAnsi="宋体" w:eastAsia="宋体"/>
                <w:sz w:val="16"/>
              </w:rPr>
              <w:t>95.75分</w:t>
            </w:r>
          </w:p>
        </w:tc>
      </w:tr>
    </w:tbl>
    <w:p w14:paraId="324F9A8C">
      <w:r>
        <w:br w:type="page"/>
      </w:r>
    </w:p>
    <w:p w14:paraId="6B5A4D89">
      <w:pPr>
        <w:spacing w:line="640" w:lineRule="exact"/>
        <w:ind w:firstLine="640"/>
        <w:jc w:val="both"/>
        <w:outlineLvl w:val="2"/>
      </w:pPr>
      <w:r>
        <w:rPr>
          <w:rFonts w:ascii="黑体" w:hAnsi="黑体" w:eastAsia="黑体"/>
          <w:sz w:val="32"/>
        </w:rPr>
        <w:t>十二、其他需说明的事项</w:t>
      </w:r>
    </w:p>
    <w:p w14:paraId="52756DE9">
      <w:pPr>
        <w:spacing w:line="580" w:lineRule="exact"/>
        <w:ind w:firstLine="640"/>
        <w:jc w:val="both"/>
      </w:pPr>
      <w:r>
        <w:rPr>
          <w:rFonts w:ascii="仿宋_GB2312" w:hAnsi="仿宋_GB2312" w:eastAsia="仿宋_GB2312"/>
          <w:b w:val="0"/>
          <w:sz w:val="32"/>
        </w:rPr>
        <w:t>本年度本单位整体绩效自评表不予公开。</w:t>
      </w:r>
    </w:p>
    <w:p w14:paraId="462A42AE">
      <w:pPr>
        <w:spacing w:line="580" w:lineRule="exact"/>
        <w:ind w:firstLine="640"/>
        <w:jc w:val="both"/>
      </w:pPr>
      <w:r>
        <w:rPr>
          <w:rFonts w:ascii="仿宋_GB2312" w:hAnsi="仿宋_GB2312" w:eastAsia="仿宋_GB2312"/>
          <w:b w:val="0"/>
          <w:sz w:val="32"/>
        </w:rPr>
        <w:t>本年本单位SM项目2个，全年预算数为86.96万元，全年执行数为49.87万元。</w:t>
      </w:r>
    </w:p>
    <w:p w14:paraId="077677AF">
      <w:r>
        <w:br w:type="page"/>
      </w:r>
    </w:p>
    <w:p w14:paraId="7824085E">
      <w:pPr>
        <w:spacing w:line="240" w:lineRule="auto"/>
        <w:jc w:val="center"/>
        <w:outlineLvl w:val="1"/>
      </w:pPr>
      <w:r>
        <w:rPr>
          <w:rFonts w:ascii="黑体" w:hAnsi="黑体" w:eastAsia="黑体"/>
          <w:sz w:val="32"/>
        </w:rPr>
        <w:t>第三部分 专业名词解释</w:t>
      </w:r>
    </w:p>
    <w:p w14:paraId="0F27DEE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509D3A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285AF8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12834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0FF0DA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E24F8F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D30A78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28592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0C280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FBA05E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05F12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838D6B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1DF89C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94E4D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2030723">
      <w:r>
        <w:br w:type="page"/>
      </w:r>
    </w:p>
    <w:p w14:paraId="4E8EF92A">
      <w:pPr>
        <w:spacing w:line="240" w:lineRule="auto"/>
        <w:jc w:val="center"/>
        <w:outlineLvl w:val="1"/>
      </w:pPr>
      <w:r>
        <w:rPr>
          <w:rFonts w:ascii="黑体" w:hAnsi="黑体" w:eastAsia="黑体"/>
          <w:sz w:val="32"/>
        </w:rPr>
        <w:t>第四部分 部门决算报表（见附表）</w:t>
      </w:r>
    </w:p>
    <w:p w14:paraId="7EE0F66F">
      <w:pPr>
        <w:spacing w:line="240" w:lineRule="auto"/>
        <w:ind w:firstLine="640"/>
        <w:jc w:val="both"/>
      </w:pPr>
      <w:r>
        <w:rPr>
          <w:rFonts w:ascii="仿宋_GB2312" w:hAnsi="仿宋_GB2312" w:eastAsia="仿宋_GB2312"/>
          <w:b w:val="0"/>
          <w:sz w:val="32"/>
        </w:rPr>
        <w:t>一、《收入支出决算总表》</w:t>
      </w:r>
    </w:p>
    <w:p w14:paraId="19363980">
      <w:pPr>
        <w:spacing w:line="240" w:lineRule="auto"/>
        <w:ind w:firstLine="640"/>
        <w:jc w:val="both"/>
      </w:pPr>
      <w:r>
        <w:rPr>
          <w:rFonts w:ascii="仿宋_GB2312" w:hAnsi="仿宋_GB2312" w:eastAsia="仿宋_GB2312"/>
          <w:b w:val="0"/>
          <w:sz w:val="32"/>
        </w:rPr>
        <w:t>二、《收入决算表》</w:t>
      </w:r>
    </w:p>
    <w:p w14:paraId="1258E30C">
      <w:pPr>
        <w:spacing w:line="240" w:lineRule="auto"/>
        <w:ind w:firstLine="640"/>
        <w:jc w:val="both"/>
      </w:pPr>
      <w:r>
        <w:rPr>
          <w:rFonts w:ascii="仿宋_GB2312" w:hAnsi="仿宋_GB2312" w:eastAsia="仿宋_GB2312"/>
          <w:b w:val="0"/>
          <w:sz w:val="32"/>
        </w:rPr>
        <w:t>三、《支出决算表》</w:t>
      </w:r>
    </w:p>
    <w:p w14:paraId="0181574D">
      <w:pPr>
        <w:spacing w:line="240" w:lineRule="auto"/>
        <w:ind w:firstLine="640"/>
        <w:jc w:val="both"/>
      </w:pPr>
      <w:r>
        <w:rPr>
          <w:rFonts w:ascii="仿宋_GB2312" w:hAnsi="仿宋_GB2312" w:eastAsia="仿宋_GB2312"/>
          <w:b w:val="0"/>
          <w:sz w:val="32"/>
        </w:rPr>
        <w:t>四、《财政拨款收入支出决算总表》</w:t>
      </w:r>
    </w:p>
    <w:p w14:paraId="2C324832">
      <w:pPr>
        <w:spacing w:line="240" w:lineRule="auto"/>
        <w:ind w:firstLine="640"/>
        <w:jc w:val="both"/>
      </w:pPr>
      <w:r>
        <w:rPr>
          <w:rFonts w:ascii="仿宋_GB2312" w:hAnsi="仿宋_GB2312" w:eastAsia="仿宋_GB2312"/>
          <w:b w:val="0"/>
          <w:sz w:val="32"/>
        </w:rPr>
        <w:t>五、《一般公共预算财政拨款支出决算表》</w:t>
      </w:r>
    </w:p>
    <w:p w14:paraId="09C4E648">
      <w:pPr>
        <w:spacing w:line="240" w:lineRule="auto"/>
        <w:ind w:firstLine="640"/>
        <w:jc w:val="both"/>
      </w:pPr>
      <w:r>
        <w:rPr>
          <w:rFonts w:ascii="仿宋_GB2312" w:hAnsi="仿宋_GB2312" w:eastAsia="仿宋_GB2312"/>
          <w:b w:val="0"/>
          <w:sz w:val="32"/>
        </w:rPr>
        <w:t>六、《一般公共预算财政拨款基本支出决算表》</w:t>
      </w:r>
    </w:p>
    <w:p w14:paraId="0196BC35">
      <w:pPr>
        <w:spacing w:line="240" w:lineRule="auto"/>
        <w:ind w:firstLine="640"/>
        <w:jc w:val="both"/>
      </w:pPr>
      <w:r>
        <w:rPr>
          <w:rFonts w:ascii="仿宋_GB2312" w:hAnsi="仿宋_GB2312" w:eastAsia="仿宋_GB2312"/>
          <w:b w:val="0"/>
          <w:sz w:val="32"/>
        </w:rPr>
        <w:t>七、《政府性基金预算财政拨款收入支出决算表》</w:t>
      </w:r>
    </w:p>
    <w:p w14:paraId="736E1063">
      <w:pPr>
        <w:spacing w:line="240" w:lineRule="auto"/>
        <w:ind w:firstLine="640"/>
        <w:jc w:val="both"/>
      </w:pPr>
      <w:r>
        <w:rPr>
          <w:rFonts w:ascii="仿宋_GB2312" w:hAnsi="仿宋_GB2312" w:eastAsia="仿宋_GB2312"/>
          <w:b w:val="0"/>
          <w:sz w:val="32"/>
        </w:rPr>
        <w:t>八、《国有资本经营预算财政拨款收入支出决算表》</w:t>
      </w:r>
    </w:p>
    <w:p w14:paraId="33CA9767">
      <w:pPr>
        <w:spacing w:line="240" w:lineRule="auto"/>
        <w:ind w:firstLine="640"/>
        <w:jc w:val="both"/>
      </w:pPr>
      <w:r>
        <w:rPr>
          <w:rFonts w:ascii="仿宋_GB2312" w:hAnsi="仿宋_GB2312" w:eastAsia="仿宋_GB2312"/>
          <w:b w:val="0"/>
          <w:sz w:val="32"/>
        </w:rPr>
        <w:t>九、《财政拨款“三公”经费支出决算表》</w:t>
      </w:r>
    </w:p>
    <w:p w14:paraId="02D5451F">
      <w:pPr>
        <w:spacing w:line="240" w:lineRule="auto"/>
        <w:ind w:firstLine="640"/>
        <w:jc w:val="both"/>
      </w:pPr>
    </w:p>
    <w:p w14:paraId="064F28BA">
      <w:pPr>
        <w:spacing w:line="240" w:lineRule="auto"/>
        <w:ind w:firstLine="640"/>
        <w:jc w:val="both"/>
      </w:pPr>
    </w:p>
    <w:p w14:paraId="6F076B5C">
      <w:pPr>
        <w:spacing w:line="240" w:lineRule="auto"/>
        <w:ind w:firstLine="640"/>
        <w:jc w:val="both"/>
      </w:pPr>
    </w:p>
    <w:p w14:paraId="127626D9">
      <w:pPr>
        <w:spacing w:line="240" w:lineRule="auto"/>
        <w:ind w:firstLine="640"/>
        <w:jc w:val="both"/>
      </w:pPr>
    </w:p>
    <w:p w14:paraId="3B20695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5714C2"/>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2B44AB"/>
    <w:rsid w:val="62DD7D21"/>
    <w:rsid w:val="65D97752"/>
    <w:rsid w:val="664C500C"/>
    <w:rsid w:val="67D111AB"/>
    <w:rsid w:val="688B1EDE"/>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5667</Words>
  <Characters>6307</Characters>
  <Lines>0</Lines>
  <Paragraphs>0</Paragraphs>
  <TotalTime>3</TotalTime>
  <ScaleCrop>false</ScaleCrop>
  <LinksUpToDate>false</LinksUpToDate>
  <CharactersWithSpaces>6315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