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16050A"/>
    <w:p w14:paraId="32649DD6">
      <w:pPr>
        <w:spacing w:line="570" w:lineRule="exact"/>
        <w:jc w:val="center"/>
        <w:rPr>
          <w:rFonts w:ascii="华文中宋" w:hAnsi="华文中宋" w:eastAsia="华文中宋" w:cs="宋体"/>
          <w:b/>
          <w:kern w:val="0"/>
          <w:sz w:val="52"/>
          <w:szCs w:val="52"/>
        </w:rPr>
      </w:pPr>
    </w:p>
    <w:p w14:paraId="46614691">
      <w:pPr>
        <w:spacing w:line="570" w:lineRule="exact"/>
        <w:jc w:val="center"/>
        <w:rPr>
          <w:rFonts w:ascii="华文中宋" w:hAnsi="华文中宋" w:eastAsia="华文中宋" w:cs="宋体"/>
          <w:b/>
          <w:kern w:val="0"/>
          <w:sz w:val="52"/>
          <w:szCs w:val="52"/>
        </w:rPr>
      </w:pPr>
    </w:p>
    <w:p w14:paraId="33BE0DDF">
      <w:pPr>
        <w:spacing w:line="570" w:lineRule="exact"/>
        <w:jc w:val="center"/>
        <w:rPr>
          <w:rFonts w:ascii="华文中宋" w:hAnsi="华文中宋" w:eastAsia="华文中宋" w:cs="宋体"/>
          <w:b/>
          <w:kern w:val="0"/>
          <w:sz w:val="52"/>
          <w:szCs w:val="52"/>
        </w:rPr>
      </w:pPr>
    </w:p>
    <w:p w14:paraId="5705B5F9">
      <w:pPr>
        <w:spacing w:line="570" w:lineRule="exact"/>
        <w:jc w:val="center"/>
        <w:rPr>
          <w:rFonts w:ascii="华文中宋" w:hAnsi="华文中宋" w:eastAsia="华文中宋" w:cs="宋体"/>
          <w:b/>
          <w:kern w:val="0"/>
          <w:sz w:val="52"/>
          <w:szCs w:val="52"/>
        </w:rPr>
      </w:pPr>
    </w:p>
    <w:p w14:paraId="39C96853">
      <w:pPr>
        <w:spacing w:line="570" w:lineRule="exact"/>
        <w:jc w:val="both"/>
        <w:rPr>
          <w:rFonts w:ascii="华文中宋" w:hAnsi="华文中宋" w:eastAsia="华文中宋" w:cs="宋体"/>
          <w:b/>
          <w:kern w:val="0"/>
          <w:sz w:val="52"/>
          <w:szCs w:val="52"/>
        </w:rPr>
      </w:pPr>
    </w:p>
    <w:p w14:paraId="39040AFB">
      <w:pPr>
        <w:spacing w:line="570" w:lineRule="exact"/>
        <w:jc w:val="center"/>
        <w:rPr>
          <w:rFonts w:ascii="华文中宋" w:hAnsi="华文中宋" w:eastAsia="华文中宋" w:cs="宋体"/>
          <w:b/>
          <w:kern w:val="0"/>
          <w:sz w:val="52"/>
          <w:szCs w:val="52"/>
        </w:rPr>
      </w:pPr>
    </w:p>
    <w:p w14:paraId="7E42D806">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3F3E94E3">
      <w:pPr>
        <w:spacing w:line="570" w:lineRule="exact"/>
        <w:jc w:val="center"/>
        <w:rPr>
          <w:rFonts w:ascii="华文中宋" w:hAnsi="华文中宋" w:eastAsia="华文中宋" w:cs="宋体"/>
          <w:b/>
          <w:kern w:val="0"/>
          <w:sz w:val="52"/>
          <w:szCs w:val="52"/>
        </w:rPr>
      </w:pPr>
    </w:p>
    <w:p w14:paraId="4E439F51">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108E2F83">
      <w:pPr>
        <w:spacing w:line="570" w:lineRule="exact"/>
        <w:jc w:val="center"/>
        <w:rPr>
          <w:rFonts w:hAnsi="宋体" w:eastAsia="仿宋_GB2312" w:cs="宋体"/>
          <w:kern w:val="0"/>
          <w:sz w:val="30"/>
          <w:szCs w:val="30"/>
        </w:rPr>
      </w:pPr>
    </w:p>
    <w:p w14:paraId="3A85F4CA">
      <w:pPr>
        <w:spacing w:line="570" w:lineRule="exact"/>
        <w:jc w:val="center"/>
        <w:rPr>
          <w:rFonts w:hAnsi="宋体" w:eastAsia="仿宋_GB2312" w:cs="宋体"/>
          <w:kern w:val="0"/>
          <w:sz w:val="30"/>
          <w:szCs w:val="30"/>
        </w:rPr>
      </w:pPr>
    </w:p>
    <w:p w14:paraId="1C9700DE">
      <w:pPr>
        <w:spacing w:line="570" w:lineRule="exact"/>
        <w:jc w:val="center"/>
        <w:rPr>
          <w:rFonts w:hAnsi="宋体" w:eastAsia="仿宋_GB2312" w:cs="宋体"/>
          <w:kern w:val="0"/>
          <w:sz w:val="30"/>
          <w:szCs w:val="30"/>
        </w:rPr>
      </w:pPr>
    </w:p>
    <w:p w14:paraId="05392470">
      <w:pPr>
        <w:spacing w:line="570" w:lineRule="exact"/>
        <w:jc w:val="center"/>
        <w:rPr>
          <w:rFonts w:hAnsi="宋体" w:eastAsia="仿宋_GB2312" w:cs="宋体"/>
          <w:kern w:val="0"/>
          <w:sz w:val="30"/>
          <w:szCs w:val="30"/>
        </w:rPr>
      </w:pPr>
    </w:p>
    <w:p w14:paraId="2AB3C5B0">
      <w:pPr>
        <w:spacing w:line="570" w:lineRule="exact"/>
        <w:jc w:val="center"/>
        <w:rPr>
          <w:rFonts w:hAnsi="宋体" w:eastAsia="仿宋_GB2312" w:cs="宋体"/>
          <w:kern w:val="0"/>
          <w:sz w:val="30"/>
          <w:szCs w:val="30"/>
        </w:rPr>
      </w:pPr>
    </w:p>
    <w:p w14:paraId="196105E2">
      <w:pPr>
        <w:spacing w:line="570" w:lineRule="exact"/>
        <w:jc w:val="center"/>
        <w:rPr>
          <w:rFonts w:hAnsi="宋体" w:eastAsia="仿宋_GB2312" w:cs="宋体"/>
          <w:kern w:val="0"/>
          <w:sz w:val="30"/>
          <w:szCs w:val="30"/>
        </w:rPr>
      </w:pPr>
    </w:p>
    <w:p w14:paraId="0A044601">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9"/>
          <w:rFonts w:hint="eastAsia" w:ascii="仿宋" w:hAnsi="仿宋" w:eastAsia="仿宋" w:cs="仿宋"/>
          <w:b w:val="0"/>
          <w:bCs w:val="0"/>
          <w:spacing w:val="-4"/>
          <w:sz w:val="32"/>
          <w:szCs w:val="32"/>
        </w:rPr>
        <w:t>改善普通高中学校办学条件资金项目</w:t>
      </w:r>
    </w:p>
    <w:p w14:paraId="356DF956">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9"/>
          <w:rFonts w:hint="eastAsia" w:ascii="仿宋" w:hAnsi="仿宋" w:eastAsia="仿宋" w:cs="仿宋"/>
          <w:b w:val="0"/>
          <w:bCs w:val="0"/>
          <w:spacing w:val="-4"/>
          <w:sz w:val="32"/>
          <w:szCs w:val="32"/>
        </w:rPr>
        <w:t>克孜勒苏柯尔克孜自治州第二中学</w:t>
      </w:r>
    </w:p>
    <w:p w14:paraId="48FA6492">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9"/>
          <w:rFonts w:hint="eastAsia" w:ascii="仿宋" w:hAnsi="仿宋" w:eastAsia="仿宋" w:cs="仿宋"/>
          <w:b w:val="0"/>
          <w:bCs w:val="0"/>
          <w:spacing w:val="-4"/>
          <w:sz w:val="32"/>
          <w:szCs w:val="32"/>
        </w:rPr>
        <w:t>克孜勒苏柯尔克孜自治州</w:t>
      </w:r>
      <w:bookmarkStart w:id="0" w:name="_GoBack"/>
      <w:bookmarkEnd w:id="0"/>
      <w:r>
        <w:rPr>
          <w:rStyle w:val="19"/>
          <w:rFonts w:hint="eastAsia" w:ascii="仿宋" w:hAnsi="仿宋" w:eastAsia="仿宋" w:cs="仿宋"/>
          <w:b w:val="0"/>
          <w:bCs w:val="0"/>
          <w:spacing w:val="-4"/>
          <w:sz w:val="32"/>
          <w:szCs w:val="32"/>
        </w:rPr>
        <w:t>教育局</w:t>
      </w:r>
    </w:p>
    <w:p w14:paraId="6B40456F">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9"/>
          <w:rFonts w:hint="eastAsia" w:ascii="仿宋" w:hAnsi="仿宋" w:eastAsia="仿宋" w:cs="仿宋"/>
          <w:b w:val="0"/>
          <w:bCs w:val="0"/>
          <w:spacing w:val="-4"/>
          <w:sz w:val="32"/>
          <w:szCs w:val="32"/>
        </w:rPr>
        <w:t>黄昌红</w:t>
      </w:r>
    </w:p>
    <w:p w14:paraId="6D445CAD">
      <w:pPr>
        <w:spacing w:line="540" w:lineRule="exact"/>
        <w:ind w:firstLine="360" w:firstLineChars="100"/>
        <w:rPr>
          <w:rStyle w:val="19"/>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9"/>
          <w:rFonts w:hint="eastAsia" w:ascii="仿宋" w:hAnsi="仿宋" w:eastAsia="仿宋" w:cs="仿宋"/>
          <w:b w:val="0"/>
          <w:bCs w:val="0"/>
          <w:spacing w:val="-4"/>
          <w:sz w:val="32"/>
          <w:szCs w:val="32"/>
        </w:rPr>
        <w:t>2025年04月22日</w:t>
      </w:r>
    </w:p>
    <w:p w14:paraId="7868BEAB">
      <w:pPr>
        <w:rPr>
          <w:rStyle w:val="19"/>
          <w:rFonts w:hint="eastAsia" w:ascii="仿宋" w:hAnsi="仿宋" w:eastAsia="仿宋" w:cs="仿宋"/>
          <w:b w:val="0"/>
          <w:bCs w:val="0"/>
          <w:spacing w:val="-4"/>
          <w:sz w:val="32"/>
          <w:szCs w:val="32"/>
        </w:rPr>
      </w:pPr>
      <w:r>
        <w:br w:type="page"/>
      </w:r>
    </w:p>
    <w:p w14:paraId="021C7A35">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一、基本情况</w:t>
      </w:r>
    </w:p>
    <w:p w14:paraId="465581F7">
      <w:pPr>
        <w:spacing w:line="570" w:lineRule="exact"/>
        <w:ind w:firstLine="627" w:firstLineChars="200"/>
        <w:rPr>
          <w:rStyle w:val="19"/>
          <w:rFonts w:ascii="方正楷体_GBK" w:hAnsi="方正楷体_GBK" w:eastAsia="方正楷体_GBK" w:cs="方正楷体_GBK"/>
          <w:bCs w:val="0"/>
          <w:spacing w:val="-4"/>
          <w:sz w:val="32"/>
          <w:szCs w:val="32"/>
        </w:rPr>
      </w:pPr>
      <w:r>
        <w:rPr>
          <w:rStyle w:val="19"/>
          <w:rFonts w:hint="eastAsia" w:ascii="楷体" w:hAnsi="楷体" w:eastAsia="楷体" w:cs="楷体"/>
          <w:bCs w:val="0"/>
          <w:spacing w:val="-4"/>
          <w:sz w:val="32"/>
          <w:szCs w:val="32"/>
        </w:rPr>
        <w:t>（一）项目概况。包括项目背景、主要内容及实施情况、资金投入和使用情况等。</w:t>
      </w:r>
    </w:p>
    <w:p w14:paraId="4F8978DD">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1.项目背景</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改善普通高中学校办学条件补助资金项目实施前期、过程及效果，评价财政预算资金使用的效率及效益。根据《提前下达2024年中央改善普通高中学校办学条件补助资金预算，按程序拨付使用，请做好相应预算编制工作经费预算（中央直达资金）通知》（克财教〔2023〕47号）、《中共中央 国务院关于全面实施预算绩效管理的意见》《国务院办公厅关于印发教育领域中央与地方财政事权和支出责任划分改革方案的通知》，做好家庭经济困难学生认定工作，实现精准资助、应助尽助。</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2.主要内容及实施情况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（1）主要内容</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2024年中央直达资金800万元；2024年已经支出了795.094764万元结转4.905236万元。根据《提前下达2024年中央改善普通高中学校办学条件补助资金预算，按程序拨付使用，请做好相应预算编制工作经费预算（中央直达资金）通知》（克财教〔2023〕47号）、《中共中央 国务院关于全面实施预算绩效管理的意见》《国务院办公厅关于印发教育领域中央与地方财政事权和支出责任划分改革方案的通知》，做好家庭经济困难学生认定工作，实现精准资助、应助尽助。照全面落实绩效管理有关要求，随文下达改善普通高中学校办学条件补助资金项目区域绩效目标(见附件2)，请各单位随同预算资金同步填报绩效目标，同级财政部门加强绩效目标审核，并将绩效目标随同预算同步批复下达，作为绩效监控和评价的重要依据，确保绩效目标如期实现，切实提高财政资金使用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（2）实施情况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根据《提前下达2024年中央改善普通高中学校办学条件补助资金预算，按程序拨付使用，请做好相应预算编制工作经费预算（中央直达资金）通知》（克财教〔2023〕47号）宣传国家相关政策及法律法规，维护社会稳定和长治久安，从而提高学校教育质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3.项目实施主体</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该项目由克孜勒苏柯尔克孜自治州第二中学单位实施，内设13个科室，分别是：办公室，教务处，教研室，政教处，总务处，工会，团委，保安处，资源管理中心，资助管理中心，人事处，党建办，财务科。。主要职能是教育教学、人才培养、文化传承与创新、社会服务、帅选与分层、促进个体社会化。</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编制人数329名人，，实有人员329人增加71人，退休人员91人，在职转退休4人，辞职3人，调走1人，变动情况及原因为本年度新增13人事业编。</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4.资金投入和使用情况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（1）项目资金安排落实、总投入等情况分析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提前下达2024年中央改善普通高中学校办学条件补助资金本年度安排下达资金800万元，为学校办学资金，最终确定项目资金总数为800万元。其中：中央财政拨款800万元，自治区财政拨款0万元，本级财政拨款0万元，上年结余0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（2）项目资金实际使用情况分析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截至2024年12月31日，改善普通高中学校办学条件补助资金项目，实际支出795.10万元，预算执行率99.40%。主要用于通过实行该政策，校园基础办学能力提升项目1、附属设施建设(学校室外篮球场，篮球场改造东。2、学生心理咨询室;教育教学信息化设备:教育教学巡查反馈系统3、教育教学仪器设施设备、配置学生阅读书籍6万册。</w:t>
      </w:r>
    </w:p>
    <w:p w14:paraId="693BE45C">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（二）项目绩效目标。包括总体目标和阶段性目标。</w:t>
      </w:r>
    </w:p>
    <w:p w14:paraId="4035670F">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1.项目绩效总目标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2024年中央直达资金800万元；2024年已经支出了795.094764万元结转4.905236万元。照全面落实绩效管理有关要求，随文下达改善普通高中学校办学条件补助资金项目区域绩效目标(见附件2)，请各单位随同预算资金同步填报绩效目标，同级财政部门加强绩效目标审核，并将绩效目标随同预算同步批复下达，作为绩效监控和评价的重要依据，确保绩效目标如期实现，切实提高财政资金使用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2.阶段性目标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（1）项目产出目标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①数量指标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“篮球场改造次数”指标，预期指标值为≥1次；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“在校学生人数”指标，预期指标值为=1728人；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“教学仪器购买次数”指标，预期指标值为≥2人；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“图书批次”指标，预期指标值为≥1批；</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②质量指标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“篮球场改造验收合格率”指标，预期指标值为＝100%%；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“教学仪器验收合格率”指标，预期指标值为＝100%%；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“图书验收合格率”指标，预期指标值为＝100%%；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③时效指标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“篮球场改造及时率”指标，预期指标值为=100%。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“教学仪器及时率”指标，预期指标值为=100%。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（2）项目成本指标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①经济成本指标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“篮球改造金额”指标，预期指标值为≤150万元；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“教学仪器金额”指标，预期指标值为≤481万元；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“图书金额”指标，预期指标值为≤169万元。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（3）项目效益指标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①经济效益指标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无此类指标。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②社会效益指标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“保障学校教育活动经常运行”指标，预期指标值为有效提升；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③生态效益指标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无此类指标。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（4）相关满意度指标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①满意度指标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“学生和家长满意度（%）”指标，预期指标值为≥95%。</w:t>
      </w:r>
    </w:p>
    <w:p w14:paraId="2F3439DE">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二、绩效评价工作开展情况</w:t>
      </w:r>
    </w:p>
    <w:p w14:paraId="238088D7">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（一）绩效评价目的、对象</w:t>
      </w:r>
      <w:r>
        <w:rPr>
          <w:rStyle w:val="19"/>
          <w:rFonts w:hint="eastAsia" w:ascii="楷体" w:hAnsi="楷体" w:eastAsia="楷体" w:cs="楷体"/>
          <w:bCs w:val="0"/>
          <w:spacing w:val="-4"/>
          <w:sz w:val="32"/>
          <w:szCs w:val="32"/>
          <w:lang w:eastAsia="zh-CN"/>
        </w:rPr>
        <w:t>和</w:t>
      </w:r>
      <w:r>
        <w:rPr>
          <w:rStyle w:val="19"/>
          <w:rFonts w:hint="eastAsia" w:ascii="楷体" w:hAnsi="楷体" w:eastAsia="楷体" w:cs="楷体"/>
          <w:bCs w:val="0"/>
          <w:spacing w:val="-4"/>
          <w:sz w:val="32"/>
          <w:szCs w:val="32"/>
        </w:rPr>
        <w:t>范围。</w:t>
      </w:r>
    </w:p>
    <w:p w14:paraId="42AA824D">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1.绩效评价目的</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改善普通高中学校办学条件补助项目资金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2.绩效评价对象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3.绩效评价范围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00E6E9F2">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（二）绩效评价原则、评价指标体系（附表说明）、评价方法、评价标准等。</w:t>
      </w:r>
    </w:p>
    <w:p w14:paraId="185E3081">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1.绩效评价原则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改善普通高中学校办学条件补助项目资金进行绩效评价，旨在了解项目资金使用和项目管理情况、取得的成绩及效益，进而分析在政策执行、预算资金安排、项目实施等方面存在的问题并提出针对性建议。本次绩效评价遵循的原则包括：</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（1）科学公正。绩效评价应当运用科学合理的方法，按照规范的程序，对项目绩效进行客观、公正的反映。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（4）公开透明。绩效评价结果应依法依规公开，并自觉接受社会监督。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2.绩效评价指标体系</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一级指标为：决策、过程、产出、效益。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3.绩效评价方法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三级指标分析环节：总体采用比较法，同时辅以文献法、成本效益法、因素分析法以及公众评判法，根据不同三级指标类型进行逐项分析。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立项依据充分性：比较法、文献法，查找法律法规政策以及规划，对比实际执行内容和政策支持内容是否匹配。</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立项程序规范性：比较法、文献法，查找相关项目设立的政策和文件要求，对比分析实际执行程序是否按照政策及文件要求执行，分析立项程序的规范性。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绩效目标合理性：比较法，对比分析年初编制项目支出绩效目标表与项目内容的相关性、资金的匹配性等。</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绩效指标明确性：比较法，比较分析年初编制项目支出绩效目标表是否符合双七原则，是否可衡量。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预算编制科学性：成本效益分析法，分析在产出一定的情况下，成本取值是否有依据，是否经过询价，是否按照市场最低成本编制。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资金分配合理性：因素分析法，综合分析资金的分配依据是否充分，分配金额是否与项目实施单位需求金额一致，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资金到位率：比较法，资金到位率预期指标值应为100.0%，通过实际计算，分析实际完成值和预期指标值之间的差距和原因。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预算执行率：比较法，预算执行率预期指标值应为100.0%，通过实际计算，分析实际完成值和预期指标值之间的差距和原因。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资金使用合规性：文献法、实地勘察法，一是查找资金管理办法，包括专项资金管理办法和单位自有资金管理办法；二是通过查账了解具体开支情况，是否专款专用，是否按照标准支出。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管理制度健全性：文献法、比较法，查阅项目实施人员提供的财务和业务管理制度，将已建立的制度与现行的法律法规和政策要求进行对比，分析项目制度的合法性、合规性、完整性。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制度执行有效性：比较法，结合项目实际实施过程性文件，根据已建设的财务管理制度和项目管理制度综合分析制度执行的有效性。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定性指标：公众评判法，通过问卷及抽样调查等方式评价本项目实施后社会公众对于其实施效果的满意程度。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4.绩效评价标准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0A3984E5">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（三）绩效评价工作过程。</w:t>
      </w:r>
    </w:p>
    <w:p w14:paraId="5429C39F">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1.前期准备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吕君（评价小组组长）：主要负责绩效评价组织协调工作，上情下达，制定绩效评价目标及考核项目；</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黄昌红（评价小组组员）：主要负责对接项目承建单位经办人员，组织收集审核项目相关工程资料，审核项目相关文件、实施方案、招投标档案等资料；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杨鹏鸿、吐乎提汗（评价小组组员）：主要负责对接项目相关财务人员，负责收集查阅项目资金支付财务凭证相关附件资料，审核资金使用合规性、管理机制及操作流程。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阿曼古丽（评价小组组员）：主要负责记录整理绩效评价过程中存在问题，编制绩效评价目标初稿，撰写绩效评价相关文稿。</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2.组织实施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3.分析评价</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2025年3月10日-3月19日，评价小组按照绩效评价的原则和规范，对取得的资料进行审查核实，对采集的数据进行分析，按照绩效评价指标评分表逐项进行打分、分析、汇总各方评价结果。</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4.撰写与提交评价报告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2025年3月20日-3月30日，评价小组撰写绩效评价报告，按照新疆维吾尔自治区财政绩效管理信息系统绩效评价模块中统一格式和文本框架撰写绩效评价报告并提交审核。</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5.问题整改</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6.档案整理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781289C3">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三、综合评价情况及评价结论</w:t>
      </w:r>
    </w:p>
    <w:p w14:paraId="3C7CEECC">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（一）综合评价情况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评价组对照项目绩效评价指标体系，从决策、过程、产出和效益四个维度，通过数据采集、实地调研和问卷访谈等方式，对“改善普通高中学校办学条件补助资金项目绩效进行客观公正的评价，本项目总得分为99.94分，绩效评级属于“优”。其中，决策类指标得分20分，过程类指标得分19.97分，产出类指标得分39.97分，效益类指标得分20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（二）综合评价结论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经评价，本项目达到了年初设立的绩效目标，在实施过程中取得了良好的成效，具体表现在：2024年中央直达资金800万元；2024年已经支出了795.094764万元结转4.905236万元。照全面落实绩效管理有关要求，随文下达改善普通高中学校办学条件补助资金项目区域绩效目标(见附件2)，请各单位随同预算资金同步填报绩效目标，同级财政部门加强绩效目标审核，并将绩效目标随同预算同步批复下达，作为绩效监控和评价的重要依据，确保绩效目标如期实现，切实提高财政资金使用效益。</w:t>
      </w:r>
    </w:p>
    <w:p w14:paraId="1AA62440">
      <w:pPr>
        <w:spacing w:line="570" w:lineRule="exact"/>
        <w:ind w:firstLine="624" w:firstLineChars="200"/>
        <w:rPr>
          <w:rStyle w:val="19"/>
          <w:rFonts w:ascii="黑体" w:hAnsi="黑体" w:eastAsia="黑体" w:cs="黑体"/>
          <w:b w:val="0"/>
          <w:sz w:val="32"/>
          <w:szCs w:val="32"/>
        </w:rPr>
      </w:pPr>
      <w:r>
        <w:rPr>
          <w:rStyle w:val="19"/>
          <w:rFonts w:hint="eastAsia" w:ascii="黑体" w:hAnsi="黑体" w:eastAsia="黑体" w:cs="黑体"/>
          <w:b w:val="0"/>
          <w:spacing w:val="-4"/>
          <w:sz w:val="32"/>
          <w:szCs w:val="32"/>
        </w:rPr>
        <w:t xml:space="preserve">四、绩效评价指标分析 </w:t>
      </w:r>
    </w:p>
    <w:p w14:paraId="3099DF43">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5BA06BCF">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1.项目立项情况分析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立项依据充分性：根据《提前下达2024年中央改善普通高中学校办学条件补助资金预算，按程序拨付使用，请做好相应预算编制工作经费预算（中央直达资金）通知》（克财教〔2023〕47号），2024年度工作重点和工作计划制定经费预算，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立项程序规范性：根据决策依据编制工作计划和经费预算，经过与克孜勒苏柯尔克孜自治州实验中学财经领导小组进行沟通、筛选确定经费预算计划，上局务会研究确定最终预算方案，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2.绩效目标情况分析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（1）绩效目标合理性：制定了实施方案，明确了总体思路及目标、并对任务进行了详细分解，对目标进行了细化，根据评分标准，该指标不扣分，得3分。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（2）绩效指标明确性：将项目绩效目标细化分解为具体的绩效指标，根据评分标准，该指标不扣分，得2分。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3.资金投入情况分析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预算编制科学性：从2024年春季学期起，2024年中央改善普通高中学校办学条件补助资金预算，按程序拨付使用，请做好相应预算编制工作经费预算（中央直达资金）通知》（克财教〔2023〕47号）核定。实际完成内容与项目内容匹配，项目投资额与工作任务相匹配，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资金分配合理性：资金分配按照2024年中央直达资金800万元；2024年已经支出了795.094764万元结转4.905236万元。照全面落实绩效管理有关要求，随文下达改善普通高中学校办学条件补助资金项目区域绩效目标(见附件2)，请各单位随同预算资金同步填报绩效目标，同级财政部门加强绩效目标审核，并将绩效目标随同预算同步批复下达，作为绩效监控和评价的重要依据评分标准，该指标不扣分，得5分。</w:t>
      </w:r>
    </w:p>
    <w:p w14:paraId="4DD2AB4C">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33F8C8A4">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项目过程类指标包括资金管理和组织实施两方面的内容，由 5个三级指标构成，权重分为20分，实际得分19.97分，得分率为99.85%。</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1.资金管理情况分析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（1）资金到位率：该项目总投资800万元，中央直达资金实际下达经费800万元，上年结转资金0万元，财政资金足额拨付到位，根据评分标准，该指标不扣分，得5分。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（2）预算执行率：本项目申请预算金额为800万元，预算批复实际下达金额为 800万元截至 2024年 12 月 31日，资金执行800万元，资金执行率99.40%。项目资金支出总体能够按照预算执行，根据评分标准，该指标扣0.03分，得4.97分。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资金使用合规性：根据《提前下达2024年中央改善普通高中学校办学条件补助资金预算，按程序拨付使用，请做好相应预算编制工作经费预算（中央直达资金）通知》（克财教〔2023〕47号）符合预算批复规定用途，不存在截留、挤占、挪用、虚列支出等情况，未发现违规使用情况，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2.组织实施情况分析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管理制度健全性：该项目严格按照《克孜勒苏柯尔克孜自治州第二中学财务制度》及改善普通高中学校办学条件补助资金相关的制度和管理规定实施，对财政专项资金进行严格管理，基本做到了专款专用，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14:paraId="563F8DEB">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267BB7FF">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项目产出类指标包括产出数量、产出质量、产出时效、产出成本四方面的内容，由12个三级指标构成，权重分为40分，实际得分39.97分，得分率为99.93%。</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1.数量指标完成情况分析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篮球场改造次数1次，与预期目标一致，根据评分标准，该指标不扣分，得2.5分。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在校学生人数1728人，与预期目标一致，根据评分标准，该指标不扣分，得2.5分。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教学仪器购买次数2次，与预期目标一致，根据评分标准，该指标不扣分，得2.5分。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图书批次（批）1批，与预期目标一致，根据评分标准，该指标不扣分，得2.5分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2.质量指标完成情况分析：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篮球场改造验收合格率100%，与预期目标一致，根据评分标准，该指标不扣分，得3分。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教学仪器验收合格率100%，与预期目标一致，根据评分标准，该指标不扣分得3分。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图书验收合格率100%，与预期目标一致，根据评分标准，该指标不扣分得4分。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3.时效指标完成情况分析：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篮球场改造及时率100%，与预期目标指标一致，根据评分标准，该指标不扣分，得5分。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教学仪器及时率100%，与预期目标指标一致，根据评分标准，该指标不扣分，得5分。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4.成本指标完成情况分析：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篮球改造金额150万元，预算成本控制率100%，与预期目标一致，根据评分标准，该指标不扣分，得3分。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教学仪器金额476.10万元，预算成本控制率98.98%，与预期目标一致，根据评分标准，该指标扣0.03分，得2.97分。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图书金额169万元，预算成本控制率100%，与预期目标一致，根据评分标准，该指标不扣分，得4分。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合计得9.97分。</w:t>
      </w:r>
    </w:p>
    <w:p w14:paraId="17D65326">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58DD33EC">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项目效益类指标由2个二级指标和2个三级指标构成构成，权重分为20分，实际得分20分，得分率为100%。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1.经济效益完成情况分析：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本项目无该指标。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2.社会效益完成情况分析：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保障学校教学活动正常运行，与预期指标一致，根据评分标准，该指标不扣分，得10分。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3.生态效益完成情况分析：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本项目无该指标。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实施效益指标合计得10分。</w:t>
      </w:r>
    </w:p>
    <w:p w14:paraId="4945073A">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4.满意度指标完成情况：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对于满意度指标：学生和家长满意度95%，与预期目标一致，根据评分标准，该指标不扣分，得10分。</w:t>
      </w:r>
    </w:p>
    <w:p w14:paraId="6DF6C064">
      <w:pPr>
        <w:spacing w:line="570" w:lineRule="exact"/>
        <w:ind w:firstLine="624" w:firstLineChars="200"/>
        <w:rPr>
          <w:rStyle w:val="19"/>
          <w:rFonts w:hint="eastAsia" w:ascii="黑体" w:hAnsi="黑体" w:eastAsia="黑体" w:cs="黑体"/>
          <w:b w:val="0"/>
          <w:spacing w:val="-4"/>
          <w:sz w:val="32"/>
          <w:szCs w:val="32"/>
          <w:lang w:eastAsia="zh-CN"/>
        </w:rPr>
      </w:pPr>
      <w:r>
        <w:rPr>
          <w:rStyle w:val="19"/>
          <w:rFonts w:hint="eastAsia" w:ascii="黑体" w:hAnsi="黑体" w:eastAsia="黑体" w:cs="黑体"/>
          <w:b w:val="0"/>
          <w:spacing w:val="-4"/>
          <w:sz w:val="32"/>
          <w:szCs w:val="32"/>
        </w:rPr>
        <w:t>五、主要经验及做法、存在的问题及原因分析</w:t>
      </w:r>
    </w:p>
    <w:p w14:paraId="3095D09A">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（一）主要经验及做法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一是本项目能够严格按照《项目实施方案》执行，项目执行情况较好。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二是加强组织领导，本项目绩效评价工作，有县政府主要领导亲自挂帅，分管县领导具体负责，从项目到资金，均能后很好的执行。</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三是加强沟通协调，我单位及时向县领导汇报项目建设进度，加强与实施单位的沟通，确保项目按期完工。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（二）存在问题及原因分析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2D044FFA">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六、有关建议</w:t>
      </w:r>
    </w:p>
    <w:p w14:paraId="52E91B29">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1.建议充分落实绩效目标管理政策要求，提升绩效目标与项目实施内容的匹配度：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三是建议项目实施单位做好项目绩效跟踪监控工作，对实际开展工作与预期目标值产生较大偏差情况，应及时做好偏差原因分析和纠偏工作，不断提升绩效目标与项目实际工作的匹配度。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2.建议加强预算资金管理，严格落实项目申报、专家评审、确定项目后进行资金分配与资金拨付，规范资金拨付流程。</w:t>
      </w:r>
    </w:p>
    <w:p w14:paraId="04AEBDEB">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七、其他需要说明的问题</w:t>
      </w:r>
    </w:p>
    <w:p w14:paraId="64E472B0">
      <w:pPr>
        <w:spacing w:line="540" w:lineRule="exact"/>
        <w:ind w:firstLine="567"/>
        <w:rPr>
          <w:rStyle w:val="19"/>
          <w:rFonts w:ascii="仿宋" w:hAnsi="仿宋" w:eastAsia="仿宋"/>
          <w:b w:val="0"/>
          <w:spacing w:val="-4"/>
          <w:sz w:val="32"/>
          <w:szCs w:val="32"/>
        </w:rPr>
      </w:pPr>
      <w:r>
        <w:rPr>
          <w:rStyle w:val="19"/>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附件1：2024年春季学期起，2024年中央改善普通高中学校办学条件补助资金，绩效评价指标体系及评分标准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4290540-7D93-4F19-BB20-61030D7C079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EB9DB692-2D80-4959-8BE3-764BAD823163}"/>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embedRegular r:id="rId3" w:fontKey="{65C0E3CF-539A-4849-9594-4F4096D26438}"/>
  </w:font>
  <w:font w:name="方正小标宋_GBK">
    <w:panose1 w:val="02000000000000000000"/>
    <w:charset w:val="86"/>
    <w:family w:val="script"/>
    <w:pitch w:val="default"/>
    <w:sig w:usb0="A00002BF" w:usb1="38CF7CFA" w:usb2="00082016" w:usb3="00000000" w:csb0="00040001" w:csb1="00000000"/>
    <w:embedRegular r:id="rId4" w:fontKey="{175C9770-C549-4787-B093-9F44A548D1C7}"/>
  </w:font>
  <w:font w:name="仿宋_GB2312">
    <w:panose1 w:val="02010609030101010101"/>
    <w:charset w:val="86"/>
    <w:family w:val="modern"/>
    <w:pitch w:val="default"/>
    <w:sig w:usb0="00000001" w:usb1="080E0000" w:usb2="00000000" w:usb3="00000000" w:csb0="00040000" w:csb1="00000000"/>
    <w:embedRegular r:id="rId5" w:fontKey="{943C5FDD-0D6A-48B9-8A4C-102A75A59771}"/>
  </w:font>
  <w:font w:name="楷体">
    <w:panose1 w:val="02010609060101010101"/>
    <w:charset w:val="86"/>
    <w:family w:val="modern"/>
    <w:pitch w:val="default"/>
    <w:sig w:usb0="800002BF" w:usb1="38CF7CFA" w:usb2="00000016" w:usb3="00000000" w:csb0="00040001" w:csb1="00000000"/>
    <w:embedRegular r:id="rId6" w:fontKey="{74899448-959A-429C-B413-407B27CE04F9}"/>
  </w:font>
  <w:font w:name="方正仿宋_GBK">
    <w:panose1 w:val="02000000000000000000"/>
    <w:charset w:val="86"/>
    <w:family w:val="auto"/>
    <w:pitch w:val="default"/>
    <w:sig w:usb0="A00002BF" w:usb1="38CF7CFA" w:usb2="00082016" w:usb3="00000000" w:csb0="00040001" w:csb1="00000000"/>
    <w:embedRegular r:id="rId7" w:fontKey="{9342551F-0463-42F9-9436-171065286C01}"/>
  </w:font>
  <w:font w:name="仿宋">
    <w:panose1 w:val="02010609060101010101"/>
    <w:charset w:val="86"/>
    <w:family w:val="modern"/>
    <w:pitch w:val="default"/>
    <w:sig w:usb0="800002BF" w:usb1="38CF7CFA" w:usb2="00000016" w:usb3="00000000" w:csb0="00040001" w:csb1="00000000"/>
    <w:embedRegular r:id="rId8" w:fontKey="{716C66C2-D22E-4C81-BDB4-E7161A76F413}"/>
  </w:font>
  <w:font w:name="方正楷体_GBK">
    <w:altName w:val="微软雅黑"/>
    <w:panose1 w:val="00000000000000000000"/>
    <w:charset w:val="86"/>
    <w:family w:val="auto"/>
    <w:pitch w:val="default"/>
    <w:sig w:usb0="00000000" w:usb1="00000000" w:usb2="00000000" w:usb3="00000000" w:csb0="00040000" w:csb1="00000000"/>
    <w:embedRegular r:id="rId9" w:fontKey="{C9CC5E2D-41B6-4B54-960E-D88C7FDDECD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81EF439">
        <w:pPr>
          <w:pStyle w:val="12"/>
          <w:jc w:val="center"/>
        </w:pPr>
        <w:r>
          <w:fldChar w:fldCharType="begin"/>
        </w:r>
        <w:r>
          <w:instrText xml:space="preserve">PAGE   \* MERGEFORMAT</w:instrText>
        </w:r>
        <w:r>
          <w:fldChar w:fldCharType="separate"/>
        </w:r>
        <w:r>
          <w:rPr>
            <w:lang w:val="zh-CN"/>
          </w:rPr>
          <w:t>1</w:t>
        </w:r>
        <w:r>
          <w:fldChar w:fldCharType="end"/>
        </w:r>
      </w:p>
    </w:sdtContent>
  </w:sdt>
  <w:p w14:paraId="631136A3">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7B10D58"/>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Props1.xml><?xml version="1.0" encoding="utf-8"?>
<ds:datastoreItem xmlns:ds="http://schemas.openxmlformats.org/officeDocument/2006/customXml" ds:itemID="{e04648b7-7eb3-44e3-82da-e9037d11225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21</Pages>
  <Words>10329</Words>
  <Characters>10876</Characters>
  <Lines>5</Lines>
  <Paragraphs>1</Paragraphs>
  <TotalTime>0</TotalTime>
  <ScaleCrop>false</ScaleCrop>
  <LinksUpToDate>false</LinksUpToDate>
  <CharactersWithSpaces>11224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恺_xFF08_预算处_xFF09_</dc:creator>
  <cp:lastModifiedBy>白羊</cp:lastModifiedBy>
  <cp:lastPrinted>2018-12-31T10:56:00Z</cp:lastPrinted>
  <dcterms:modified xsi:type="dcterms:W3CDTF">2025-09-02T05:13:36Z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eyJoZGlkIjoiZTEwMTFjZmI3NWUwMGRmYWEyNzFiMzQ2OTlkZWE5ODAiLCJ1c2VySWQiOiI0MzE2NzY3NzkifQ==</vt:lpwstr>
  </property>
  <property fmtid="{D5CDD505-2E9C-101B-9397-08002B2CF9AE}" pid="4" name="ICV">
    <vt:lpwstr>F5250B687E3D478FA88CDE23C01CF068_12</vt:lpwstr>
  </property>
</Properties>
</file>