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BB39B8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克孜勒苏柯尔克孜自治州驻昌吉干休所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156097">
      <w:r>
        <w:br w:type="page"/>
      </w:r>
    </w:p>
    <w:p w14:paraId="3EC9A3B9">
      <w:pPr>
        <w:spacing w:line="640" w:lineRule="exact"/>
        <w:jc w:val="center"/>
        <w:outlineLvl w:val="1"/>
      </w:pPr>
      <w:r>
        <w:rPr>
          <w:rFonts w:ascii="黑体" w:hAnsi="黑体" w:eastAsia="黑体"/>
          <w:sz w:val="32"/>
        </w:rPr>
        <w:t>第一部分 单位概况</w:t>
      </w:r>
    </w:p>
    <w:p w14:paraId="143D990A">
      <w:pPr>
        <w:spacing w:line="640" w:lineRule="exact"/>
        <w:ind w:firstLine="640"/>
        <w:jc w:val="both"/>
        <w:outlineLvl w:val="2"/>
      </w:pPr>
      <w:r>
        <w:rPr>
          <w:rFonts w:ascii="黑体" w:hAnsi="黑体" w:eastAsia="黑体"/>
          <w:sz w:val="32"/>
        </w:rPr>
        <w:t>一、主要职能</w:t>
      </w:r>
    </w:p>
    <w:p w14:paraId="1A695BC6">
      <w:pPr>
        <w:spacing w:line="580" w:lineRule="exact"/>
        <w:ind w:firstLine="640"/>
        <w:jc w:val="both"/>
      </w:pPr>
      <w:r>
        <w:rPr>
          <w:rFonts w:ascii="仿宋_GB2312" w:hAnsi="仿宋_GB2312" w:eastAsia="仿宋_GB2312"/>
          <w:sz w:val="32"/>
        </w:rPr>
        <w:t>主要负责落实老干部的政治待遇，协助有关方面落实生活待遇；组织老干部开展各种有益身心健康的文化娱乐活动和体育健身活动，就近参观经济建设；负责解决老干部生活中的实际困难，及时向上级反映老干部的意见、建议和要求；负责干休所的安全保卫，环境卫生工作。</w:t>
      </w:r>
    </w:p>
    <w:p w14:paraId="532D43DD">
      <w:pPr>
        <w:spacing w:line="640" w:lineRule="exact"/>
        <w:ind w:firstLine="640"/>
        <w:jc w:val="both"/>
        <w:outlineLvl w:val="2"/>
      </w:pPr>
      <w:r>
        <w:rPr>
          <w:rFonts w:ascii="黑体" w:hAnsi="黑体" w:eastAsia="黑体"/>
          <w:sz w:val="32"/>
        </w:rPr>
        <w:t>二、机构设置及人员情况</w:t>
      </w:r>
    </w:p>
    <w:p w14:paraId="2453A66A">
      <w:pPr>
        <w:spacing w:line="580" w:lineRule="exact"/>
        <w:ind w:firstLine="640"/>
        <w:jc w:val="both"/>
      </w:pPr>
      <w:r>
        <w:rPr>
          <w:rFonts w:ascii="仿宋_GB2312" w:hAnsi="仿宋_GB2312" w:eastAsia="仿宋_GB2312"/>
          <w:sz w:val="32"/>
        </w:rPr>
        <w:t>克孜勒苏柯尔克孜自治州驻昌吉干休所2024年度，实有人数14人，其中：在职人员5人，增加0人；离休人员0人，增加0人；退休人员9人,增加0人。</w:t>
      </w:r>
    </w:p>
    <w:p w14:paraId="6E0C0710">
      <w:pPr>
        <w:spacing w:line="580" w:lineRule="exact"/>
        <w:ind w:firstLine="640"/>
        <w:jc w:val="both"/>
      </w:pPr>
      <w:r>
        <w:rPr>
          <w:rFonts w:ascii="仿宋_GB2312" w:hAnsi="仿宋_GB2312" w:eastAsia="仿宋_GB2312"/>
          <w:sz w:val="32"/>
        </w:rPr>
        <w:t>克孜勒苏柯尔克孜自治州驻昌吉干休所无下属预算单位，下设1个科室，分别是：办公室。</w:t>
      </w:r>
    </w:p>
    <w:p w14:paraId="6131306F">
      <w:r>
        <w:br w:type="page"/>
      </w:r>
    </w:p>
    <w:p w14:paraId="416417A3">
      <w:pPr>
        <w:spacing w:line="240" w:lineRule="auto"/>
        <w:jc w:val="center"/>
        <w:outlineLvl w:val="1"/>
      </w:pPr>
      <w:r>
        <w:rPr>
          <w:rFonts w:ascii="黑体" w:hAnsi="黑体" w:eastAsia="黑体"/>
          <w:sz w:val="32"/>
        </w:rPr>
        <w:t>第二部分 部门决算情况说明</w:t>
      </w:r>
    </w:p>
    <w:p w14:paraId="18DAFA31">
      <w:pPr>
        <w:spacing w:line="640" w:lineRule="exact"/>
        <w:ind w:firstLine="640"/>
        <w:jc w:val="both"/>
        <w:outlineLvl w:val="2"/>
      </w:pPr>
      <w:r>
        <w:rPr>
          <w:rFonts w:ascii="黑体" w:hAnsi="黑体" w:eastAsia="黑体"/>
          <w:sz w:val="32"/>
        </w:rPr>
        <w:t>一、收入支出决算总体情况说明</w:t>
      </w:r>
    </w:p>
    <w:p w14:paraId="678A6EEA">
      <w:pPr>
        <w:spacing w:line="580" w:lineRule="exact"/>
        <w:ind w:firstLine="640"/>
        <w:jc w:val="both"/>
      </w:pPr>
      <w:r>
        <w:rPr>
          <w:rFonts w:ascii="仿宋_GB2312" w:hAnsi="仿宋_GB2312" w:eastAsia="仿宋_GB2312"/>
          <w:b/>
          <w:sz w:val="32"/>
        </w:rPr>
        <w:t>2024年度收入总计144.10万元，</w:t>
      </w:r>
      <w:r>
        <w:rPr>
          <w:rFonts w:ascii="仿宋_GB2312" w:hAnsi="仿宋_GB2312" w:eastAsia="仿宋_GB2312"/>
          <w:b w:val="0"/>
          <w:sz w:val="32"/>
        </w:rPr>
        <w:t>其中：本年收入合计143.29万元，使用非财政拨款结余（含专用结余）0.00万元，年初结转和结余0.81万元。</w:t>
      </w:r>
    </w:p>
    <w:p w14:paraId="75B930AC">
      <w:pPr>
        <w:spacing w:line="580" w:lineRule="exact"/>
        <w:ind w:firstLine="640"/>
        <w:jc w:val="both"/>
      </w:pPr>
      <w:r>
        <w:rPr>
          <w:rFonts w:ascii="仿宋_GB2312" w:hAnsi="仿宋_GB2312" w:eastAsia="仿宋_GB2312"/>
          <w:b/>
          <w:sz w:val="32"/>
        </w:rPr>
        <w:t>2024年度支出总计144.10万元，</w:t>
      </w:r>
      <w:r>
        <w:rPr>
          <w:rFonts w:ascii="仿宋_GB2312" w:hAnsi="仿宋_GB2312" w:eastAsia="仿宋_GB2312"/>
          <w:b w:val="0"/>
          <w:sz w:val="32"/>
        </w:rPr>
        <w:t>其中：本年支出合计141.85万元，结余分配0.00万元，年末结转和结余2.25万元。</w:t>
      </w:r>
    </w:p>
    <w:p w14:paraId="3139AFD6">
      <w:pPr>
        <w:spacing w:line="580" w:lineRule="exact"/>
        <w:ind w:firstLine="640"/>
        <w:jc w:val="both"/>
      </w:pPr>
      <w:r>
        <w:rPr>
          <w:rFonts w:ascii="仿宋_GB2312" w:hAnsi="仿宋_GB2312" w:eastAsia="仿宋_GB2312"/>
          <w:b w:val="0"/>
          <w:sz w:val="32"/>
        </w:rPr>
        <w:t>收入支出总体与上年相比，减少33.95万元，下降19.07%，主要原因是：本年减少聘用人员工资项目、离退休老干部活动经费项目经费，导致经费支出较上年减少。</w:t>
      </w:r>
    </w:p>
    <w:p w14:paraId="20C6501A">
      <w:pPr>
        <w:spacing w:line="640" w:lineRule="exact"/>
        <w:ind w:firstLine="640"/>
        <w:jc w:val="both"/>
        <w:outlineLvl w:val="2"/>
      </w:pPr>
      <w:r>
        <w:rPr>
          <w:rFonts w:ascii="黑体" w:hAnsi="黑体" w:eastAsia="黑体"/>
          <w:sz w:val="32"/>
        </w:rPr>
        <w:t>二、收入决算情况说明</w:t>
      </w:r>
    </w:p>
    <w:p w14:paraId="6AEE1C08">
      <w:pPr>
        <w:spacing w:line="580" w:lineRule="exact"/>
        <w:ind w:firstLine="640"/>
        <w:jc w:val="both"/>
      </w:pPr>
      <w:r>
        <w:rPr>
          <w:rFonts w:ascii="仿宋_GB2312" w:hAnsi="仿宋_GB2312" w:eastAsia="仿宋_GB2312"/>
          <w:b/>
          <w:sz w:val="32"/>
        </w:rPr>
        <w:t>本年收入143.29万元，</w:t>
      </w:r>
      <w:r>
        <w:rPr>
          <w:rFonts w:ascii="仿宋_GB2312" w:hAnsi="仿宋_GB2312" w:eastAsia="仿宋_GB2312"/>
          <w:b w:val="0"/>
          <w:sz w:val="32"/>
        </w:rPr>
        <w:t>其中：财政拨款收入140.23万元，占97.86%；上级补助收入0.00万元，占0.00%；事业收入0.00万元，占0.00%；经营收入0.00万元，占0.00%；附属单位上缴收入0.00万元，占0.00%；其他收入3.06万元，占2.14%。</w:t>
      </w:r>
    </w:p>
    <w:p w14:paraId="5135983B">
      <w:pPr>
        <w:spacing w:line="640" w:lineRule="exact"/>
        <w:ind w:firstLine="640"/>
        <w:jc w:val="both"/>
        <w:outlineLvl w:val="2"/>
      </w:pPr>
      <w:r>
        <w:rPr>
          <w:rFonts w:ascii="黑体" w:hAnsi="黑体" w:eastAsia="黑体"/>
          <w:sz w:val="32"/>
        </w:rPr>
        <w:t>三、支出决算情况说明</w:t>
      </w:r>
    </w:p>
    <w:p w14:paraId="45B8FD4E">
      <w:pPr>
        <w:spacing w:line="580" w:lineRule="exact"/>
        <w:ind w:firstLine="640"/>
        <w:jc w:val="both"/>
      </w:pPr>
      <w:r>
        <w:rPr>
          <w:rFonts w:ascii="仿宋_GB2312" w:hAnsi="仿宋_GB2312" w:eastAsia="仿宋_GB2312"/>
          <w:b/>
          <w:sz w:val="32"/>
        </w:rPr>
        <w:t>本年支出141.85万元，</w:t>
      </w:r>
      <w:r>
        <w:rPr>
          <w:rFonts w:ascii="仿宋_GB2312" w:hAnsi="仿宋_GB2312" w:eastAsia="仿宋_GB2312"/>
          <w:b w:val="0"/>
          <w:sz w:val="32"/>
        </w:rPr>
        <w:t>其中：基本支出115.54万元，占81.45%；项目支出26.30万元，占18.54%；上缴上级支出0.00万元，占0.00%；经营支出0.00万元，占0.00%；对附属单位补助支出0.00万元，占0.00%。</w:t>
      </w:r>
    </w:p>
    <w:p w14:paraId="3E539093">
      <w:pPr>
        <w:spacing w:line="640" w:lineRule="exact"/>
        <w:ind w:firstLine="640"/>
        <w:jc w:val="both"/>
        <w:outlineLvl w:val="2"/>
      </w:pPr>
      <w:r>
        <w:rPr>
          <w:rFonts w:ascii="黑体" w:hAnsi="黑体" w:eastAsia="黑体"/>
          <w:sz w:val="32"/>
        </w:rPr>
        <w:t>四、财政拨款收入支出决算总体情况说明</w:t>
      </w:r>
    </w:p>
    <w:p w14:paraId="48F2476C">
      <w:pPr>
        <w:spacing w:line="580" w:lineRule="exact"/>
        <w:ind w:firstLine="640"/>
        <w:jc w:val="both"/>
      </w:pPr>
      <w:r>
        <w:rPr>
          <w:rFonts w:ascii="仿宋_GB2312" w:hAnsi="仿宋_GB2312" w:eastAsia="仿宋_GB2312"/>
          <w:b/>
          <w:sz w:val="32"/>
        </w:rPr>
        <w:t>2024年度财政拨款收入总计140.23万元，</w:t>
      </w:r>
      <w:r>
        <w:rPr>
          <w:rFonts w:ascii="仿宋_GB2312" w:hAnsi="仿宋_GB2312" w:eastAsia="仿宋_GB2312"/>
          <w:b w:val="0"/>
          <w:sz w:val="32"/>
        </w:rPr>
        <w:t>其中：年初财政拨款结转和结余0.00万元，本年财政拨款收入140.23万元。</w:t>
      </w:r>
      <w:r>
        <w:rPr>
          <w:rFonts w:ascii="仿宋_GB2312" w:hAnsi="仿宋_GB2312" w:eastAsia="仿宋_GB2312"/>
          <w:b/>
          <w:sz w:val="32"/>
        </w:rPr>
        <w:t>财政拨款支出总计140.23万元，</w:t>
      </w:r>
      <w:r>
        <w:rPr>
          <w:rFonts w:ascii="仿宋_GB2312" w:hAnsi="仿宋_GB2312" w:eastAsia="仿宋_GB2312"/>
          <w:b w:val="0"/>
          <w:sz w:val="32"/>
        </w:rPr>
        <w:t>其中：年末财政拨款结转和结余0.00万元，本年财政拨款支出140.23万元。</w:t>
      </w:r>
    </w:p>
    <w:p w14:paraId="5DBA098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减少32.80万元，下降18.96%，主要原因是：本年减少聘用人员工资项目、离退休老干部活动经费项目经费，导致经费支出较上年减少。</w:t>
      </w:r>
      <w:r>
        <w:rPr>
          <w:rFonts w:ascii="仿宋_GB2312" w:hAnsi="仿宋_GB2312" w:eastAsia="仿宋_GB2312"/>
          <w:b/>
          <w:sz w:val="32"/>
        </w:rPr>
        <w:t>与年初预算相比，</w:t>
      </w:r>
      <w:r>
        <w:rPr>
          <w:rFonts w:ascii="仿宋_GB2312" w:hAnsi="仿宋_GB2312" w:eastAsia="仿宋_GB2312"/>
          <w:b w:val="0"/>
          <w:sz w:val="32"/>
        </w:rPr>
        <w:t>年初预算数157.91万元，决算数140.23万元，预决算差异率-11.20%，主要原因是：年中调减聘用人员工资，导致预决算差异。</w:t>
      </w:r>
    </w:p>
    <w:p w14:paraId="2A4BDA9A">
      <w:pPr>
        <w:spacing w:line="640" w:lineRule="exact"/>
        <w:ind w:firstLine="640"/>
        <w:jc w:val="both"/>
        <w:outlineLvl w:val="2"/>
      </w:pPr>
      <w:r>
        <w:rPr>
          <w:rFonts w:ascii="黑体" w:hAnsi="黑体" w:eastAsia="黑体"/>
          <w:sz w:val="32"/>
        </w:rPr>
        <w:t>五、一般公共预算财政拨款支出决算情况说明</w:t>
      </w:r>
    </w:p>
    <w:p w14:paraId="10E8EBF1">
      <w:pPr>
        <w:spacing w:line="640" w:lineRule="exact"/>
        <w:ind w:firstLine="640"/>
        <w:jc w:val="both"/>
        <w:outlineLvl w:val="3"/>
      </w:pPr>
      <w:r>
        <w:rPr>
          <w:rFonts w:ascii="楷体_GB2312" w:hAnsi="楷体_GB2312" w:eastAsia="楷体_GB2312"/>
          <w:b/>
          <w:sz w:val="32"/>
        </w:rPr>
        <w:t>（一）一般公共预算财政拨款支出决算总体情况</w:t>
      </w:r>
    </w:p>
    <w:p w14:paraId="1CAE7F63">
      <w:pPr>
        <w:spacing w:line="580" w:lineRule="exact"/>
        <w:ind w:firstLine="640"/>
        <w:jc w:val="both"/>
      </w:pPr>
      <w:r>
        <w:rPr>
          <w:rFonts w:ascii="仿宋_GB2312" w:hAnsi="仿宋_GB2312" w:eastAsia="仿宋_GB2312"/>
          <w:b/>
          <w:sz w:val="32"/>
        </w:rPr>
        <w:t>2024年度一般公共预算财政拨款支出140.23万元，</w:t>
      </w:r>
      <w:r>
        <w:rPr>
          <w:rFonts w:ascii="仿宋_GB2312" w:hAnsi="仿宋_GB2312" w:eastAsia="仿宋_GB2312"/>
          <w:b w:val="0"/>
          <w:sz w:val="32"/>
        </w:rPr>
        <w:t>占本年支出合计的98.86%。</w:t>
      </w:r>
      <w:r>
        <w:rPr>
          <w:rFonts w:ascii="仿宋_GB2312" w:hAnsi="仿宋_GB2312" w:eastAsia="仿宋_GB2312"/>
          <w:b/>
          <w:sz w:val="32"/>
        </w:rPr>
        <w:t>与上年相比，</w:t>
      </w:r>
      <w:r>
        <w:rPr>
          <w:rFonts w:ascii="仿宋_GB2312" w:hAnsi="仿宋_GB2312" w:eastAsia="仿宋_GB2312"/>
          <w:b w:val="0"/>
          <w:sz w:val="32"/>
        </w:rPr>
        <w:t>减少32.72万元，下降18.92%，主要原因是：本年减少聘用人员工资项目、离退休老干部活动经费项目经费，导致经费支出较上年减少。</w:t>
      </w:r>
      <w:r>
        <w:rPr>
          <w:rFonts w:ascii="仿宋_GB2312" w:hAnsi="仿宋_GB2312" w:eastAsia="仿宋_GB2312"/>
          <w:b/>
          <w:sz w:val="32"/>
        </w:rPr>
        <w:t>与年初预算相比,</w:t>
      </w:r>
      <w:r>
        <w:rPr>
          <w:rFonts w:ascii="仿宋_GB2312" w:hAnsi="仿宋_GB2312" w:eastAsia="仿宋_GB2312"/>
          <w:b w:val="0"/>
          <w:sz w:val="32"/>
        </w:rPr>
        <w:t>年初预算数157.91万元，决算数140.23万元，预决算差异率-11.20%，主要原因是：年中调减聘用人员工资，导致预决算差异。</w:t>
      </w:r>
    </w:p>
    <w:p w14:paraId="33446D24">
      <w:pPr>
        <w:spacing w:line="640" w:lineRule="exact"/>
        <w:ind w:firstLine="640"/>
        <w:jc w:val="both"/>
        <w:outlineLvl w:val="3"/>
      </w:pPr>
      <w:r>
        <w:rPr>
          <w:rFonts w:ascii="楷体_GB2312" w:hAnsi="楷体_GB2312" w:eastAsia="楷体_GB2312"/>
          <w:b/>
          <w:sz w:val="32"/>
        </w:rPr>
        <w:t>（二）一般公共预算财政拨款支出决算结构情况</w:t>
      </w:r>
    </w:p>
    <w:p w14:paraId="1B4D3982">
      <w:pPr>
        <w:spacing w:line="580" w:lineRule="exact"/>
        <w:ind w:firstLine="640"/>
        <w:jc w:val="both"/>
      </w:pPr>
      <w:r>
        <w:rPr>
          <w:rFonts w:ascii="仿宋_GB2312" w:hAnsi="仿宋_GB2312" w:eastAsia="仿宋_GB2312"/>
          <w:b w:val="0"/>
          <w:sz w:val="32"/>
        </w:rPr>
        <w:t>1.社会保障和就业支出(类)140.23万元,占100.00%。</w:t>
      </w:r>
    </w:p>
    <w:p w14:paraId="03DDE673">
      <w:pPr>
        <w:spacing w:line="640" w:lineRule="exact"/>
        <w:ind w:firstLine="640"/>
        <w:jc w:val="both"/>
        <w:outlineLvl w:val="3"/>
      </w:pPr>
      <w:r>
        <w:rPr>
          <w:rFonts w:ascii="楷体_GB2312" w:hAnsi="楷体_GB2312" w:eastAsia="楷体_GB2312"/>
          <w:b/>
          <w:sz w:val="32"/>
        </w:rPr>
        <w:t>（三）一般公共预算财政拨款支出决算具体情况</w:t>
      </w:r>
    </w:p>
    <w:p w14:paraId="04C28839">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1.社会保障和就业支出(类)行政事业单位养老支出(款)行政单位离退休(项):支出决算数为14.06万元，比上年决算增加3.77万元，增长36.64%,主要原因是：本年增加退休人员基础绩效奖，退休费支出增加。</w:t>
      </w:r>
    </w:p>
    <w:p w14:paraId="7CA8F543">
      <w:pPr>
        <w:spacing w:line="580" w:lineRule="exact"/>
        <w:ind w:firstLine="640"/>
        <w:jc w:val="both"/>
      </w:pPr>
      <w:r>
        <w:rPr>
          <w:rFonts w:ascii="仿宋_GB2312" w:hAnsi="仿宋_GB2312" w:eastAsia="仿宋_GB2312"/>
          <w:b w:val="0"/>
          <w:sz w:val="32"/>
        </w:rPr>
        <w:t>2.社会保障和就业支出(类)行政事业单位养老支出(款)离退休人员管理机构(项):支出决算数为116.79万元，比上年决算增加4.01万元，增长3.56%,主要原因是：本年功能科目调整，聘用人员工资、场馆运行费、聘用人员工资项目本年由其他行政事业单位养老支出科目调整至离退休人员管理机构科目列支，相关支出增加。</w:t>
      </w:r>
    </w:p>
    <w:p w14:paraId="4517BA6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9.38万元，比上年决算减少1.40万元，下降12.99%,主要原因是：本年在职人员调入调出，人员职级不同，缴费基数不同，导致养老保险缴费较上年减少。</w:t>
      </w:r>
    </w:p>
    <w:p w14:paraId="391A622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4.社会保障和就业支出(类)行政事业单位养老支出(款)机关事业单位职业年金缴费支出(项):支出决算数为0.00万元，比上年决算减少16.88万元，下降100.00%,主要原因是：本年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新增退休人员，职业年金缴费较上年减少。</w:t>
      </w:r>
    </w:p>
    <w:p w14:paraId="1785CD80">
      <w:pPr>
        <w:spacing w:line="580" w:lineRule="exact"/>
        <w:ind w:firstLine="640"/>
        <w:jc w:val="both"/>
      </w:pPr>
      <w:r>
        <w:rPr>
          <w:rFonts w:ascii="仿宋_GB2312" w:hAnsi="仿宋_GB2312" w:eastAsia="仿宋_GB2312"/>
          <w:b w:val="0"/>
          <w:sz w:val="32"/>
        </w:rPr>
        <w:t>5.社会保障和就业支出(类)行政事业单位养老支出(款)其他行政事业单位养老支出(项):支出决算数为0.00万元，比上年决算减少22.22万元，下降100.00%,主要原因是：本年功能科目调整，聘用人员工资、场馆运行费、聘用人员工资项目本年由本科目调整至离退休人员管理机构科目列支，相关支出减少。</w:t>
      </w:r>
    </w:p>
    <w:p w14:paraId="41E71D9C">
      <w:pPr>
        <w:spacing w:line="640" w:lineRule="exact"/>
        <w:ind w:firstLine="640"/>
        <w:jc w:val="both"/>
        <w:outlineLvl w:val="2"/>
      </w:pPr>
      <w:r>
        <w:rPr>
          <w:rFonts w:ascii="黑体" w:hAnsi="黑体" w:eastAsia="黑体"/>
          <w:sz w:val="32"/>
        </w:rPr>
        <w:t>六、一般公共预算财政拨款基本支出决算情况说明</w:t>
      </w:r>
    </w:p>
    <w:p w14:paraId="235D0B18">
      <w:pPr>
        <w:spacing w:line="580" w:lineRule="exact"/>
        <w:ind w:firstLine="640"/>
        <w:jc w:val="both"/>
      </w:pPr>
      <w:r>
        <w:rPr>
          <w:rFonts w:ascii="仿宋_GB2312" w:hAnsi="仿宋_GB2312" w:eastAsia="仿宋_GB2312"/>
          <w:b w:val="0"/>
          <w:sz w:val="32"/>
        </w:rPr>
        <w:t>2024年度一般公共预算财政拨款基本支出115.54万元，其中：</w:t>
      </w:r>
      <w:r>
        <w:rPr>
          <w:rFonts w:ascii="仿宋_GB2312" w:hAnsi="仿宋_GB2312" w:eastAsia="仿宋_GB2312"/>
          <w:b/>
          <w:sz w:val="32"/>
        </w:rPr>
        <w:t>人员经费106.15万元，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包括：基本工资、津贴补贴、奖金、机关事业单位基本养老保险缴费、职工基本医疗保险缴费、其他社会保障缴费、住房公积金、其他工资福利支出、退休费、奖励金。</w:t>
      </w:r>
    </w:p>
    <w:p w14:paraId="0823AA8D">
      <w:pPr>
        <w:spacing w:line="580" w:lineRule="exact"/>
        <w:ind w:firstLine="640"/>
        <w:jc w:val="both"/>
      </w:pPr>
      <w:r>
        <w:rPr>
          <w:rFonts w:ascii="仿宋_GB2312" w:hAnsi="仿宋_GB2312" w:eastAsia="仿宋_GB2312"/>
          <w:b/>
          <w:sz w:val="32"/>
        </w:rPr>
        <w:t>公用经费9.39万元，</w:t>
      </w:r>
      <w:r>
        <w:rPr>
          <w:rFonts w:ascii="仿宋_GB2312" w:hAnsi="仿宋_GB2312" w:eastAsia="仿宋_GB2312"/>
          <w:b w:val="0"/>
          <w:sz w:val="32"/>
        </w:rPr>
        <w:t>包括：办公费、水费、电费、邮电费、取暖费、差旅费、维修（护）费、劳务费、工会经费、福利费、公务用车运行维护费、其他商品和服务支出。</w:t>
      </w:r>
    </w:p>
    <w:p w14:paraId="6D52DBBA">
      <w:pPr>
        <w:spacing w:line="640" w:lineRule="exact"/>
        <w:ind w:firstLine="640"/>
        <w:jc w:val="both"/>
        <w:outlineLvl w:val="2"/>
      </w:pPr>
      <w:r>
        <w:rPr>
          <w:rFonts w:ascii="黑体" w:hAnsi="黑体" w:eastAsia="黑体"/>
          <w:sz w:val="32"/>
        </w:rPr>
        <w:t>七、政府性基金预算财政拨款收入支出决算情况说明</w:t>
      </w:r>
    </w:p>
    <w:p w14:paraId="7437DAE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378CF1">
      <w:pPr>
        <w:spacing w:line="640" w:lineRule="exact"/>
        <w:ind w:firstLine="640"/>
        <w:jc w:val="both"/>
        <w:outlineLvl w:val="2"/>
      </w:pPr>
      <w:r>
        <w:rPr>
          <w:rFonts w:ascii="黑体" w:hAnsi="黑体" w:eastAsia="黑体"/>
          <w:sz w:val="32"/>
        </w:rPr>
        <w:t>八、国有资本经营预算财政拨款收入支出决算情况说明</w:t>
      </w:r>
    </w:p>
    <w:p w14:paraId="560E86F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44A5B43">
      <w:pPr>
        <w:spacing w:line="640" w:lineRule="exact"/>
        <w:ind w:firstLine="640"/>
        <w:jc w:val="both"/>
        <w:outlineLvl w:val="2"/>
      </w:pPr>
      <w:r>
        <w:rPr>
          <w:rFonts w:ascii="黑体" w:hAnsi="黑体" w:eastAsia="黑体"/>
          <w:sz w:val="32"/>
        </w:rPr>
        <w:t>九、财政拨款“三公”经费支出决算情况说明</w:t>
      </w:r>
    </w:p>
    <w:p w14:paraId="15899716">
      <w:pPr>
        <w:spacing w:line="580" w:lineRule="exact"/>
        <w:ind w:firstLine="640"/>
        <w:jc w:val="both"/>
      </w:pPr>
      <w:r>
        <w:rPr>
          <w:rFonts w:ascii="仿宋_GB2312" w:hAnsi="仿宋_GB2312" w:eastAsia="仿宋_GB2312"/>
          <w:b/>
          <w:sz w:val="32"/>
        </w:rPr>
        <w:t>2024年度财政拨款“三公”经费支出1.10万元，</w:t>
      </w:r>
      <w:r>
        <w:rPr>
          <w:rFonts w:ascii="仿宋_GB2312" w:hAnsi="仿宋_GB2312" w:eastAsia="仿宋_GB2312"/>
          <w:b w:val="0"/>
          <w:sz w:val="32"/>
        </w:rPr>
        <w:t>比上年减少0.11万元，下降9.09%，主要原因是：严格落实中央八项规定精神，厉行节约，减少公务用车运行维护费、公务接待费。其中：因公出国（境）费支出0.00万元，占0.00%，比上年增加0.00万元，增长0.00%，主要原因是：2023年与2024年均未安排因公出国（境）费支出。公务用车购置及运行维护费支出1.10万元，占100.00%，比上年减少0.09万元，下降7.56%，主要原因是：严格落实中央八项规定精神，厉行节约，减少公务用车运行维护费。公务接待费支出0.00万元，占0.00%，比上年减少0.02万元，下降100.00%，主要原因是：严格落实中央八项规定精神，厉行节约，减少公务接待费。</w:t>
      </w:r>
    </w:p>
    <w:p w14:paraId="447A2BDA">
      <w:pPr>
        <w:spacing w:line="580" w:lineRule="exact"/>
        <w:ind w:firstLine="640"/>
        <w:jc w:val="both"/>
      </w:pPr>
      <w:r>
        <w:rPr>
          <w:rFonts w:ascii="仿宋_GB2312" w:hAnsi="仿宋_GB2312" w:eastAsia="仿宋_GB2312"/>
          <w:b/>
          <w:sz w:val="32"/>
        </w:rPr>
        <w:t>具体情况如下：</w:t>
      </w:r>
    </w:p>
    <w:p w14:paraId="51EFF0B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1A7F39E">
      <w:pPr>
        <w:spacing w:line="580" w:lineRule="exact"/>
        <w:ind w:firstLine="640"/>
        <w:jc w:val="both"/>
      </w:pPr>
      <w:r>
        <w:rPr>
          <w:rFonts w:ascii="仿宋_GB2312" w:hAnsi="仿宋_GB2312" w:eastAsia="仿宋_GB2312"/>
          <w:b w:val="0"/>
          <w:sz w:val="32"/>
        </w:rPr>
        <w:t>公务用车购置及运行维护费1.10万元，其中：公务用车购置费0.00万元，公务用车运行维护费1.10万元。公务用车运行维护费开支内容包括车辆加油费、维修费、保险费、审车费等。公务用车购置数0辆，公务用车保有量1辆。国有资产占用情况中固定资产车辆1辆，与公务用车保有量差异原因是：本单位固定资产车辆与公务用车保有量一致无差异。</w:t>
      </w:r>
    </w:p>
    <w:p w14:paraId="7C2E8E6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EFA64D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1.10万元，决算数1.10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1.10万元，决算数1.10万元，预决算差异率0.00%，主要原因是：严格按照预算执行，预决算无差异。公务接待费全年预算数0.00万元，决算数0.00万元，预决算差异率0.00%，主要原因是：本单位无公务接待费。</w:t>
      </w:r>
    </w:p>
    <w:p w14:paraId="250B0C97">
      <w:pPr>
        <w:spacing w:line="640" w:lineRule="exact"/>
        <w:ind w:firstLine="640"/>
        <w:jc w:val="both"/>
        <w:outlineLvl w:val="2"/>
      </w:pPr>
      <w:r>
        <w:rPr>
          <w:rFonts w:ascii="黑体" w:hAnsi="黑体" w:eastAsia="黑体"/>
          <w:sz w:val="32"/>
        </w:rPr>
        <w:t>十、其他重要事项的情况说明</w:t>
      </w:r>
    </w:p>
    <w:p w14:paraId="2389C82C">
      <w:pPr>
        <w:spacing w:line="640" w:lineRule="exact"/>
        <w:ind w:firstLine="640"/>
        <w:jc w:val="both"/>
        <w:outlineLvl w:val="3"/>
      </w:pPr>
      <w:r>
        <w:rPr>
          <w:rFonts w:ascii="楷体_GB2312" w:hAnsi="楷体_GB2312" w:eastAsia="楷体_GB2312"/>
          <w:b/>
          <w:sz w:val="32"/>
        </w:rPr>
        <w:t>（一）机关运行经费及公用经费支出情况</w:t>
      </w:r>
    </w:p>
    <w:p w14:paraId="6FCC58D6">
      <w:pPr>
        <w:spacing w:line="580" w:lineRule="exact"/>
        <w:ind w:firstLine="640"/>
        <w:jc w:val="both"/>
      </w:pPr>
      <w:r>
        <w:rPr>
          <w:rFonts w:ascii="仿宋_GB2312" w:hAnsi="仿宋_GB2312" w:eastAsia="仿宋_GB2312"/>
          <w:b w:val="0"/>
          <w:sz w:val="32"/>
        </w:rPr>
        <w:t>2024年度克孜勒苏柯尔克孜自治州驻昌吉干休所（行政单位和参照公务员法管理事业单位）机关运行经费支出9.39万元，比上年减少4.45万元，下降32.15%，主要原因是：严控经费支出，厉行节约，减少经费支出。</w:t>
      </w:r>
    </w:p>
    <w:p w14:paraId="34D7B515">
      <w:pPr>
        <w:spacing w:line="640" w:lineRule="exact"/>
        <w:ind w:firstLine="640"/>
        <w:jc w:val="both"/>
        <w:outlineLvl w:val="3"/>
      </w:pPr>
      <w:r>
        <w:rPr>
          <w:rFonts w:ascii="楷体_GB2312" w:hAnsi="楷体_GB2312" w:eastAsia="楷体_GB2312"/>
          <w:b/>
          <w:sz w:val="32"/>
        </w:rPr>
        <w:t>（二）政府采购情况</w:t>
      </w:r>
    </w:p>
    <w:p w14:paraId="4D9CD80C">
      <w:pPr>
        <w:spacing w:line="580" w:lineRule="exact"/>
        <w:ind w:firstLine="640"/>
        <w:jc w:val="both"/>
      </w:pPr>
      <w:r>
        <w:rPr>
          <w:rFonts w:ascii="仿宋_GB2312" w:hAnsi="仿宋_GB2312" w:eastAsia="仿宋_GB2312"/>
          <w:b w:val="0"/>
          <w:sz w:val="32"/>
        </w:rPr>
        <w:t>2024年度政府采购支出总额11.81万元，其中：政府采购货物支出2.15万元、政府采购工程支出0.00万元、政府采购服务支出9.66万元。</w:t>
      </w:r>
    </w:p>
    <w:p w14:paraId="46C95B70">
      <w:pPr>
        <w:spacing w:line="580" w:lineRule="exact"/>
        <w:ind w:firstLine="640"/>
        <w:jc w:val="both"/>
      </w:pPr>
      <w:r>
        <w:rPr>
          <w:rFonts w:ascii="仿宋_GB2312" w:hAnsi="仿宋_GB2312" w:eastAsia="仿宋_GB2312"/>
          <w:b w:val="0"/>
          <w:sz w:val="32"/>
        </w:rPr>
        <w:t>授予中小企业合同金额11.81万元，占政府采购支出总额的100.00%，其中：授予小微企业合同金额9.73万元，占政府采购支出总额的82.39%。</w:t>
      </w:r>
    </w:p>
    <w:p w14:paraId="4088BE41">
      <w:pPr>
        <w:spacing w:line="640" w:lineRule="exact"/>
        <w:ind w:firstLine="640"/>
        <w:jc w:val="both"/>
        <w:outlineLvl w:val="3"/>
      </w:pPr>
      <w:r>
        <w:rPr>
          <w:rFonts w:ascii="楷体_GB2312" w:hAnsi="楷体_GB2312" w:eastAsia="楷体_GB2312"/>
          <w:b/>
          <w:sz w:val="32"/>
        </w:rPr>
        <w:t>（三）国有资产占用情况说明</w:t>
      </w:r>
    </w:p>
    <w:p w14:paraId="2577817B">
      <w:pPr>
        <w:spacing w:line="580" w:lineRule="exact"/>
        <w:ind w:firstLine="640"/>
        <w:jc w:val="both"/>
      </w:pPr>
      <w:r>
        <w:rPr>
          <w:rFonts w:ascii="仿宋_GB2312" w:hAnsi="仿宋_GB2312" w:eastAsia="仿宋_GB2312"/>
          <w:b w:val="0"/>
          <w:sz w:val="32"/>
        </w:rPr>
        <w:t>截至2024年12月31日，房屋7,213.50平方米，价值39.93万元。车辆1辆，价值28.76万元，其中：副部（省）级及以上领导用车0辆、主要负责人用车0辆、机要通信用车0辆、应急保障用车0辆、执法执勤用车0辆、特种专业技术用车0辆、离退休干部服务用车1辆、其他用车0辆，其他用车主要是：本单位无其他用车。单价100万元（含）以上设备（不含车辆）0台（套）。</w:t>
      </w:r>
    </w:p>
    <w:p w14:paraId="302CD7EB">
      <w:pPr>
        <w:spacing w:line="640" w:lineRule="exact"/>
        <w:ind w:firstLine="640"/>
        <w:jc w:val="both"/>
        <w:outlineLvl w:val="2"/>
      </w:pPr>
      <w:r>
        <w:rPr>
          <w:rFonts w:ascii="黑体" w:hAnsi="黑体" w:eastAsia="黑体"/>
          <w:sz w:val="32"/>
        </w:rPr>
        <w:t>十一、预算绩效的情况说明</w:t>
      </w:r>
    </w:p>
    <w:p w14:paraId="4C5598B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161.77万元，实际执行总额141.85万元；预算绩效评价项目5个，全年预算数27.11万元，全年执行数26.48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35C5A07C">
      <w:r>
        <w:br w:type="page"/>
      </w:r>
    </w:p>
    <w:tbl>
      <w:tblPr>
        <w:tblStyle w:val="9"/>
        <w:tblW w:w="0" w:type="auto"/>
        <w:tblInd w:w="0" w:type="dxa"/>
        <w:tblLayout w:type="fixed"/>
        <w:tblCellMar>
          <w:top w:w="0" w:type="dxa"/>
          <w:left w:w="108" w:type="dxa"/>
          <w:bottom w:w="0" w:type="dxa"/>
          <w:right w:w="108" w:type="dxa"/>
        </w:tblCellMar>
      </w:tblPr>
      <w:tblGrid>
        <w:gridCol w:w="1105"/>
        <w:gridCol w:w="947"/>
        <w:gridCol w:w="1477"/>
        <w:gridCol w:w="891"/>
        <w:gridCol w:w="1404"/>
        <w:gridCol w:w="1005"/>
        <w:gridCol w:w="1133"/>
        <w:gridCol w:w="878"/>
      </w:tblGrid>
      <w:tr w14:paraId="336A9145">
        <w:tblPrEx>
          <w:tblCellMar>
            <w:top w:w="0" w:type="dxa"/>
            <w:left w:w="108" w:type="dxa"/>
            <w:bottom w:w="0" w:type="dxa"/>
            <w:right w:w="108" w:type="dxa"/>
          </w:tblCellMar>
        </w:tblPrEx>
        <w:tc>
          <w:tcPr>
            <w:tcW w:w="8840" w:type="dxa"/>
            <w:gridSpan w:val="8"/>
            <w:vAlign w:val="center"/>
          </w:tcPr>
          <w:p w14:paraId="6759F084">
            <w:pPr>
              <w:jc w:val="center"/>
            </w:pPr>
            <w:r>
              <w:rPr>
                <w:rFonts w:ascii="宋体" w:hAnsi="宋体" w:eastAsia="宋体"/>
                <w:sz w:val="24"/>
              </w:rPr>
              <w:t>单位整体支出绩效自评表</w:t>
            </w:r>
          </w:p>
        </w:tc>
      </w:tr>
      <w:tr w14:paraId="768D2344">
        <w:tblPrEx>
          <w:tblCellMar>
            <w:top w:w="0" w:type="dxa"/>
            <w:left w:w="108" w:type="dxa"/>
            <w:bottom w:w="0" w:type="dxa"/>
            <w:right w:w="108" w:type="dxa"/>
          </w:tblCellMar>
        </w:tblPrEx>
        <w:tc>
          <w:tcPr>
            <w:tcW w:w="8840" w:type="dxa"/>
            <w:gridSpan w:val="8"/>
            <w:vAlign w:val="center"/>
          </w:tcPr>
          <w:p w14:paraId="18A900EE">
            <w:pPr>
              <w:jc w:val="center"/>
            </w:pPr>
            <w:r>
              <w:rPr>
                <w:rFonts w:ascii="宋体" w:hAnsi="宋体" w:eastAsia="宋体"/>
                <w:sz w:val="24"/>
              </w:rPr>
              <w:t>（2024年度）</w:t>
            </w:r>
          </w:p>
        </w:tc>
      </w:tr>
      <w:tr w14:paraId="4CA3E08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C8B8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C8738">
            <w:pPr>
              <w:jc w:val="center"/>
            </w:pPr>
            <w:r>
              <w:rPr>
                <w:rFonts w:ascii="宋体" w:hAnsi="宋体" w:eastAsia="宋体"/>
                <w:sz w:val="16"/>
              </w:rPr>
              <w:t>克孜勒苏柯尔克孜自治州驻昌吉干休所</w:t>
            </w:r>
          </w:p>
        </w:tc>
      </w:tr>
      <w:tr w14:paraId="514A83A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37B0F">
            <w:pPr>
              <w:jc w:val="center"/>
            </w:pPr>
            <w:r>
              <w:rPr>
                <w:rFonts w:ascii="宋体" w:hAnsi="宋体" w:eastAsia="宋体"/>
                <w:sz w:val="16"/>
              </w:rPr>
              <w:t>年度预算（万元）</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255B1C66">
            <w:pPr>
              <w:jc w:val="center"/>
            </w:pPr>
            <w:r>
              <w:rPr>
                <w:rFonts w:ascii="宋体" w:hAnsi="宋体" w:eastAsia="宋体"/>
                <w:sz w:val="16"/>
              </w:rPr>
              <w:t>资金来源</w:t>
            </w:r>
          </w:p>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5E30B23F">
            <w:pPr>
              <w:jc w:val="center"/>
            </w:pPr>
            <w:r>
              <w:rPr>
                <w:rFonts w:ascii="宋体" w:hAnsi="宋体" w:eastAsia="宋体"/>
                <w:sz w:val="16"/>
              </w:rPr>
              <w:t>年初预算数</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69218919">
            <w:pPr>
              <w:jc w:val="center"/>
            </w:pPr>
            <w:r>
              <w:rPr>
                <w:rFonts w:ascii="宋体" w:hAnsi="宋体" w:eastAsia="宋体"/>
                <w:sz w:val="16"/>
              </w:rPr>
              <w:t>预算数（调整后）</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5B8D1AE1">
            <w:pPr>
              <w:jc w:val="center"/>
            </w:pPr>
            <w:r>
              <w:rPr>
                <w:rFonts w:ascii="宋体" w:hAnsi="宋体" w:eastAsia="宋体"/>
                <w:sz w:val="16"/>
              </w:rPr>
              <w:t>执行数</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68097A22">
            <w:pPr>
              <w:jc w:val="center"/>
            </w:pPr>
            <w:r>
              <w:rPr>
                <w:rFonts w:ascii="宋体" w:hAnsi="宋体" w:eastAsia="宋体"/>
                <w:sz w:val="16"/>
              </w:rPr>
              <w:t>分值权重</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1D1DCC15">
            <w:pPr>
              <w:jc w:val="center"/>
            </w:pPr>
            <w:r>
              <w:rPr>
                <w:rFonts w:ascii="宋体" w:hAnsi="宋体" w:eastAsia="宋体"/>
                <w:sz w:val="16"/>
              </w:rPr>
              <w:t>执行率</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4CD370DF">
            <w:pPr>
              <w:jc w:val="center"/>
            </w:pPr>
            <w:r>
              <w:rPr>
                <w:rFonts w:ascii="宋体" w:hAnsi="宋体" w:eastAsia="宋体"/>
                <w:sz w:val="16"/>
              </w:rPr>
              <w:t>得分</w:t>
            </w:r>
          </w:p>
        </w:tc>
      </w:tr>
      <w:tr w14:paraId="4FC391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B01C20"/>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7A21C902">
            <w:pPr>
              <w:jc w:val="center"/>
            </w:pPr>
            <w:r>
              <w:rPr>
                <w:rFonts w:ascii="宋体" w:hAnsi="宋体" w:eastAsia="宋体"/>
                <w:sz w:val="16"/>
              </w:rPr>
              <w:t>年度总资金：</w:t>
            </w:r>
          </w:p>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5B822256">
            <w:pPr>
              <w:jc w:val="center"/>
            </w:pPr>
            <w:r>
              <w:rPr>
                <w:rFonts w:ascii="宋体" w:hAnsi="宋体" w:eastAsia="宋体"/>
                <w:sz w:val="16"/>
              </w:rPr>
              <w:t>160.16</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3A5763FC">
            <w:pPr>
              <w:jc w:val="center"/>
            </w:pPr>
            <w:r>
              <w:rPr>
                <w:rFonts w:ascii="宋体" w:hAnsi="宋体" w:eastAsia="宋体"/>
                <w:sz w:val="16"/>
              </w:rPr>
              <w:t>161.77</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3C4A2DA0">
            <w:pPr>
              <w:jc w:val="center"/>
            </w:pPr>
            <w:r>
              <w:rPr>
                <w:rFonts w:ascii="宋体" w:hAnsi="宋体" w:eastAsia="宋体"/>
                <w:sz w:val="16"/>
              </w:rPr>
              <w:t>141.85</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C9D947D">
            <w:pPr>
              <w:jc w:val="center"/>
            </w:pPr>
            <w:r>
              <w:rPr>
                <w:rFonts w:ascii="宋体" w:hAnsi="宋体" w:eastAsia="宋体"/>
                <w:sz w:val="16"/>
              </w:rPr>
              <w:t>10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25A3F753">
            <w:pPr>
              <w:jc w:val="center"/>
            </w:pPr>
            <w:r>
              <w:rPr>
                <w:rFonts w:ascii="宋体" w:hAnsi="宋体" w:eastAsia="宋体"/>
                <w:sz w:val="16"/>
              </w:rPr>
              <w:t>87.69%</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04AD8624">
            <w:pPr>
              <w:jc w:val="center"/>
              <w:rPr>
                <w:rFonts w:hint="default" w:eastAsia="宋体"/>
                <w:lang w:val="en-US" w:eastAsia="zh-CN"/>
              </w:rPr>
            </w:pPr>
            <w:r>
              <w:rPr>
                <w:rFonts w:ascii="宋体" w:hAnsi="宋体" w:eastAsia="宋体"/>
                <w:sz w:val="16"/>
              </w:rPr>
              <w:t>8</w:t>
            </w:r>
            <w:r>
              <w:rPr>
                <w:rFonts w:hint="eastAsia" w:ascii="宋体" w:hAnsi="宋体"/>
                <w:sz w:val="16"/>
                <w:lang w:eastAsia="zh-CN"/>
              </w:rPr>
              <w:t>.</w:t>
            </w:r>
            <w:bookmarkStart w:id="0" w:name="_GoBack"/>
            <w:bookmarkEnd w:id="0"/>
            <w:r>
              <w:rPr>
                <w:rFonts w:ascii="宋体" w:hAnsi="宋体" w:eastAsia="宋体"/>
                <w:sz w:val="16"/>
              </w:rPr>
              <w:t>7</w:t>
            </w:r>
            <w:r>
              <w:rPr>
                <w:rFonts w:hint="eastAsia" w:ascii="宋体" w:hAnsi="宋体"/>
                <w:sz w:val="16"/>
                <w:lang w:val="en-US" w:eastAsia="zh-CN"/>
              </w:rPr>
              <w:t>7分</w:t>
            </w:r>
          </w:p>
        </w:tc>
      </w:tr>
      <w:tr w14:paraId="0DCA79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05554A"/>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0ED3162D">
            <w:pPr>
              <w:jc w:val="center"/>
            </w:pPr>
            <w:r>
              <w:rPr>
                <w:rFonts w:ascii="宋体" w:hAnsi="宋体" w:eastAsia="宋体"/>
                <w:sz w:val="16"/>
              </w:rPr>
              <w:t>上级资金：</w:t>
            </w:r>
          </w:p>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7C705F95">
            <w:pPr>
              <w:jc w:val="center"/>
            </w:pPr>
            <w:r>
              <w:rPr>
                <w:rFonts w:ascii="宋体" w:hAnsi="宋体" w:eastAsia="宋体"/>
                <w:sz w:val="16"/>
              </w:rPr>
              <w:t>0.00</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5845ECC3">
            <w:pPr>
              <w:jc w:val="center"/>
            </w:pPr>
            <w:r>
              <w:rPr>
                <w:rFonts w:ascii="宋体" w:hAnsi="宋体" w:eastAsia="宋体"/>
                <w:sz w:val="16"/>
              </w:rPr>
              <w:t>0.00</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72865425">
            <w:pPr>
              <w:jc w:val="center"/>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0486E985">
            <w:pPr>
              <w:jc w:val="center"/>
            </w:pPr>
            <w:r>
              <w:rPr>
                <w:rFonts w:ascii="宋体" w:hAnsi="宋体" w:eastAsia="宋体"/>
                <w:sz w:val="16"/>
              </w:rPr>
              <w:t>—</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513E07A2">
            <w:pPr>
              <w:jc w:val="center"/>
            </w:pPr>
            <w:r>
              <w:rPr>
                <w:rFonts w:ascii="宋体" w:hAnsi="宋体" w:eastAsia="宋体"/>
                <w:sz w:val="16"/>
              </w:rPr>
              <w:t>—</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6B213CA1">
            <w:pPr>
              <w:jc w:val="center"/>
            </w:pPr>
            <w:r>
              <w:rPr>
                <w:rFonts w:ascii="宋体" w:hAnsi="宋体" w:eastAsia="宋体"/>
                <w:sz w:val="16"/>
              </w:rPr>
              <w:t>—</w:t>
            </w:r>
          </w:p>
        </w:tc>
      </w:tr>
      <w:tr w14:paraId="22DD9D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B409EB"/>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779166F0">
            <w:pPr>
              <w:jc w:val="center"/>
            </w:pPr>
            <w:r>
              <w:rPr>
                <w:rFonts w:ascii="宋体" w:hAnsi="宋体" w:eastAsia="宋体"/>
                <w:sz w:val="16"/>
              </w:rPr>
              <w:t>本级资金：</w:t>
            </w:r>
          </w:p>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1C711D30">
            <w:pPr>
              <w:jc w:val="center"/>
            </w:pPr>
            <w:r>
              <w:rPr>
                <w:rFonts w:ascii="宋体" w:hAnsi="宋体" w:eastAsia="宋体"/>
                <w:sz w:val="16"/>
              </w:rPr>
              <w:t>157.91</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1B84B533">
            <w:pPr>
              <w:jc w:val="center"/>
            </w:pPr>
            <w:r>
              <w:rPr>
                <w:rFonts w:ascii="宋体" w:hAnsi="宋体" w:eastAsia="宋体"/>
                <w:sz w:val="16"/>
              </w:rPr>
              <w:t>157.91</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31F36DF3">
            <w:pPr>
              <w:jc w:val="center"/>
            </w:pPr>
            <w:r>
              <w:rPr>
                <w:rFonts w:ascii="宋体" w:hAnsi="宋体" w:eastAsia="宋体"/>
                <w:sz w:val="16"/>
              </w:rPr>
              <w:t>140.23</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68809B21">
            <w:pPr>
              <w:jc w:val="center"/>
            </w:pPr>
            <w:r>
              <w:rPr>
                <w:rFonts w:ascii="宋体" w:hAnsi="宋体" w:eastAsia="宋体"/>
                <w:sz w:val="16"/>
              </w:rPr>
              <w:t>—</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645EE80C">
            <w:pPr>
              <w:jc w:val="center"/>
            </w:pPr>
            <w:r>
              <w:rPr>
                <w:rFonts w:ascii="宋体" w:hAnsi="宋体" w:eastAsia="宋体"/>
                <w:sz w:val="16"/>
              </w:rPr>
              <w:t>—</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0824F4AD">
            <w:pPr>
              <w:jc w:val="center"/>
            </w:pPr>
            <w:r>
              <w:rPr>
                <w:rFonts w:ascii="宋体" w:hAnsi="宋体" w:eastAsia="宋体"/>
                <w:sz w:val="16"/>
              </w:rPr>
              <w:t>—</w:t>
            </w:r>
          </w:p>
        </w:tc>
      </w:tr>
      <w:tr w14:paraId="32BC16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8FA5BA"/>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6D8DC507">
            <w:pPr>
              <w:jc w:val="center"/>
            </w:pPr>
            <w:r>
              <w:rPr>
                <w:rFonts w:ascii="宋体" w:hAnsi="宋体" w:eastAsia="宋体"/>
                <w:sz w:val="16"/>
              </w:rPr>
              <w:t>其他资金：</w:t>
            </w:r>
          </w:p>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4EEDDDD9">
            <w:pPr>
              <w:jc w:val="center"/>
            </w:pPr>
            <w:r>
              <w:rPr>
                <w:rFonts w:ascii="宋体" w:hAnsi="宋体" w:eastAsia="宋体"/>
                <w:sz w:val="16"/>
              </w:rPr>
              <w:t>2.25</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6C9BD703">
            <w:pPr>
              <w:jc w:val="center"/>
            </w:pPr>
            <w:r>
              <w:rPr>
                <w:rFonts w:ascii="宋体" w:hAnsi="宋体" w:eastAsia="宋体"/>
                <w:sz w:val="16"/>
              </w:rPr>
              <w:t>3.86</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6D54C136">
            <w:pPr>
              <w:jc w:val="center"/>
            </w:pPr>
            <w:r>
              <w:rPr>
                <w:rFonts w:ascii="宋体" w:hAnsi="宋体" w:eastAsia="宋体"/>
                <w:sz w:val="16"/>
              </w:rPr>
              <w:t>1.62</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3B25174C">
            <w:pPr>
              <w:jc w:val="center"/>
            </w:pPr>
            <w:r>
              <w:rPr>
                <w:rFonts w:ascii="宋体" w:hAnsi="宋体" w:eastAsia="宋体"/>
                <w:sz w:val="16"/>
              </w:rPr>
              <w:t>—</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55A6D671">
            <w:pPr>
              <w:jc w:val="center"/>
            </w:pPr>
            <w:r>
              <w:rPr>
                <w:rFonts w:ascii="宋体" w:hAnsi="宋体" w:eastAsia="宋体"/>
                <w:sz w:val="16"/>
              </w:rPr>
              <w:t>—</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78F19817">
            <w:pPr>
              <w:jc w:val="center"/>
            </w:pPr>
            <w:r>
              <w:rPr>
                <w:rFonts w:ascii="宋体" w:hAnsi="宋体" w:eastAsia="宋体"/>
                <w:sz w:val="16"/>
              </w:rPr>
              <w:t>—</w:t>
            </w:r>
          </w:p>
        </w:tc>
      </w:tr>
      <w:tr w14:paraId="6089702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A1A4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5BF84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317562">
            <w:pPr>
              <w:jc w:val="center"/>
            </w:pPr>
            <w:r>
              <w:rPr>
                <w:rFonts w:hint="eastAsia" w:ascii="宋体" w:hAnsi="宋体" w:eastAsia="宋体"/>
                <w:sz w:val="16"/>
              </w:rPr>
              <w:t>实际完成情况</w:t>
            </w:r>
          </w:p>
        </w:tc>
      </w:tr>
      <w:tr w14:paraId="7E02F0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D1FFD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E91AEC">
            <w:pPr>
              <w:jc w:val="both"/>
            </w:pPr>
            <w:r>
              <w:rPr>
                <w:rFonts w:ascii="宋体" w:hAnsi="宋体" w:eastAsia="宋体"/>
                <w:sz w:val="16"/>
              </w:rPr>
              <w:t>干休所主要负责组织老干部开展各种有益身心健康的文化娱乐活动和体育健身活动，就近参观经济建设；负责解决老干部生活中的实际困难；负责干休所的安全保卫，环境卫生工作。做好各个节日期间对离退休老干部的慰问工作及特殊困难帮扶。</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09D244">
            <w:pPr>
              <w:jc w:val="both"/>
            </w:pPr>
            <w:r>
              <w:rPr>
                <w:rFonts w:ascii="宋体" w:hAnsi="宋体" w:eastAsia="宋体"/>
                <w:sz w:val="16"/>
              </w:rPr>
              <w:t>截至2024年12月31日，已完成指标:　开展各节日慰问4次，利用元旦、春节、端午节、中秋节、国庆节等重大节日；离休干部14人次，退休干部及遗孀85人次，发放慰问品及活动奖品13551.44元。组织老干部参观学习2次，组织干休所老干部、支部的书记、副书记参加“党的创新理论学习培训班”，增强了干休所党员干部用党的创新理论武装头脑的政治自觉；在“七一”建党103周年之际，开展支部党建活动，组织老干部就近参观学习活动，追忆往昔、歌颂当下、展望未来。慰问工作覆盖率达100%，我所共有离休干部4人、退休干部19人、遗孀17人，慰问工作覆盖率达到100%。通过以上工作的实施，及时掌握老同志思想动态和所想所盼，用心用情解决老同志遇到的困难和问题，使我单位所管辖的离退休老干部得到生活上的关怀与帮助，确保老年生活有保障；保障了老干部可以参观学习，得到精神上的升华，确保生活学习正常；以老干部满意为宗旨、着力满足老同志对美好生活的期待。通过以上工作的实施，保障了我单位14名职工（包括在职5名，退休9名人员）的工资、福利及社保正常发放及缴纳，确保民生工作落实到位；保障我单位1辆公务用车的运行及维护，保障单位各项工作的正常运转，确保机构运转正常。</w:t>
            </w:r>
          </w:p>
        </w:tc>
      </w:tr>
      <w:tr w14:paraId="33D98CF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5BE87E">
            <w:pPr>
              <w:jc w:val="center"/>
            </w:pPr>
            <w:r>
              <w:rPr>
                <w:rFonts w:ascii="宋体" w:hAnsi="宋体" w:eastAsia="宋体"/>
                <w:sz w:val="16"/>
              </w:rPr>
              <w:t>一级指标</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69444678">
            <w:pPr>
              <w:jc w:val="center"/>
            </w:pPr>
            <w:r>
              <w:rPr>
                <w:rFonts w:ascii="宋体" w:hAnsi="宋体" w:eastAsia="宋体"/>
                <w:sz w:val="16"/>
              </w:rPr>
              <w:t>二级指标</w:t>
            </w:r>
          </w:p>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60BDD4A3">
            <w:pPr>
              <w:jc w:val="center"/>
            </w:pPr>
            <w:r>
              <w:rPr>
                <w:rFonts w:ascii="宋体" w:hAnsi="宋体" w:eastAsia="宋体"/>
                <w:sz w:val="16"/>
              </w:rPr>
              <w:t>三级指标</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5969263F">
            <w:pPr>
              <w:jc w:val="center"/>
            </w:pPr>
            <w:r>
              <w:rPr>
                <w:rFonts w:ascii="宋体" w:hAnsi="宋体" w:eastAsia="宋体"/>
                <w:sz w:val="16"/>
              </w:rPr>
              <w:t>指标值</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4579B81C">
            <w:pPr>
              <w:jc w:val="center"/>
            </w:pPr>
            <w:r>
              <w:rPr>
                <w:rFonts w:ascii="宋体" w:hAnsi="宋体" w:eastAsia="宋体"/>
                <w:sz w:val="16"/>
              </w:rPr>
              <w:t>指标值设定依据</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338B57B">
            <w:pPr>
              <w:jc w:val="center"/>
            </w:pPr>
            <w:r>
              <w:rPr>
                <w:rFonts w:ascii="宋体" w:hAnsi="宋体" w:eastAsia="宋体"/>
                <w:sz w:val="16"/>
              </w:rPr>
              <w:t>分值权重</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567963FB">
            <w:pPr>
              <w:jc w:val="center"/>
            </w:pPr>
            <w:r>
              <w:rPr>
                <w:rFonts w:ascii="宋体" w:hAnsi="宋体" w:eastAsia="宋体"/>
                <w:sz w:val="16"/>
              </w:rPr>
              <w:t>实际完成值</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593A07BA">
            <w:pPr>
              <w:jc w:val="center"/>
            </w:pPr>
            <w:r>
              <w:rPr>
                <w:rFonts w:ascii="宋体" w:hAnsi="宋体" w:eastAsia="宋体"/>
                <w:sz w:val="16"/>
              </w:rPr>
              <w:t>得分</w:t>
            </w:r>
          </w:p>
        </w:tc>
      </w:tr>
      <w:tr w14:paraId="46BD34F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10EFE">
            <w:pPr>
              <w:jc w:val="center"/>
            </w:pPr>
            <w:r>
              <w:rPr>
                <w:rFonts w:ascii="宋体" w:hAnsi="宋体" w:eastAsia="宋体"/>
                <w:sz w:val="16"/>
              </w:rPr>
              <w:t>履职效能</w:t>
            </w:r>
          </w:p>
        </w:tc>
        <w:tc>
          <w:tcPr>
            <w:tcW w:w="94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6795C">
            <w:pPr>
              <w:jc w:val="center"/>
            </w:pPr>
            <w:r>
              <w:rPr>
                <w:rFonts w:ascii="宋体" w:hAnsi="宋体" w:eastAsia="宋体"/>
                <w:sz w:val="16"/>
              </w:rPr>
              <w:t>数量指标</w:t>
            </w:r>
          </w:p>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6CE44884">
            <w:pPr>
              <w:jc w:val="center"/>
            </w:pPr>
            <w:r>
              <w:rPr>
                <w:rFonts w:ascii="宋体" w:hAnsi="宋体" w:eastAsia="宋体"/>
                <w:sz w:val="16"/>
              </w:rPr>
              <w:t>开展各节日慰问次数（次）</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72C65EF2">
            <w:pPr>
              <w:jc w:val="center"/>
            </w:pPr>
            <w:r>
              <w:rPr>
                <w:rFonts w:ascii="宋体" w:hAnsi="宋体" w:eastAsia="宋体"/>
                <w:sz w:val="16"/>
              </w:rPr>
              <w:t>&gt;=4次</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4D73158A">
            <w:pPr>
              <w:jc w:val="center"/>
            </w:pPr>
            <w:r>
              <w:rPr>
                <w:rFonts w:ascii="宋体" w:hAnsi="宋体" w:eastAsia="宋体"/>
                <w:sz w:val="16"/>
              </w:rPr>
              <w:t>2024年度单位工作计划</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6D8CC49D">
            <w:pPr>
              <w:jc w:val="center"/>
            </w:pPr>
            <w:r>
              <w:rPr>
                <w:rFonts w:ascii="宋体" w:hAnsi="宋体" w:eastAsia="宋体"/>
                <w:sz w:val="16"/>
              </w:rPr>
              <w:t>30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4B2FBBAC">
            <w:pPr>
              <w:jc w:val="center"/>
            </w:pPr>
            <w:r>
              <w:rPr>
                <w:rFonts w:ascii="宋体" w:hAnsi="宋体" w:eastAsia="宋体"/>
                <w:sz w:val="16"/>
              </w:rPr>
              <w:t>4次</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73855FF4">
            <w:pPr>
              <w:jc w:val="center"/>
            </w:pPr>
            <w:r>
              <w:rPr>
                <w:rFonts w:ascii="宋体" w:hAnsi="宋体" w:eastAsia="宋体"/>
                <w:sz w:val="16"/>
              </w:rPr>
              <w:t>30</w:t>
            </w:r>
          </w:p>
        </w:tc>
      </w:tr>
      <w:tr w14:paraId="2001E17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56ACB9"/>
        </w:tc>
        <w:tc>
          <w:tcPr>
            <w:tcW w:w="947" w:type="dxa"/>
            <w:vMerge w:val="continue"/>
            <w:tcBorders>
              <w:top w:val="single" w:color="auto" w:sz="10" w:space="0"/>
              <w:left w:val="single" w:color="auto" w:sz="10" w:space="0"/>
              <w:bottom w:val="single" w:color="auto" w:sz="10" w:space="0"/>
              <w:right w:val="single" w:color="auto" w:sz="10" w:space="0"/>
              <w:insideV w:val="single" w:sz="10" w:space="0"/>
            </w:tcBorders>
          </w:tcPr>
          <w:p w14:paraId="408E9CB7"/>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7FA142B0">
            <w:pPr>
              <w:jc w:val="center"/>
            </w:pPr>
            <w:r>
              <w:rPr>
                <w:rFonts w:ascii="宋体" w:hAnsi="宋体" w:eastAsia="宋体"/>
                <w:sz w:val="16"/>
              </w:rPr>
              <w:t>组织老干部参观学习次数（次）</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54719008">
            <w:pPr>
              <w:jc w:val="center"/>
            </w:pPr>
            <w:r>
              <w:rPr>
                <w:rFonts w:ascii="宋体" w:hAnsi="宋体" w:eastAsia="宋体"/>
                <w:sz w:val="16"/>
              </w:rPr>
              <w:t>&gt;=2次</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097C39EC">
            <w:pPr>
              <w:jc w:val="center"/>
            </w:pPr>
            <w:r>
              <w:rPr>
                <w:rFonts w:ascii="宋体" w:hAnsi="宋体" w:eastAsia="宋体"/>
                <w:sz w:val="16"/>
              </w:rPr>
              <w:t>2024年度单位工作计划</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5E77359">
            <w:pPr>
              <w:jc w:val="center"/>
            </w:pPr>
            <w:r>
              <w:rPr>
                <w:rFonts w:ascii="宋体" w:hAnsi="宋体" w:eastAsia="宋体"/>
                <w:sz w:val="16"/>
              </w:rPr>
              <w:t>30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7A350271">
            <w:pPr>
              <w:jc w:val="center"/>
            </w:pPr>
            <w:r>
              <w:rPr>
                <w:rFonts w:ascii="宋体" w:hAnsi="宋体" w:eastAsia="宋体"/>
                <w:sz w:val="16"/>
              </w:rPr>
              <w:t>2次</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5EF1EA98">
            <w:pPr>
              <w:jc w:val="center"/>
            </w:pPr>
            <w:r>
              <w:rPr>
                <w:rFonts w:ascii="宋体" w:hAnsi="宋体" w:eastAsia="宋体"/>
                <w:sz w:val="16"/>
              </w:rPr>
              <w:t>30</w:t>
            </w:r>
          </w:p>
        </w:tc>
      </w:tr>
      <w:tr w14:paraId="0A0943E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BD1E6F"/>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197053A7">
            <w:pPr>
              <w:jc w:val="center"/>
            </w:pPr>
            <w:r>
              <w:rPr>
                <w:rFonts w:ascii="宋体" w:hAnsi="宋体" w:eastAsia="宋体"/>
                <w:sz w:val="16"/>
              </w:rPr>
              <w:t>质量指标</w:t>
            </w:r>
          </w:p>
        </w:tc>
        <w:tc>
          <w:tcPr>
            <w:tcW w:w="1477" w:type="dxa"/>
            <w:tcBorders>
              <w:top w:val="single" w:color="auto" w:sz="10" w:space="0"/>
              <w:left w:val="single" w:color="auto" w:sz="10" w:space="0"/>
              <w:bottom w:val="single" w:color="auto" w:sz="10" w:space="0"/>
              <w:right w:val="single" w:color="auto" w:sz="10" w:space="0"/>
              <w:insideV w:val="single" w:sz="10" w:space="0"/>
            </w:tcBorders>
            <w:vAlign w:val="center"/>
          </w:tcPr>
          <w:p w14:paraId="0157B36B">
            <w:pPr>
              <w:jc w:val="center"/>
            </w:pPr>
            <w:r>
              <w:rPr>
                <w:rFonts w:ascii="宋体" w:hAnsi="宋体" w:eastAsia="宋体"/>
                <w:sz w:val="16"/>
              </w:rPr>
              <w:t>慰问工作覆盖率（次）</w:t>
            </w:r>
          </w:p>
        </w:tc>
        <w:tc>
          <w:tcPr>
            <w:tcW w:w="891" w:type="dxa"/>
            <w:tcBorders>
              <w:top w:val="single" w:color="auto" w:sz="10" w:space="0"/>
              <w:left w:val="single" w:color="auto" w:sz="10" w:space="0"/>
              <w:bottom w:val="single" w:color="auto" w:sz="10" w:space="0"/>
              <w:right w:val="single" w:color="auto" w:sz="10" w:space="0"/>
              <w:insideV w:val="single" w:sz="10" w:space="0"/>
            </w:tcBorders>
            <w:vAlign w:val="center"/>
          </w:tcPr>
          <w:p w14:paraId="182F64F2">
            <w:pPr>
              <w:jc w:val="center"/>
            </w:pPr>
            <w:r>
              <w:rPr>
                <w:rFonts w:ascii="宋体" w:hAnsi="宋体" w:eastAsia="宋体"/>
                <w:sz w:val="16"/>
              </w:rPr>
              <w:t>=100%</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54C53E86">
            <w:pPr>
              <w:jc w:val="center"/>
            </w:pPr>
            <w:r>
              <w:rPr>
                <w:rFonts w:ascii="宋体" w:hAnsi="宋体" w:eastAsia="宋体"/>
                <w:sz w:val="16"/>
              </w:rPr>
              <w:t>2024年度单位工作计划</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34EFB2E8">
            <w:pPr>
              <w:jc w:val="center"/>
            </w:pPr>
            <w:r>
              <w:rPr>
                <w:rFonts w:ascii="宋体" w:hAnsi="宋体" w:eastAsia="宋体"/>
                <w:sz w:val="16"/>
              </w:rPr>
              <w:t>30</w:t>
            </w:r>
          </w:p>
        </w:tc>
        <w:tc>
          <w:tcPr>
            <w:tcW w:w="1133" w:type="dxa"/>
            <w:tcBorders>
              <w:top w:val="single" w:color="auto" w:sz="10" w:space="0"/>
              <w:left w:val="single" w:color="auto" w:sz="10" w:space="0"/>
              <w:bottom w:val="single" w:color="auto" w:sz="10" w:space="0"/>
              <w:right w:val="single" w:color="auto" w:sz="10" w:space="0"/>
              <w:insideV w:val="single" w:sz="10" w:space="0"/>
            </w:tcBorders>
            <w:vAlign w:val="center"/>
          </w:tcPr>
          <w:p w14:paraId="0CD89C40">
            <w:pPr>
              <w:jc w:val="center"/>
            </w:pPr>
            <w:r>
              <w:rPr>
                <w:rFonts w:ascii="宋体" w:hAnsi="宋体" w:eastAsia="宋体"/>
                <w:sz w:val="16"/>
              </w:rPr>
              <w:t>100%</w:t>
            </w:r>
          </w:p>
        </w:tc>
        <w:tc>
          <w:tcPr>
            <w:tcW w:w="878" w:type="dxa"/>
            <w:tcBorders>
              <w:top w:val="single" w:color="auto" w:sz="10" w:space="0"/>
              <w:left w:val="single" w:color="auto" w:sz="10" w:space="0"/>
              <w:bottom w:val="single" w:color="auto" w:sz="10" w:space="0"/>
              <w:right w:val="single" w:color="auto" w:sz="10" w:space="0"/>
              <w:insideV w:val="single" w:sz="10" w:space="0"/>
            </w:tcBorders>
            <w:vAlign w:val="center"/>
          </w:tcPr>
          <w:p w14:paraId="7949B8AD">
            <w:pPr>
              <w:jc w:val="center"/>
            </w:pPr>
            <w:r>
              <w:rPr>
                <w:rFonts w:ascii="宋体" w:hAnsi="宋体" w:eastAsia="宋体"/>
                <w:sz w:val="16"/>
              </w:rPr>
              <w:t>30</w:t>
            </w:r>
          </w:p>
        </w:tc>
      </w:tr>
    </w:tbl>
    <w:p w14:paraId="582FC3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FB9E5B4">
        <w:tblPrEx>
          <w:tblCellMar>
            <w:top w:w="0" w:type="dxa"/>
            <w:left w:w="108" w:type="dxa"/>
            <w:bottom w:w="0" w:type="dxa"/>
            <w:right w:w="108" w:type="dxa"/>
          </w:tblCellMar>
        </w:tblPrEx>
        <w:tc>
          <w:tcPr>
            <w:tcW w:w="8848" w:type="dxa"/>
            <w:gridSpan w:val="14"/>
            <w:vAlign w:val="center"/>
          </w:tcPr>
          <w:p w14:paraId="121166DD">
            <w:pPr>
              <w:jc w:val="center"/>
            </w:pPr>
            <w:r>
              <w:rPr>
                <w:rFonts w:ascii="宋体" w:hAnsi="宋体" w:eastAsia="宋体"/>
                <w:sz w:val="24"/>
              </w:rPr>
              <w:t>项目支出绩效自评表</w:t>
            </w:r>
          </w:p>
        </w:tc>
      </w:tr>
      <w:tr w14:paraId="1E4882BF">
        <w:tblPrEx>
          <w:tblCellMar>
            <w:top w:w="0" w:type="dxa"/>
            <w:left w:w="108" w:type="dxa"/>
            <w:bottom w:w="0" w:type="dxa"/>
            <w:right w:w="108" w:type="dxa"/>
          </w:tblCellMar>
        </w:tblPrEx>
        <w:tc>
          <w:tcPr>
            <w:tcW w:w="8848" w:type="dxa"/>
            <w:gridSpan w:val="14"/>
            <w:vAlign w:val="center"/>
          </w:tcPr>
          <w:p w14:paraId="49414179">
            <w:pPr>
              <w:jc w:val="center"/>
            </w:pPr>
            <w:r>
              <w:rPr>
                <w:rFonts w:ascii="宋体" w:hAnsi="宋体" w:eastAsia="宋体"/>
                <w:sz w:val="24"/>
              </w:rPr>
              <w:t>(2024年度)</w:t>
            </w:r>
          </w:p>
        </w:tc>
      </w:tr>
      <w:tr w14:paraId="12FE5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3B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899ED9">
            <w:pPr>
              <w:jc w:val="center"/>
            </w:pPr>
            <w:r>
              <w:rPr>
                <w:rFonts w:ascii="宋体" w:hAnsi="宋体" w:eastAsia="宋体"/>
                <w:sz w:val="16"/>
              </w:rPr>
              <w:t>2023年离退休老干部活动经费</w:t>
            </w:r>
          </w:p>
        </w:tc>
      </w:tr>
      <w:tr w14:paraId="09CE2B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81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5A042">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E4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94B3E">
            <w:pPr>
              <w:jc w:val="center"/>
            </w:pPr>
            <w:r>
              <w:rPr>
                <w:rFonts w:ascii="宋体" w:hAnsi="宋体" w:eastAsia="宋体"/>
                <w:sz w:val="16"/>
              </w:rPr>
              <w:t>克孜勒苏柯尔克孜自治州驻昌吉干休所</w:t>
            </w:r>
          </w:p>
        </w:tc>
      </w:tr>
      <w:tr w14:paraId="16B748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10A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DD5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E43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DA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75A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CA6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BB0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81D6">
            <w:pPr>
              <w:jc w:val="center"/>
            </w:pPr>
            <w:r>
              <w:rPr>
                <w:rFonts w:ascii="宋体" w:hAnsi="宋体" w:eastAsia="宋体"/>
                <w:sz w:val="16"/>
              </w:rPr>
              <w:t>得分</w:t>
            </w:r>
          </w:p>
        </w:tc>
      </w:tr>
      <w:tr w14:paraId="74334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5A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70C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EBDA7">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032AB">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6B656">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D4C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CDE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6997">
            <w:pPr>
              <w:jc w:val="center"/>
            </w:pPr>
            <w:r>
              <w:rPr>
                <w:rFonts w:ascii="宋体" w:hAnsi="宋体" w:eastAsia="宋体"/>
                <w:sz w:val="16"/>
              </w:rPr>
              <w:t>10.00分</w:t>
            </w:r>
          </w:p>
        </w:tc>
      </w:tr>
      <w:tr w14:paraId="08388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B53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BCC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4AA8">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7D5CD">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424E9">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23A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7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1AC9">
            <w:pPr>
              <w:jc w:val="center"/>
            </w:pPr>
            <w:r>
              <w:rPr>
                <w:rFonts w:ascii="宋体" w:hAnsi="宋体" w:eastAsia="宋体"/>
                <w:sz w:val="16"/>
              </w:rPr>
              <w:t>—</w:t>
            </w:r>
          </w:p>
        </w:tc>
      </w:tr>
      <w:tr w14:paraId="3DFCE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CC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B5C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93D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638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3FF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DFD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7A6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EDC7">
            <w:pPr>
              <w:jc w:val="center"/>
            </w:pPr>
            <w:r>
              <w:rPr>
                <w:rFonts w:ascii="宋体" w:hAnsi="宋体" w:eastAsia="宋体"/>
                <w:sz w:val="16"/>
              </w:rPr>
              <w:t>—</w:t>
            </w:r>
          </w:p>
        </w:tc>
      </w:tr>
      <w:tr w14:paraId="3D9827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B88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106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7D40E">
            <w:pPr>
              <w:jc w:val="center"/>
            </w:pPr>
            <w:r>
              <w:rPr>
                <w:rFonts w:ascii="宋体" w:hAnsi="宋体" w:eastAsia="宋体"/>
                <w:sz w:val="16"/>
              </w:rPr>
              <w:t>实际完成情况</w:t>
            </w:r>
          </w:p>
        </w:tc>
      </w:tr>
      <w:tr w14:paraId="5A096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2B9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EA75B">
            <w:pPr>
              <w:jc w:val="both"/>
            </w:pPr>
            <w:r>
              <w:rPr>
                <w:rFonts w:ascii="宋体" w:hAnsi="宋体" w:eastAsia="宋体"/>
                <w:sz w:val="16"/>
              </w:rPr>
              <w:t>该项目总投资0.53万元，其中：财政资金0.53万元，其他资金0万元，主要用于老干部活动费。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E1C62">
            <w:pPr>
              <w:jc w:val="both"/>
            </w:pPr>
            <w:r>
              <w:rPr>
                <w:rFonts w:ascii="宋体" w:hAnsi="宋体" w:eastAsia="宋体"/>
                <w:sz w:val="16"/>
              </w:rPr>
              <w:t>截至2024年12月31日，已完成4次老干部活动，在各大节日及传统节日期间，组织走访慰问及住院看望等活动。</w:t>
            </w:r>
          </w:p>
        </w:tc>
      </w:tr>
      <w:tr w14:paraId="176923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CDE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CC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ED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6E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3D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35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6A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7B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BB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2E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97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85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7D57">
            <w:pPr>
              <w:jc w:val="center"/>
            </w:pPr>
            <w:r>
              <w:rPr>
                <w:rFonts w:ascii="宋体" w:hAnsi="宋体" w:eastAsia="宋体"/>
                <w:sz w:val="16"/>
              </w:rPr>
              <w:t>偏差原因分析及改进措施</w:t>
            </w:r>
          </w:p>
        </w:tc>
      </w:tr>
      <w:tr w14:paraId="37A2DE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950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C716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02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E428">
            <w:pPr>
              <w:jc w:val="center"/>
            </w:pPr>
            <w:r>
              <w:rPr>
                <w:rFonts w:ascii="宋体" w:hAnsi="宋体" w:eastAsia="宋体"/>
                <w:sz w:val="16"/>
              </w:rPr>
              <w:t>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3A6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2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D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ED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A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C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D18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00E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6A23">
            <w:pPr>
              <w:jc w:val="center"/>
            </w:pPr>
          </w:p>
        </w:tc>
      </w:tr>
      <w:tr w14:paraId="4805B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D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2B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65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96F4">
            <w:pPr>
              <w:jc w:val="center"/>
            </w:pPr>
            <w:r>
              <w:rPr>
                <w:rFonts w:ascii="宋体" w:hAnsi="宋体" w:eastAsia="宋体"/>
                <w:sz w:val="16"/>
              </w:rPr>
              <w:t>开展活动参与率（%）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8EB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D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95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9F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A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C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D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88E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B0E8F">
            <w:pPr>
              <w:jc w:val="center"/>
            </w:pPr>
          </w:p>
        </w:tc>
      </w:tr>
      <w:tr w14:paraId="67C7D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30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1B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96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9E5C">
            <w:pPr>
              <w:jc w:val="center"/>
            </w:pPr>
            <w:r>
              <w:rPr>
                <w:rFonts w:ascii="宋体" w:hAnsi="宋体" w:eastAsia="宋体"/>
                <w:sz w:val="16"/>
              </w:rPr>
              <w:t>开展活动及时率（%）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64C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8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38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95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98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7C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D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D4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8081F">
            <w:pPr>
              <w:jc w:val="center"/>
            </w:pPr>
          </w:p>
        </w:tc>
      </w:tr>
      <w:tr w14:paraId="668BA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826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103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20B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C6B6">
            <w:pPr>
              <w:jc w:val="center"/>
            </w:pPr>
            <w:r>
              <w:rPr>
                <w:rFonts w:ascii="宋体" w:hAnsi="宋体" w:eastAsia="宋体"/>
                <w:sz w:val="16"/>
              </w:rPr>
              <w:t>老干部活动费（万元）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7D56">
            <w:pPr>
              <w:jc w:val="center"/>
            </w:pPr>
            <w:r>
              <w:rPr>
                <w:rFonts w:ascii="宋体" w:hAnsi="宋体" w:eastAsia="宋体"/>
                <w:sz w:val="16"/>
              </w:rPr>
              <w:t>&lt;=0.53万元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D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0C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44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1D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4C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04CA">
            <w:pPr>
              <w:jc w:val="center"/>
            </w:pPr>
            <w:r>
              <w:rPr>
                <w:rFonts w:ascii="宋体" w:hAnsi="宋体" w:eastAsia="宋体"/>
                <w:sz w:val="16"/>
              </w:rPr>
              <w:t>=0.53万元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1B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08CE9">
            <w:pPr>
              <w:jc w:val="center"/>
            </w:pPr>
          </w:p>
        </w:tc>
      </w:tr>
      <w:tr w14:paraId="5D2DB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86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74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E8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086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C00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0A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B1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1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2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24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8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CB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10C9">
            <w:pPr>
              <w:jc w:val="center"/>
            </w:pPr>
          </w:p>
        </w:tc>
      </w:tr>
      <w:tr w14:paraId="2FA86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A4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83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5A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EA7E">
            <w:pPr>
              <w:jc w:val="center"/>
            </w:pPr>
            <w:r>
              <w:rPr>
                <w:rFonts w:ascii="宋体" w:hAnsi="宋体" w:eastAsia="宋体"/>
                <w:sz w:val="16"/>
              </w:rPr>
              <w:t>提升老干部幸福指数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F90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A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0C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55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75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B46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B68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14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D0588">
            <w:pPr>
              <w:jc w:val="center"/>
            </w:pPr>
          </w:p>
        </w:tc>
      </w:tr>
      <w:tr w14:paraId="5D4C3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0E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D6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12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4FC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9065">
            <w:pPr>
              <w:jc w:val="center"/>
            </w:pPr>
            <w:r>
              <w:rPr>
                <w:rFonts w:ascii="宋体" w:hAnsi="宋体" w:eastAsia="宋体"/>
                <w:sz w:val="16"/>
              </w:rPr>
              <w:t>&lt;=90%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6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E8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D0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0C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3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0E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DA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226C1">
            <w:pPr>
              <w:jc w:val="center"/>
            </w:pPr>
            <w:r>
              <w:rPr>
                <w:rFonts w:ascii="宋体" w:hAnsi="宋体" w:eastAsia="宋体"/>
                <w:sz w:val="16"/>
              </w:rPr>
              <w:t>偏差原因：该项目超预期完成年初设定指标，得到老干部一致好评；改进措施：优化实施方案，序时推进。</w:t>
            </w:r>
          </w:p>
        </w:tc>
      </w:tr>
      <w:tr w14:paraId="1837AA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676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04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B72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B7ECD2">
            <w:pPr>
              <w:jc w:val="center"/>
            </w:pPr>
            <w:r>
              <w:rPr>
                <w:rFonts w:ascii="宋体" w:hAnsi="宋体" w:eastAsia="宋体"/>
                <w:sz w:val="16"/>
              </w:rPr>
              <w:t>100分</w:t>
            </w:r>
          </w:p>
        </w:tc>
      </w:tr>
    </w:tbl>
    <w:p w14:paraId="2669D5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D8CC6E3">
        <w:tblPrEx>
          <w:tblCellMar>
            <w:top w:w="0" w:type="dxa"/>
            <w:left w:w="108" w:type="dxa"/>
            <w:bottom w:w="0" w:type="dxa"/>
            <w:right w:w="108" w:type="dxa"/>
          </w:tblCellMar>
        </w:tblPrEx>
        <w:tc>
          <w:tcPr>
            <w:tcW w:w="8848" w:type="dxa"/>
            <w:gridSpan w:val="14"/>
            <w:vAlign w:val="center"/>
          </w:tcPr>
          <w:p w14:paraId="7B465E8C">
            <w:pPr>
              <w:jc w:val="center"/>
            </w:pPr>
            <w:r>
              <w:rPr>
                <w:rFonts w:ascii="宋体" w:hAnsi="宋体" w:eastAsia="宋体"/>
                <w:sz w:val="24"/>
              </w:rPr>
              <w:t>项目支出绩效自评表</w:t>
            </w:r>
          </w:p>
        </w:tc>
      </w:tr>
      <w:tr w14:paraId="276C8723">
        <w:tblPrEx>
          <w:tblCellMar>
            <w:top w:w="0" w:type="dxa"/>
            <w:left w:w="108" w:type="dxa"/>
            <w:bottom w:w="0" w:type="dxa"/>
            <w:right w:w="108" w:type="dxa"/>
          </w:tblCellMar>
        </w:tblPrEx>
        <w:tc>
          <w:tcPr>
            <w:tcW w:w="8848" w:type="dxa"/>
            <w:gridSpan w:val="14"/>
            <w:vAlign w:val="center"/>
          </w:tcPr>
          <w:p w14:paraId="148B9EC2">
            <w:pPr>
              <w:jc w:val="center"/>
            </w:pPr>
            <w:r>
              <w:rPr>
                <w:rFonts w:ascii="宋体" w:hAnsi="宋体" w:eastAsia="宋体"/>
                <w:sz w:val="24"/>
              </w:rPr>
              <w:t>(2024年度)</w:t>
            </w:r>
          </w:p>
        </w:tc>
      </w:tr>
      <w:tr w14:paraId="72B400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DE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FF2689">
            <w:pPr>
              <w:jc w:val="center"/>
            </w:pPr>
            <w:r>
              <w:rPr>
                <w:rFonts w:ascii="宋体" w:hAnsi="宋体" w:eastAsia="宋体"/>
                <w:sz w:val="16"/>
              </w:rPr>
              <w:t>单位资金其他收入项目</w:t>
            </w:r>
          </w:p>
        </w:tc>
      </w:tr>
      <w:tr w14:paraId="5ADE2E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C4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0FC4A">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A4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6A2E4C">
            <w:pPr>
              <w:jc w:val="center"/>
            </w:pPr>
            <w:r>
              <w:rPr>
                <w:rFonts w:ascii="宋体" w:hAnsi="宋体" w:eastAsia="宋体"/>
                <w:sz w:val="16"/>
              </w:rPr>
              <w:t>克孜勒苏柯尔克孜自治州驻昌吉干休所</w:t>
            </w:r>
          </w:p>
        </w:tc>
      </w:tr>
      <w:tr w14:paraId="1995D2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E67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171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1CD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EA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89D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744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271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586E">
            <w:pPr>
              <w:jc w:val="center"/>
            </w:pPr>
            <w:r>
              <w:rPr>
                <w:rFonts w:ascii="宋体" w:hAnsi="宋体" w:eastAsia="宋体"/>
                <w:sz w:val="16"/>
              </w:rPr>
              <w:t>得分</w:t>
            </w:r>
          </w:p>
        </w:tc>
      </w:tr>
      <w:tr w14:paraId="34BFC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B5A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B4B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C7613">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E0062">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A8B01">
            <w:pPr>
              <w:jc w:val="center"/>
            </w:pPr>
            <w:r>
              <w:rPr>
                <w:rFonts w:ascii="宋体" w:hAnsi="宋体" w:eastAsia="宋体"/>
                <w:sz w:val="16"/>
              </w:rPr>
              <w:t>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0D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D0FA">
            <w:pPr>
              <w:jc w:val="center"/>
            </w:pPr>
            <w:r>
              <w:rPr>
                <w:rFonts w:ascii="宋体" w:hAnsi="宋体" w:eastAsia="宋体"/>
                <w:sz w:val="16"/>
              </w:rPr>
              <w:t>79.6%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EAE4">
            <w:pPr>
              <w:jc w:val="center"/>
            </w:pPr>
            <w:r>
              <w:rPr>
                <w:rFonts w:ascii="宋体" w:hAnsi="宋体" w:eastAsia="宋体"/>
                <w:sz w:val="16"/>
              </w:rPr>
              <w:t>4.89分</w:t>
            </w:r>
          </w:p>
        </w:tc>
      </w:tr>
      <w:tr w14:paraId="61A79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F01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5EF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F07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2A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639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FEF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D1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1FEA">
            <w:pPr>
              <w:jc w:val="center"/>
            </w:pPr>
            <w:r>
              <w:rPr>
                <w:rFonts w:ascii="宋体" w:hAnsi="宋体" w:eastAsia="宋体"/>
                <w:sz w:val="16"/>
              </w:rPr>
              <w:t>—</w:t>
            </w:r>
          </w:p>
        </w:tc>
      </w:tr>
      <w:tr w14:paraId="2730D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12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B2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EEFC3">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B5028">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77CC1">
            <w:pPr>
              <w:jc w:val="center"/>
            </w:pPr>
            <w:r>
              <w:rPr>
                <w:rFonts w:ascii="宋体" w:hAnsi="宋体" w:eastAsia="宋体"/>
                <w:sz w:val="16"/>
              </w:rPr>
              <w:t>1.79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574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37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3BBB">
            <w:pPr>
              <w:jc w:val="center"/>
            </w:pPr>
            <w:r>
              <w:rPr>
                <w:rFonts w:ascii="宋体" w:hAnsi="宋体" w:eastAsia="宋体"/>
                <w:sz w:val="16"/>
              </w:rPr>
              <w:t>—</w:t>
            </w:r>
          </w:p>
        </w:tc>
      </w:tr>
      <w:tr w14:paraId="3E51DC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D0C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DAF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785661">
            <w:pPr>
              <w:jc w:val="center"/>
            </w:pPr>
            <w:r>
              <w:rPr>
                <w:rFonts w:ascii="宋体" w:hAnsi="宋体" w:eastAsia="宋体"/>
                <w:sz w:val="16"/>
              </w:rPr>
              <w:t>实际完成情况</w:t>
            </w:r>
          </w:p>
        </w:tc>
      </w:tr>
      <w:tr w14:paraId="6402B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DA7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D112F">
            <w:pPr>
              <w:jc w:val="both"/>
            </w:pPr>
            <w:r>
              <w:rPr>
                <w:rFonts w:ascii="宋体" w:hAnsi="宋体" w:eastAsia="宋体"/>
                <w:sz w:val="16"/>
              </w:rPr>
              <w:t>该项目总投资2.25万元，其中：财政资金0万元，其他资金2.25万元，主要用于2024年水电费、老干部活动费、党建活动费。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04BFA">
            <w:pPr>
              <w:jc w:val="both"/>
            </w:pPr>
            <w:r>
              <w:rPr>
                <w:rFonts w:ascii="宋体" w:hAnsi="宋体" w:eastAsia="宋体"/>
                <w:sz w:val="16"/>
              </w:rPr>
              <w:t>截至2024年12月31日，已完成老干部活动4次。完成质量较高，达到预期的效果，通过对离退休老干部党支部开展学习活动，提高了离退休老干部对政治学习的积极性，提高了思想认识，也彰显了党组织对老干部的关心与重视。</w:t>
            </w:r>
          </w:p>
        </w:tc>
      </w:tr>
      <w:tr w14:paraId="3BC488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A80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40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B1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13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B3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16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77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04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A3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14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693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D3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A2853">
            <w:pPr>
              <w:jc w:val="center"/>
            </w:pPr>
            <w:r>
              <w:rPr>
                <w:rFonts w:ascii="宋体" w:hAnsi="宋体" w:eastAsia="宋体"/>
                <w:sz w:val="16"/>
              </w:rPr>
              <w:t>偏差原因分析及改进措施</w:t>
            </w:r>
          </w:p>
        </w:tc>
      </w:tr>
      <w:tr w14:paraId="4E8F7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561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600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7F5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0FF6">
            <w:pPr>
              <w:jc w:val="center"/>
            </w:pPr>
            <w:r>
              <w:rPr>
                <w:rFonts w:ascii="宋体" w:hAnsi="宋体" w:eastAsia="宋体"/>
                <w:sz w:val="16"/>
              </w:rPr>
              <w:t>开展活动次数（次）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294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5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C3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65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3D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13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D3C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7B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AF219">
            <w:pPr>
              <w:jc w:val="center"/>
            </w:pPr>
          </w:p>
        </w:tc>
      </w:tr>
      <w:tr w14:paraId="0D103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AB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02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36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0FED">
            <w:pPr>
              <w:jc w:val="center"/>
            </w:pPr>
            <w:r>
              <w:rPr>
                <w:rFonts w:ascii="宋体" w:hAnsi="宋体" w:eastAsia="宋体"/>
                <w:sz w:val="16"/>
              </w:rPr>
              <w:t>支付水电费次数（次）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78FF">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7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E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61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D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5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4AA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B20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F400E">
            <w:pPr>
              <w:jc w:val="center"/>
            </w:pPr>
            <w:r>
              <w:rPr>
                <w:rFonts w:ascii="宋体" w:hAnsi="宋体" w:eastAsia="宋体"/>
                <w:sz w:val="16"/>
              </w:rPr>
              <w:t>偏差原因:</w:t>
            </w:r>
            <w:r>
              <w:rPr>
                <w:rFonts w:hint="eastAsia" w:ascii="宋体" w:hAnsi="宋体"/>
                <w:sz w:val="16"/>
                <w:lang w:eastAsia="zh-CN"/>
              </w:rPr>
              <w:t>因</w:t>
            </w:r>
            <w:r>
              <w:rPr>
                <w:rFonts w:ascii="宋体" w:hAnsi="宋体" w:eastAsia="宋体"/>
                <w:sz w:val="16"/>
              </w:rPr>
              <w:t>水电费缴费月份有合并现象，故次数未达到。改进措施：优化实施方案，序时推进。</w:t>
            </w:r>
          </w:p>
        </w:tc>
      </w:tr>
      <w:tr w14:paraId="74EE7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B0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72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4C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3DE1">
            <w:pPr>
              <w:jc w:val="center"/>
            </w:pPr>
            <w:r>
              <w:rPr>
                <w:rFonts w:ascii="宋体" w:hAnsi="宋体" w:eastAsia="宋体"/>
                <w:sz w:val="16"/>
              </w:rPr>
              <w:t>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BF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66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24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F4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F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B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5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38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E41A">
            <w:pPr>
              <w:jc w:val="center"/>
            </w:pPr>
          </w:p>
        </w:tc>
      </w:tr>
      <w:tr w14:paraId="5A56D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A7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268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C09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DDE2">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F5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7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7C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61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6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B4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6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FC9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BE863">
            <w:pPr>
              <w:jc w:val="center"/>
            </w:pPr>
          </w:p>
        </w:tc>
      </w:tr>
      <w:tr w14:paraId="1E224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65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B4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6D4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D101">
            <w:pPr>
              <w:jc w:val="center"/>
            </w:pPr>
            <w:r>
              <w:rPr>
                <w:rFonts w:ascii="宋体" w:hAnsi="宋体" w:eastAsia="宋体"/>
                <w:sz w:val="16"/>
              </w:rPr>
              <w:t>支付水电费及时率（%）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2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5C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4E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A7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9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43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9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AFA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7C445">
            <w:pPr>
              <w:jc w:val="center"/>
            </w:pPr>
          </w:p>
        </w:tc>
      </w:tr>
      <w:tr w14:paraId="3CCB9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7FB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75C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8ED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44BE">
            <w:pPr>
              <w:jc w:val="center"/>
            </w:pPr>
            <w:r>
              <w:rPr>
                <w:rFonts w:ascii="宋体" w:hAnsi="宋体" w:eastAsia="宋体"/>
                <w:sz w:val="16"/>
              </w:rPr>
              <w:t>老干部活动费（万元）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B4E8">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0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BB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B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5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2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655D">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0A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18C4">
            <w:pPr>
              <w:jc w:val="center"/>
            </w:pPr>
          </w:p>
        </w:tc>
      </w:tr>
      <w:tr w14:paraId="5D0BB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A9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9F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1D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0A8E">
            <w:pPr>
              <w:jc w:val="center"/>
            </w:pPr>
            <w:r>
              <w:rPr>
                <w:rFonts w:ascii="宋体" w:hAnsi="宋体" w:eastAsia="宋体"/>
                <w:sz w:val="16"/>
              </w:rPr>
              <w:t>党建活动费（万元）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AAB8">
            <w:pPr>
              <w:jc w:val="center"/>
            </w:pPr>
            <w:r>
              <w:rPr>
                <w:rFonts w:ascii="宋体" w:hAnsi="宋体" w:eastAsia="宋体"/>
                <w:sz w:val="16"/>
              </w:rPr>
              <w:t>&lt;=0.41万元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5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9D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0D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F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36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E384">
            <w:pPr>
              <w:jc w:val="center"/>
            </w:pPr>
            <w:r>
              <w:rPr>
                <w:rFonts w:ascii="宋体" w:hAnsi="宋体" w:eastAsia="宋体"/>
                <w:sz w:val="16"/>
              </w:rPr>
              <w:t>=0.17万元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C4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199D2">
            <w:pPr>
              <w:jc w:val="center"/>
            </w:pPr>
            <w:r>
              <w:rPr>
                <w:rFonts w:ascii="宋体" w:hAnsi="宋体" w:eastAsia="宋体"/>
                <w:sz w:val="16"/>
              </w:rPr>
              <w:t>偏差原因:</w:t>
            </w:r>
            <w:r>
              <w:rPr>
                <w:rFonts w:hint="eastAsia" w:ascii="宋体" w:hAnsi="宋体"/>
                <w:sz w:val="16"/>
                <w:lang w:eastAsia="zh-CN"/>
              </w:rPr>
              <w:t>因</w:t>
            </w:r>
            <w:r>
              <w:rPr>
                <w:rFonts w:ascii="宋体" w:hAnsi="宋体" w:eastAsia="宋体"/>
                <w:sz w:val="16"/>
              </w:rPr>
              <w:t>离退休党员年龄较大，开展活动不便，故经费未使用完；改进措施：优化实施方案，序时推进。</w:t>
            </w:r>
          </w:p>
        </w:tc>
      </w:tr>
      <w:tr w14:paraId="28745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AF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1F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6E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18B4">
            <w:pPr>
              <w:jc w:val="center"/>
            </w:pPr>
            <w:r>
              <w:rPr>
                <w:rFonts w:ascii="宋体" w:hAnsi="宋体" w:eastAsia="宋体"/>
                <w:sz w:val="16"/>
              </w:rPr>
              <w:t>水电费（万元）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A823">
            <w:pPr>
              <w:jc w:val="center"/>
            </w:pPr>
            <w:r>
              <w:rPr>
                <w:rFonts w:ascii="宋体" w:hAnsi="宋体" w:eastAsia="宋体"/>
                <w:sz w:val="16"/>
              </w:rPr>
              <w:t>&lt;=0.64万元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3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6C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70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8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E7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7076">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07B8">
            <w:pPr>
              <w:jc w:val="center"/>
            </w:pPr>
            <w:r>
              <w:rPr>
                <w:rFonts w:ascii="宋体" w:hAnsi="宋体" w:eastAsia="宋体"/>
                <w:sz w:val="16"/>
              </w:rPr>
              <w:t>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58F85">
            <w:pPr>
              <w:jc w:val="center"/>
            </w:pPr>
            <w:r>
              <w:rPr>
                <w:rFonts w:ascii="宋体" w:hAnsi="宋体" w:eastAsia="宋体"/>
                <w:sz w:val="16"/>
              </w:rPr>
              <w:t>偏差原因:因水电费属于预收，需预留下一年支付，故资金未使用完。改进措施：优化实施方案，序时推进。</w:t>
            </w:r>
          </w:p>
        </w:tc>
      </w:tr>
      <w:tr w14:paraId="2A669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12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3D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83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C4F4">
            <w:pPr>
              <w:jc w:val="center"/>
            </w:pPr>
            <w:r>
              <w:rPr>
                <w:rFonts w:ascii="宋体" w:hAnsi="宋体" w:eastAsia="宋体"/>
                <w:sz w:val="16"/>
              </w:rPr>
              <w:t>提升老干部幸福指数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97B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C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34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03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6C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9B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CFD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DF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8D021">
            <w:pPr>
              <w:jc w:val="center"/>
            </w:pPr>
          </w:p>
        </w:tc>
      </w:tr>
      <w:tr w14:paraId="7E354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FD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3A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95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034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52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3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6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7B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50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6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8B5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AF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C524">
            <w:pPr>
              <w:jc w:val="center"/>
            </w:pPr>
          </w:p>
        </w:tc>
      </w:tr>
      <w:tr w14:paraId="6BF343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521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AB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1F8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8BC53">
            <w:pPr>
              <w:jc w:val="center"/>
            </w:pPr>
            <w:r>
              <w:rPr>
                <w:rFonts w:ascii="宋体" w:hAnsi="宋体" w:eastAsia="宋体"/>
                <w:sz w:val="16"/>
              </w:rPr>
              <w:t>77.59分</w:t>
            </w:r>
          </w:p>
        </w:tc>
      </w:tr>
    </w:tbl>
    <w:p w14:paraId="210071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0B28794">
        <w:tblPrEx>
          <w:tblCellMar>
            <w:top w:w="0" w:type="dxa"/>
            <w:left w:w="108" w:type="dxa"/>
            <w:bottom w:w="0" w:type="dxa"/>
            <w:right w:w="108" w:type="dxa"/>
          </w:tblCellMar>
        </w:tblPrEx>
        <w:tc>
          <w:tcPr>
            <w:tcW w:w="8848" w:type="dxa"/>
            <w:gridSpan w:val="14"/>
            <w:vAlign w:val="center"/>
          </w:tcPr>
          <w:p w14:paraId="5F83EA0A">
            <w:pPr>
              <w:jc w:val="center"/>
            </w:pPr>
            <w:r>
              <w:rPr>
                <w:rFonts w:ascii="宋体" w:hAnsi="宋体" w:eastAsia="宋体"/>
                <w:sz w:val="24"/>
              </w:rPr>
              <w:t>项目支出绩效自评表</w:t>
            </w:r>
          </w:p>
        </w:tc>
      </w:tr>
      <w:tr w14:paraId="5CE8E1D4">
        <w:tblPrEx>
          <w:tblCellMar>
            <w:top w:w="0" w:type="dxa"/>
            <w:left w:w="108" w:type="dxa"/>
            <w:bottom w:w="0" w:type="dxa"/>
            <w:right w:w="108" w:type="dxa"/>
          </w:tblCellMar>
        </w:tblPrEx>
        <w:tc>
          <w:tcPr>
            <w:tcW w:w="8848" w:type="dxa"/>
            <w:gridSpan w:val="14"/>
            <w:vAlign w:val="center"/>
          </w:tcPr>
          <w:p w14:paraId="67C6F0DD">
            <w:pPr>
              <w:jc w:val="center"/>
            </w:pPr>
            <w:r>
              <w:rPr>
                <w:rFonts w:ascii="宋体" w:hAnsi="宋体" w:eastAsia="宋体"/>
                <w:sz w:val="24"/>
              </w:rPr>
              <w:t>(2024年度)</w:t>
            </w:r>
          </w:p>
        </w:tc>
      </w:tr>
      <w:tr w14:paraId="23A75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C2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F094EF">
            <w:pPr>
              <w:jc w:val="center"/>
            </w:pPr>
            <w:r>
              <w:rPr>
                <w:rFonts w:ascii="宋体" w:hAnsi="宋体" w:eastAsia="宋体"/>
                <w:sz w:val="16"/>
              </w:rPr>
              <w:t>场馆运行经费项目</w:t>
            </w:r>
          </w:p>
        </w:tc>
      </w:tr>
      <w:tr w14:paraId="7E784A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E3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31787">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B2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7DA481">
            <w:pPr>
              <w:jc w:val="center"/>
            </w:pPr>
            <w:r>
              <w:rPr>
                <w:rFonts w:ascii="宋体" w:hAnsi="宋体" w:eastAsia="宋体"/>
                <w:sz w:val="16"/>
              </w:rPr>
              <w:t>克孜勒苏柯尔克孜自治州驻昌吉干休所</w:t>
            </w:r>
          </w:p>
        </w:tc>
      </w:tr>
      <w:tr w14:paraId="478142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22F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52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1B5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73B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EB4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2F0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F3D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B3A5">
            <w:pPr>
              <w:jc w:val="center"/>
            </w:pPr>
            <w:r>
              <w:rPr>
                <w:rFonts w:ascii="宋体" w:hAnsi="宋体" w:eastAsia="宋体"/>
                <w:sz w:val="16"/>
              </w:rPr>
              <w:t>得分</w:t>
            </w:r>
          </w:p>
        </w:tc>
      </w:tr>
      <w:tr w14:paraId="6E3A4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262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792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75BB7">
            <w:pPr>
              <w:jc w:val="center"/>
            </w:pPr>
            <w:r>
              <w:rPr>
                <w:rFonts w:ascii="宋体" w:hAnsi="宋体" w:eastAsia="宋体"/>
                <w:sz w:val="16"/>
              </w:rPr>
              <w:t>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7CEA">
            <w:pPr>
              <w:jc w:val="center"/>
            </w:pPr>
            <w:r>
              <w:rPr>
                <w:rFonts w:ascii="宋体" w:hAnsi="宋体" w:eastAsia="宋体"/>
                <w:sz w:val="16"/>
              </w:rPr>
              <w:t>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7F75E">
            <w:pPr>
              <w:jc w:val="center"/>
            </w:pPr>
            <w:r>
              <w:rPr>
                <w:rFonts w:ascii="宋体" w:hAnsi="宋体" w:eastAsia="宋体"/>
                <w:sz w:val="16"/>
              </w:rPr>
              <w:t>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2AF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0AB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703E">
            <w:pPr>
              <w:jc w:val="center"/>
            </w:pPr>
            <w:r>
              <w:rPr>
                <w:rFonts w:ascii="宋体" w:hAnsi="宋体" w:eastAsia="宋体"/>
                <w:sz w:val="16"/>
              </w:rPr>
              <w:t>10.00分</w:t>
            </w:r>
          </w:p>
        </w:tc>
      </w:tr>
      <w:tr w14:paraId="5AA5D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7D5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79C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71E9">
            <w:pPr>
              <w:jc w:val="center"/>
            </w:pPr>
            <w:r>
              <w:rPr>
                <w:rFonts w:ascii="宋体" w:hAnsi="宋体" w:eastAsia="宋体"/>
                <w:sz w:val="16"/>
              </w:rPr>
              <w:t>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286F">
            <w:pPr>
              <w:jc w:val="center"/>
            </w:pPr>
            <w:r>
              <w:rPr>
                <w:rFonts w:ascii="宋体" w:hAnsi="宋体" w:eastAsia="宋体"/>
                <w:sz w:val="16"/>
              </w:rPr>
              <w:t>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E5824">
            <w:pPr>
              <w:jc w:val="center"/>
            </w:pPr>
            <w:r>
              <w:rPr>
                <w:rFonts w:ascii="宋体" w:hAnsi="宋体" w:eastAsia="宋体"/>
                <w:sz w:val="16"/>
              </w:rPr>
              <w:t>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B57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C8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33C0">
            <w:pPr>
              <w:jc w:val="center"/>
            </w:pPr>
            <w:r>
              <w:rPr>
                <w:rFonts w:ascii="宋体" w:hAnsi="宋体" w:eastAsia="宋体"/>
                <w:sz w:val="16"/>
              </w:rPr>
              <w:t>—</w:t>
            </w:r>
          </w:p>
        </w:tc>
      </w:tr>
      <w:tr w14:paraId="23910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747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B6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555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A2C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7A7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CC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6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96AD">
            <w:pPr>
              <w:jc w:val="center"/>
            </w:pPr>
            <w:r>
              <w:rPr>
                <w:rFonts w:ascii="宋体" w:hAnsi="宋体" w:eastAsia="宋体"/>
                <w:sz w:val="16"/>
              </w:rPr>
              <w:t>—</w:t>
            </w:r>
          </w:p>
        </w:tc>
      </w:tr>
      <w:tr w14:paraId="258D12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7902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A37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B8D4A1">
            <w:pPr>
              <w:jc w:val="center"/>
            </w:pPr>
            <w:r>
              <w:rPr>
                <w:rFonts w:ascii="宋体" w:hAnsi="宋体" w:eastAsia="宋体"/>
                <w:sz w:val="16"/>
              </w:rPr>
              <w:t>实际完成情况</w:t>
            </w:r>
          </w:p>
        </w:tc>
      </w:tr>
      <w:tr w14:paraId="445A8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B5D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370A2B">
            <w:pPr>
              <w:jc w:val="both"/>
            </w:pPr>
            <w:r>
              <w:rPr>
                <w:rFonts w:ascii="宋体" w:hAnsi="宋体" w:eastAsia="宋体"/>
                <w:sz w:val="16"/>
              </w:rPr>
              <w:t>该项目资金用于2024年维修维护老干部活动场所设施。通过该项目的实施，对活动室、办公楼及其他活动场所的维修与改善；老干部楼屋顶维修；院内树木保养与修剪；下水管道维护等，以此提升老干部活动场所环境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CE373F">
            <w:pPr>
              <w:jc w:val="both"/>
            </w:pPr>
            <w:r>
              <w:rPr>
                <w:rFonts w:ascii="宋体" w:hAnsi="宋体" w:eastAsia="宋体"/>
                <w:sz w:val="16"/>
              </w:rPr>
              <w:t>截至2024年12月31日，完成：老干部楼屋顶维修800平方米；院内树木保养及修剪600棵；活动场所维修及改善15次；下水管道维护20户。通过该项目的实施，对老干部楼、活动室及其他活动场地提供安全及便利，以此提升老干部活动场所环境条件。</w:t>
            </w:r>
          </w:p>
        </w:tc>
      </w:tr>
      <w:tr w14:paraId="574E91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624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88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30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6D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09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D9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F4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F2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84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CB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31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79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D3315">
            <w:pPr>
              <w:jc w:val="center"/>
            </w:pPr>
            <w:r>
              <w:rPr>
                <w:rFonts w:ascii="宋体" w:hAnsi="宋体" w:eastAsia="宋体"/>
                <w:sz w:val="16"/>
              </w:rPr>
              <w:t>偏差原因分析及改进措施</w:t>
            </w:r>
          </w:p>
        </w:tc>
      </w:tr>
      <w:tr w14:paraId="1FA7EC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3AC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199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F80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AC3E">
            <w:pPr>
              <w:jc w:val="center"/>
            </w:pPr>
            <w:r>
              <w:rPr>
                <w:rFonts w:ascii="宋体" w:hAnsi="宋体" w:eastAsia="宋体"/>
                <w:sz w:val="16"/>
              </w:rPr>
              <w:t>老干部楼屋顶维修面积（平方米）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845D">
            <w:pPr>
              <w:jc w:val="center"/>
            </w:pPr>
            <w:r>
              <w:rPr>
                <w:rFonts w:ascii="宋体" w:hAnsi="宋体" w:eastAsia="宋体"/>
                <w:sz w:val="16"/>
              </w:rPr>
              <w:t>&gt;=800平方米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19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931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2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9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353A">
            <w:pPr>
              <w:jc w:val="center"/>
            </w:pPr>
            <w:r>
              <w:rPr>
                <w:rFonts w:ascii="宋体" w:hAnsi="宋体" w:eastAsia="宋体"/>
                <w:sz w:val="16"/>
              </w:rPr>
              <w: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9DA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3D96F">
            <w:pPr>
              <w:jc w:val="center"/>
            </w:pPr>
          </w:p>
        </w:tc>
      </w:tr>
      <w:tr w14:paraId="0CA9A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C8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55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89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3307">
            <w:pPr>
              <w:jc w:val="center"/>
            </w:pPr>
            <w:r>
              <w:rPr>
                <w:rFonts w:ascii="宋体" w:hAnsi="宋体" w:eastAsia="宋体"/>
                <w:sz w:val="16"/>
              </w:rPr>
              <w:t>院内树木保养粉刷及修剪棵数（棵）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9849">
            <w:pPr>
              <w:jc w:val="center"/>
            </w:pPr>
            <w:r>
              <w:rPr>
                <w:rFonts w:ascii="宋体" w:hAnsi="宋体" w:eastAsia="宋体"/>
                <w:sz w:val="16"/>
              </w:rPr>
              <w:t>&gt;=600棵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0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F0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DAD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5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1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C477">
            <w:pPr>
              <w:jc w:val="center"/>
            </w:pPr>
            <w:r>
              <w:rPr>
                <w:rFonts w:ascii="宋体" w:hAnsi="宋体" w:eastAsia="宋体"/>
                <w:sz w:val="16"/>
              </w:rPr>
              <w:t>=600棵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176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59FD">
            <w:pPr>
              <w:jc w:val="center"/>
            </w:pPr>
          </w:p>
        </w:tc>
      </w:tr>
      <w:tr w14:paraId="752EE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05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A2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3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AA63">
            <w:pPr>
              <w:jc w:val="center"/>
            </w:pPr>
            <w:r>
              <w:rPr>
                <w:rFonts w:ascii="宋体" w:hAnsi="宋体" w:eastAsia="宋体"/>
                <w:sz w:val="16"/>
              </w:rPr>
              <w:t>活动场所的维修与改善次数（次）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EA61">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E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06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13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5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4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0C98">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921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47DE8">
            <w:pPr>
              <w:jc w:val="center"/>
            </w:pPr>
          </w:p>
        </w:tc>
      </w:tr>
      <w:tr w14:paraId="34796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3C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DE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54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019A">
            <w:pPr>
              <w:jc w:val="center"/>
            </w:pPr>
            <w:r>
              <w:rPr>
                <w:rFonts w:ascii="宋体" w:hAnsi="宋体" w:eastAsia="宋体"/>
                <w:sz w:val="16"/>
              </w:rPr>
              <w:t>下水管道维护（户数）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CB41">
            <w:pPr>
              <w:jc w:val="center"/>
            </w:pPr>
            <w:r>
              <w:rPr>
                <w:rFonts w:ascii="宋体" w:hAnsi="宋体" w:eastAsia="宋体"/>
                <w:sz w:val="16"/>
              </w:rPr>
              <w:t>&gt;=20户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62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18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EC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8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7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B29F">
            <w:pPr>
              <w:jc w:val="center"/>
            </w:pPr>
            <w:r>
              <w:rPr>
                <w:rFonts w:ascii="宋体" w:hAnsi="宋体" w:eastAsia="宋体"/>
                <w:sz w:val="16"/>
              </w:rPr>
              <w: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B1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768D2">
            <w:pPr>
              <w:jc w:val="center"/>
            </w:pPr>
          </w:p>
        </w:tc>
      </w:tr>
      <w:tr w14:paraId="1A2BC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72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F2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55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788E">
            <w:pPr>
              <w:jc w:val="center"/>
            </w:pPr>
            <w:r>
              <w:rPr>
                <w:rFonts w:ascii="宋体" w:hAnsi="宋体" w:eastAsia="宋体"/>
                <w:sz w:val="16"/>
              </w:rPr>
              <w:t>维修完成质量合格率（%）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B32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5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F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90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A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8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A7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AD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C94B0">
            <w:pPr>
              <w:jc w:val="center"/>
            </w:pPr>
          </w:p>
        </w:tc>
      </w:tr>
      <w:tr w14:paraId="66E9C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28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B0D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0F3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87F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34B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5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1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F3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7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2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1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0C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CBFAD">
            <w:pPr>
              <w:jc w:val="center"/>
            </w:pPr>
          </w:p>
        </w:tc>
      </w:tr>
      <w:tr w14:paraId="211EC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2F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9F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68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56E7">
            <w:pPr>
              <w:jc w:val="center"/>
            </w:pPr>
            <w:r>
              <w:rPr>
                <w:rFonts w:ascii="宋体" w:hAnsi="宋体" w:eastAsia="宋体"/>
                <w:sz w:val="16"/>
              </w:rPr>
              <w:t>维修按时完成率（%）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83F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C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0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ED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A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1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C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48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1B46E">
            <w:pPr>
              <w:jc w:val="center"/>
            </w:pPr>
          </w:p>
        </w:tc>
      </w:tr>
      <w:tr w14:paraId="75553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56C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881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469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9AB7">
            <w:pPr>
              <w:jc w:val="center"/>
            </w:pPr>
            <w:r>
              <w:rPr>
                <w:rFonts w:ascii="宋体" w:hAnsi="宋体" w:eastAsia="宋体"/>
                <w:sz w:val="16"/>
              </w:rPr>
              <w:t>老干部楼屋顶维修经费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3771">
            <w:pPr>
              <w:jc w:val="center"/>
            </w:pPr>
            <w:r>
              <w:rPr>
                <w:rFonts w:ascii="宋体" w:hAnsi="宋体" w:eastAsia="宋体"/>
                <w:sz w:val="16"/>
              </w:rPr>
              <w:t>&lt;=4.05万元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EC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25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B6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8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EF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3BF9">
            <w:pPr>
              <w:jc w:val="center"/>
            </w:pPr>
            <w:r>
              <w:rPr>
                <w:rFonts w:ascii="宋体" w:hAnsi="宋体" w:eastAsia="宋体"/>
                <w:sz w:val="16"/>
              </w:rPr>
              <w: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BF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E11D">
            <w:pPr>
              <w:jc w:val="center"/>
            </w:pPr>
          </w:p>
        </w:tc>
      </w:tr>
      <w:tr w14:paraId="6562E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A2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8B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80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C883">
            <w:pPr>
              <w:jc w:val="center"/>
            </w:pPr>
            <w:r>
              <w:rPr>
                <w:rFonts w:ascii="宋体" w:hAnsi="宋体" w:eastAsia="宋体"/>
                <w:sz w:val="16"/>
              </w:rPr>
              <w:t>院内树木保养粉刷及修剪经费（万元）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B8B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AC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2B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B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95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3B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10C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02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92955">
            <w:pPr>
              <w:jc w:val="center"/>
            </w:pPr>
          </w:p>
        </w:tc>
      </w:tr>
      <w:tr w14:paraId="40AE9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6E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3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CA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CBED">
            <w:pPr>
              <w:jc w:val="center"/>
            </w:pPr>
            <w:r>
              <w:rPr>
                <w:rFonts w:ascii="宋体" w:hAnsi="宋体" w:eastAsia="宋体"/>
                <w:sz w:val="16"/>
              </w:rPr>
              <w:t>活动场所的维修与改善经费（万元）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C69E">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F2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70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84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8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CA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1618">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CD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882AC">
            <w:pPr>
              <w:jc w:val="center"/>
            </w:pPr>
          </w:p>
        </w:tc>
      </w:tr>
      <w:tr w14:paraId="512D9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E1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AB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7B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5577">
            <w:pPr>
              <w:jc w:val="center"/>
            </w:pPr>
            <w:r>
              <w:rPr>
                <w:rFonts w:ascii="宋体" w:hAnsi="宋体" w:eastAsia="宋体"/>
                <w:sz w:val="16"/>
              </w:rPr>
              <w:t>下水管道维护经费（万元）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7853">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FE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FF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B2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1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B9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DBD5">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B9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55C71">
            <w:pPr>
              <w:jc w:val="center"/>
            </w:pPr>
          </w:p>
        </w:tc>
      </w:tr>
      <w:tr w14:paraId="23CBF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DDC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3A86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2A9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92B3">
            <w:pPr>
              <w:jc w:val="center"/>
            </w:pPr>
            <w:r>
              <w:rPr>
                <w:rFonts w:ascii="宋体" w:hAnsi="宋体" w:eastAsia="宋体"/>
                <w:sz w:val="16"/>
              </w:rPr>
              <w:t>改善老干部活动场所环境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941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B1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439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9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CF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22C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55D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DA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5BB82">
            <w:pPr>
              <w:jc w:val="center"/>
            </w:pPr>
          </w:p>
        </w:tc>
      </w:tr>
      <w:tr w14:paraId="33AB3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36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D7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7F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C5BD">
            <w:pPr>
              <w:jc w:val="center"/>
            </w:pPr>
            <w:r>
              <w:rPr>
                <w:rFonts w:ascii="宋体" w:hAnsi="宋体" w:eastAsia="宋体"/>
                <w:sz w:val="16"/>
              </w:rPr>
              <w:t>提升老干部幸福感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95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9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BC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0E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5A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4F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CA5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F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17D6">
            <w:pPr>
              <w:jc w:val="center"/>
            </w:pPr>
          </w:p>
        </w:tc>
      </w:tr>
      <w:tr w14:paraId="58AC5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C3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F3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24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9C6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D9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D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5C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E7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ED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30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FC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1D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EDE96">
            <w:pPr>
              <w:jc w:val="center"/>
            </w:pPr>
          </w:p>
        </w:tc>
      </w:tr>
      <w:tr w14:paraId="3D981C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51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CA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EE5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8F05A">
            <w:pPr>
              <w:jc w:val="center"/>
            </w:pPr>
            <w:r>
              <w:rPr>
                <w:rFonts w:ascii="宋体" w:hAnsi="宋体" w:eastAsia="宋体"/>
                <w:sz w:val="16"/>
              </w:rPr>
              <w:t>100分</w:t>
            </w:r>
          </w:p>
        </w:tc>
      </w:tr>
    </w:tbl>
    <w:p w14:paraId="4C35B0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AE8EE65">
        <w:tblPrEx>
          <w:tblCellMar>
            <w:top w:w="0" w:type="dxa"/>
            <w:left w:w="108" w:type="dxa"/>
            <w:bottom w:w="0" w:type="dxa"/>
            <w:right w:w="108" w:type="dxa"/>
          </w:tblCellMar>
        </w:tblPrEx>
        <w:tc>
          <w:tcPr>
            <w:tcW w:w="8848" w:type="dxa"/>
            <w:gridSpan w:val="14"/>
            <w:vAlign w:val="center"/>
          </w:tcPr>
          <w:p w14:paraId="62F15D2D">
            <w:pPr>
              <w:jc w:val="center"/>
            </w:pPr>
            <w:r>
              <w:rPr>
                <w:rFonts w:ascii="宋体" w:hAnsi="宋体" w:eastAsia="宋体"/>
                <w:sz w:val="24"/>
              </w:rPr>
              <w:t>项目支出绩效自评表</w:t>
            </w:r>
          </w:p>
        </w:tc>
      </w:tr>
      <w:tr w14:paraId="4DFD8766">
        <w:tblPrEx>
          <w:tblCellMar>
            <w:top w:w="0" w:type="dxa"/>
            <w:left w:w="108" w:type="dxa"/>
            <w:bottom w:w="0" w:type="dxa"/>
            <w:right w:w="108" w:type="dxa"/>
          </w:tblCellMar>
        </w:tblPrEx>
        <w:tc>
          <w:tcPr>
            <w:tcW w:w="8848" w:type="dxa"/>
            <w:gridSpan w:val="14"/>
            <w:vAlign w:val="center"/>
          </w:tcPr>
          <w:p w14:paraId="366641A3">
            <w:pPr>
              <w:jc w:val="center"/>
            </w:pPr>
            <w:r>
              <w:rPr>
                <w:rFonts w:ascii="宋体" w:hAnsi="宋体" w:eastAsia="宋体"/>
                <w:sz w:val="24"/>
              </w:rPr>
              <w:t>(2024年度)</w:t>
            </w:r>
          </w:p>
        </w:tc>
      </w:tr>
      <w:tr w14:paraId="405540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9F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EB9115">
            <w:pPr>
              <w:jc w:val="center"/>
            </w:pPr>
            <w:r>
              <w:rPr>
                <w:rFonts w:ascii="宋体" w:hAnsi="宋体" w:eastAsia="宋体"/>
                <w:sz w:val="16"/>
              </w:rPr>
              <w:t>离退休党支部书记工作补贴</w:t>
            </w:r>
          </w:p>
        </w:tc>
      </w:tr>
      <w:tr w14:paraId="114EA9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D5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D1989D">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91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DFF776">
            <w:pPr>
              <w:jc w:val="center"/>
            </w:pPr>
            <w:r>
              <w:rPr>
                <w:rFonts w:ascii="宋体" w:hAnsi="宋体" w:eastAsia="宋体"/>
                <w:sz w:val="16"/>
              </w:rPr>
              <w:t>克孜勒苏柯尔克孜自治州驻昌吉干休所</w:t>
            </w:r>
          </w:p>
        </w:tc>
      </w:tr>
      <w:tr w14:paraId="555BA5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C08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D74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024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B4C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8EB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F19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4B3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02D5">
            <w:pPr>
              <w:jc w:val="center"/>
            </w:pPr>
            <w:r>
              <w:rPr>
                <w:rFonts w:ascii="宋体" w:hAnsi="宋体" w:eastAsia="宋体"/>
                <w:sz w:val="16"/>
              </w:rPr>
              <w:t>得分</w:t>
            </w:r>
          </w:p>
        </w:tc>
      </w:tr>
      <w:tr w14:paraId="5BD68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44A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E0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36879">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08E8C">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CF795">
            <w:pPr>
              <w:jc w:val="center"/>
            </w:pPr>
            <w:r>
              <w:rPr>
                <w:rFonts w:ascii="宋体" w:hAnsi="宋体" w:eastAsia="宋体"/>
                <w:sz w:val="16"/>
              </w:rPr>
              <w:t>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6F5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88823">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D87B">
            <w:pPr>
              <w:jc w:val="center"/>
            </w:pPr>
            <w:r>
              <w:rPr>
                <w:rFonts w:ascii="宋体" w:hAnsi="宋体" w:eastAsia="宋体"/>
                <w:sz w:val="16"/>
              </w:rPr>
              <w:t>7.22分</w:t>
            </w:r>
          </w:p>
        </w:tc>
      </w:tr>
      <w:tr w14:paraId="7EC04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050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C87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94CB9">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44674">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2AC92">
            <w:pPr>
              <w:jc w:val="center"/>
            </w:pPr>
            <w:r>
              <w:rPr>
                <w:rFonts w:ascii="宋体" w:hAnsi="宋体" w:eastAsia="宋体"/>
                <w:sz w:val="16"/>
              </w:rPr>
              <w:t>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B3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4F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67B4">
            <w:pPr>
              <w:jc w:val="center"/>
            </w:pPr>
            <w:r>
              <w:rPr>
                <w:rFonts w:ascii="宋体" w:hAnsi="宋体" w:eastAsia="宋体"/>
                <w:sz w:val="16"/>
              </w:rPr>
              <w:t>—</w:t>
            </w:r>
          </w:p>
        </w:tc>
      </w:tr>
      <w:tr w14:paraId="2E216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DC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0CA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67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6E6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943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470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95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DDDC">
            <w:pPr>
              <w:jc w:val="center"/>
            </w:pPr>
            <w:r>
              <w:rPr>
                <w:rFonts w:ascii="宋体" w:hAnsi="宋体" w:eastAsia="宋体"/>
                <w:sz w:val="16"/>
              </w:rPr>
              <w:t>—</w:t>
            </w:r>
          </w:p>
        </w:tc>
      </w:tr>
      <w:tr w14:paraId="7F3700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038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02A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5FC06D">
            <w:pPr>
              <w:jc w:val="center"/>
            </w:pPr>
            <w:r>
              <w:rPr>
                <w:rFonts w:ascii="宋体" w:hAnsi="宋体" w:eastAsia="宋体"/>
                <w:sz w:val="16"/>
              </w:rPr>
              <w:t>实际完成情况</w:t>
            </w:r>
          </w:p>
        </w:tc>
      </w:tr>
      <w:tr w14:paraId="56C70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284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41800">
            <w:pPr>
              <w:jc w:val="both"/>
            </w:pPr>
            <w:r>
              <w:rPr>
                <w:rFonts w:ascii="宋体" w:hAnsi="宋体" w:eastAsia="宋体"/>
                <w:sz w:val="16"/>
              </w:rPr>
              <w:t>该项目总投资1.08万元，其中：财政资金1.08万元，其他资金0万元，主要用于2024年对离退休党支部书记、委员每月进行补贴。通过该项目的实施，加强对老干部党组织的重视，提高老干部工作的积极性，按月进行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F3E7C7">
            <w:pPr>
              <w:jc w:val="both"/>
            </w:pPr>
            <w:r>
              <w:rPr>
                <w:rFonts w:ascii="宋体" w:hAnsi="宋体" w:eastAsia="宋体"/>
                <w:sz w:val="16"/>
              </w:rPr>
              <w:t>截至2024年12月31日，完成12个月4个人的补贴发放。完成质量较高，发放及时，达到预期的效果，通过对老干部党支部书记、委员进行补贴，提高了离退休老干部对党支部工作的积极性，发挥了余热，也彰显了党组织对老干部的关心与重视</w:t>
            </w:r>
          </w:p>
        </w:tc>
      </w:tr>
      <w:tr w14:paraId="17D9E2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714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BB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C5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DD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10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10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D3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8A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7A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24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9F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A7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E308E">
            <w:pPr>
              <w:jc w:val="center"/>
            </w:pPr>
            <w:r>
              <w:rPr>
                <w:rFonts w:ascii="宋体" w:hAnsi="宋体" w:eastAsia="宋体"/>
                <w:sz w:val="16"/>
              </w:rPr>
              <w:t>偏差原因分析及改进措施</w:t>
            </w:r>
          </w:p>
        </w:tc>
      </w:tr>
      <w:tr w14:paraId="331EA1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2F9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D5E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A81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9F9F">
            <w:pPr>
              <w:jc w:val="center"/>
            </w:pPr>
            <w:r>
              <w:rPr>
                <w:rFonts w:ascii="宋体" w:hAnsi="宋体" w:eastAsia="宋体"/>
                <w:sz w:val="16"/>
              </w:rPr>
              <w:t>发放补助个人数量（人）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29CD">
            <w:pPr>
              <w:jc w:val="center"/>
            </w:pPr>
            <w:r>
              <w:rPr>
                <w:rFonts w:ascii="宋体" w:hAnsi="宋体" w:eastAsia="宋体"/>
                <w:sz w:val="16"/>
              </w:rPr>
              <w:t>&lt;=5人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4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812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A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4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5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CC8C">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0C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FF265">
            <w:pPr>
              <w:jc w:val="center"/>
            </w:pPr>
            <w:r>
              <w:rPr>
                <w:rFonts w:ascii="宋体" w:hAnsi="宋体" w:eastAsia="宋体"/>
                <w:sz w:val="16"/>
              </w:rPr>
              <w:t>偏差原因：减少1名发放补助人员。改进措施：优化实施方案，序时推进。</w:t>
            </w:r>
          </w:p>
        </w:tc>
      </w:tr>
      <w:tr w14:paraId="3BAB0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E5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2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DD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8ACF">
            <w:pPr>
              <w:jc w:val="center"/>
            </w:pPr>
            <w:r>
              <w:rPr>
                <w:rFonts w:ascii="宋体" w:hAnsi="宋体" w:eastAsia="宋体"/>
                <w:sz w:val="16"/>
              </w:rPr>
              <w:t>发放金额次数(次)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792A">
            <w:pPr>
              <w:jc w:val="center"/>
            </w:pPr>
            <w:r>
              <w:rPr>
                <w:rFonts w:ascii="宋体" w:hAnsi="宋体" w:eastAsia="宋体"/>
                <w:sz w:val="16"/>
              </w:rPr>
              <w:t>&lt;=12次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CA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204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A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D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9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1AF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B2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7AF6D">
            <w:pPr>
              <w:jc w:val="center"/>
            </w:pPr>
          </w:p>
        </w:tc>
      </w:tr>
      <w:tr w14:paraId="29856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3B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D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D4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F698">
            <w:pPr>
              <w:jc w:val="center"/>
            </w:pPr>
            <w:r>
              <w:rPr>
                <w:rFonts w:ascii="宋体" w:hAnsi="宋体" w:eastAsia="宋体"/>
                <w:sz w:val="16"/>
              </w:rPr>
              <w:t>发放工作补助覆盖率(%)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FFA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9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D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0E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B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0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2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31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A810">
            <w:pPr>
              <w:jc w:val="center"/>
            </w:pPr>
          </w:p>
        </w:tc>
      </w:tr>
      <w:tr w14:paraId="4E175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24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B4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08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C430">
            <w:pPr>
              <w:jc w:val="center"/>
            </w:pPr>
            <w:r>
              <w:rPr>
                <w:rFonts w:ascii="宋体" w:hAnsi="宋体" w:eastAsia="宋体"/>
                <w:sz w:val="16"/>
              </w:rPr>
              <w:t>补贴补助发放及时率(%)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9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1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1C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3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8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19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8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B0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1522F">
            <w:pPr>
              <w:jc w:val="center"/>
            </w:pPr>
          </w:p>
        </w:tc>
      </w:tr>
      <w:tr w14:paraId="52FF8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37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570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7A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FC70">
            <w:pPr>
              <w:jc w:val="center"/>
            </w:pPr>
            <w:r>
              <w:rPr>
                <w:rFonts w:ascii="宋体" w:hAnsi="宋体" w:eastAsia="宋体"/>
                <w:sz w:val="16"/>
              </w:rPr>
              <w:t>工作补贴费用（万元）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3897">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FE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95DE">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67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A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47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1AD9">
            <w:pPr>
              <w:jc w:val="center"/>
            </w:pPr>
            <w:r>
              <w:rPr>
                <w:rFonts w:ascii="宋体" w:hAnsi="宋体" w:eastAsia="宋体"/>
                <w:sz w:val="16"/>
              </w:rPr>
              <w:t>=0.96万元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C1D9">
            <w:pPr>
              <w:jc w:val="center"/>
            </w:pPr>
            <w:r>
              <w:rPr>
                <w:rFonts w:ascii="宋体" w:hAnsi="宋体" w:eastAsia="宋体"/>
                <w:sz w:val="16"/>
              </w:rPr>
              <w:t>14.44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A8ABE">
            <w:pPr>
              <w:jc w:val="center"/>
            </w:pPr>
            <w:r>
              <w:rPr>
                <w:rFonts w:ascii="宋体" w:hAnsi="宋体" w:eastAsia="宋体"/>
                <w:sz w:val="16"/>
              </w:rPr>
              <w:t>偏差原因：减少1名发放补助人员。改进措施：优化实施方案，序时推进。</w:t>
            </w:r>
          </w:p>
        </w:tc>
      </w:tr>
      <w:tr w14:paraId="64B5A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1E7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11B2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78B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D90E">
            <w:pPr>
              <w:jc w:val="center"/>
            </w:pPr>
            <w:r>
              <w:rPr>
                <w:rFonts w:ascii="宋体" w:hAnsi="宋体" w:eastAsia="宋体"/>
                <w:sz w:val="16"/>
              </w:rPr>
              <w:t>改善补助人员生活水平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CFB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8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DF9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4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78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2D2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B27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96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CD655">
            <w:pPr>
              <w:jc w:val="center"/>
            </w:pPr>
          </w:p>
        </w:tc>
      </w:tr>
      <w:tr w14:paraId="3EDC1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26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51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97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980F">
            <w:pPr>
              <w:jc w:val="center"/>
            </w:pPr>
            <w:r>
              <w:rPr>
                <w:rFonts w:ascii="宋体" w:hAnsi="宋体" w:eastAsia="宋体"/>
                <w:sz w:val="16"/>
              </w:rPr>
              <w:t>提升离退休老干部生活幸福指数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BB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5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AD7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D8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1C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56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81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1F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100DA">
            <w:pPr>
              <w:jc w:val="center"/>
            </w:pPr>
          </w:p>
        </w:tc>
      </w:tr>
      <w:tr w14:paraId="65CCE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F7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EF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40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849D">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DB2A">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8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50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F6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32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27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28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EF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3DF3">
            <w:pPr>
              <w:jc w:val="center"/>
            </w:pPr>
          </w:p>
        </w:tc>
      </w:tr>
      <w:tr w14:paraId="17B7D9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09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5A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78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CA3106">
            <w:pPr>
              <w:jc w:val="center"/>
            </w:pPr>
            <w:r>
              <w:rPr>
                <w:rFonts w:ascii="宋体" w:hAnsi="宋体" w:eastAsia="宋体"/>
                <w:sz w:val="16"/>
              </w:rPr>
              <w:t>86.66分</w:t>
            </w:r>
          </w:p>
        </w:tc>
      </w:tr>
    </w:tbl>
    <w:p w14:paraId="25E3BD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35210DC1">
        <w:tblPrEx>
          <w:tblCellMar>
            <w:top w:w="0" w:type="dxa"/>
            <w:left w:w="108" w:type="dxa"/>
            <w:bottom w:w="0" w:type="dxa"/>
            <w:right w:w="108" w:type="dxa"/>
          </w:tblCellMar>
        </w:tblPrEx>
        <w:tc>
          <w:tcPr>
            <w:tcW w:w="8848" w:type="dxa"/>
            <w:gridSpan w:val="14"/>
            <w:vAlign w:val="center"/>
          </w:tcPr>
          <w:p w14:paraId="02D271C8">
            <w:pPr>
              <w:jc w:val="center"/>
            </w:pPr>
            <w:r>
              <w:rPr>
                <w:rFonts w:ascii="宋体" w:hAnsi="宋体" w:eastAsia="宋体"/>
                <w:sz w:val="24"/>
              </w:rPr>
              <w:t>项目支出绩效自评表</w:t>
            </w:r>
          </w:p>
        </w:tc>
      </w:tr>
      <w:tr w14:paraId="16F9ACEB">
        <w:tblPrEx>
          <w:tblCellMar>
            <w:top w:w="0" w:type="dxa"/>
            <w:left w:w="108" w:type="dxa"/>
            <w:bottom w:w="0" w:type="dxa"/>
            <w:right w:w="108" w:type="dxa"/>
          </w:tblCellMar>
        </w:tblPrEx>
        <w:tc>
          <w:tcPr>
            <w:tcW w:w="8848" w:type="dxa"/>
            <w:gridSpan w:val="14"/>
            <w:vAlign w:val="center"/>
          </w:tcPr>
          <w:p w14:paraId="6B5E1AFD">
            <w:pPr>
              <w:jc w:val="center"/>
            </w:pPr>
            <w:r>
              <w:rPr>
                <w:rFonts w:ascii="宋体" w:hAnsi="宋体" w:eastAsia="宋体"/>
                <w:sz w:val="24"/>
              </w:rPr>
              <w:t>(2024年度)</w:t>
            </w:r>
          </w:p>
        </w:tc>
      </w:tr>
      <w:tr w14:paraId="5B9E5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A4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9E7D6A">
            <w:pPr>
              <w:jc w:val="center"/>
            </w:pPr>
            <w:r>
              <w:rPr>
                <w:rFonts w:ascii="宋体" w:hAnsi="宋体" w:eastAsia="宋体"/>
                <w:sz w:val="16"/>
              </w:rPr>
              <w:t>聘用人员工资项目</w:t>
            </w:r>
          </w:p>
        </w:tc>
      </w:tr>
      <w:tr w14:paraId="16E2DE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FC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265884">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D9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F661A3">
            <w:pPr>
              <w:jc w:val="center"/>
            </w:pPr>
            <w:r>
              <w:rPr>
                <w:rFonts w:ascii="宋体" w:hAnsi="宋体" w:eastAsia="宋体"/>
                <w:sz w:val="16"/>
              </w:rPr>
              <w:t>克孜勒苏柯尔克孜自治州驻昌吉干休所</w:t>
            </w:r>
          </w:p>
        </w:tc>
      </w:tr>
      <w:tr w14:paraId="6E5B5E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B64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6A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F43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634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E6A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58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7A9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3569">
            <w:pPr>
              <w:jc w:val="center"/>
            </w:pPr>
            <w:r>
              <w:rPr>
                <w:rFonts w:ascii="宋体" w:hAnsi="宋体" w:eastAsia="宋体"/>
                <w:sz w:val="16"/>
              </w:rPr>
              <w:t>得分</w:t>
            </w:r>
          </w:p>
        </w:tc>
      </w:tr>
      <w:tr w14:paraId="2A1DB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B22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0E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8AC47">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0AEB">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37423">
            <w:pPr>
              <w:jc w:val="center"/>
            </w:pPr>
            <w:r>
              <w:rPr>
                <w:rFonts w:ascii="宋体" w:hAnsi="宋体" w:eastAsia="宋体"/>
                <w:sz w:val="16"/>
              </w:rPr>
              <w:t>14.35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39E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6A909">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564E">
            <w:pPr>
              <w:jc w:val="center"/>
            </w:pPr>
            <w:r>
              <w:rPr>
                <w:rFonts w:ascii="宋体" w:hAnsi="宋体" w:eastAsia="宋体"/>
                <w:sz w:val="16"/>
              </w:rPr>
              <w:t>9.91分</w:t>
            </w:r>
          </w:p>
        </w:tc>
      </w:tr>
      <w:tr w14:paraId="4BE72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7DD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8F3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74D3A">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5AC67">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FCF3">
            <w:pPr>
              <w:jc w:val="center"/>
            </w:pPr>
            <w:r>
              <w:rPr>
                <w:rFonts w:ascii="宋体" w:hAnsi="宋体" w:eastAsia="宋体"/>
                <w:sz w:val="16"/>
              </w:rPr>
              <w:t>14.35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4D4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1B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BC75">
            <w:pPr>
              <w:jc w:val="center"/>
            </w:pPr>
            <w:r>
              <w:rPr>
                <w:rFonts w:ascii="宋体" w:hAnsi="宋体" w:eastAsia="宋体"/>
                <w:sz w:val="16"/>
              </w:rPr>
              <w:t>—</w:t>
            </w:r>
          </w:p>
        </w:tc>
      </w:tr>
      <w:tr w14:paraId="1D0D3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D23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95F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50C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8E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ED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218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63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C10A">
            <w:pPr>
              <w:jc w:val="center"/>
            </w:pPr>
            <w:r>
              <w:rPr>
                <w:rFonts w:ascii="宋体" w:hAnsi="宋体" w:eastAsia="宋体"/>
                <w:sz w:val="16"/>
              </w:rPr>
              <w:t>—</w:t>
            </w:r>
          </w:p>
        </w:tc>
      </w:tr>
      <w:tr w14:paraId="7FB250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7AF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50A0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24E579">
            <w:pPr>
              <w:jc w:val="center"/>
            </w:pPr>
            <w:r>
              <w:rPr>
                <w:rFonts w:ascii="宋体" w:hAnsi="宋体" w:eastAsia="宋体"/>
                <w:sz w:val="16"/>
              </w:rPr>
              <w:t>实际完成情况</w:t>
            </w:r>
          </w:p>
        </w:tc>
      </w:tr>
      <w:tr w14:paraId="403C7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1EA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69673">
            <w:pPr>
              <w:jc w:val="both"/>
            </w:pPr>
            <w:r>
              <w:rPr>
                <w:rFonts w:ascii="宋体" w:hAnsi="宋体" w:eastAsia="宋体"/>
                <w:sz w:val="16"/>
              </w:rPr>
              <w:t>该项目总投资14.4万元，其中：财政资金14.4万元，其他资金0万元，主要用于支付2024年聘用人员工资。通过该项目的实施，使老干部有一个治安良好的居住环境，保障出行便利，特聘用保安2名、大车司机1名和代办员1名，按月足额发放聘用人员工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1F3BF8">
            <w:pPr>
              <w:jc w:val="both"/>
            </w:pPr>
            <w:r>
              <w:rPr>
                <w:rFonts w:ascii="宋体" w:hAnsi="宋体" w:eastAsia="宋体"/>
                <w:sz w:val="16"/>
              </w:rPr>
              <w:t>截至2024年12月31日，完成：已完成12个月4个人的工资发放。完成质量较高，工资及时发放，达到预期的效果，通过聘用人员的认真工作，使干休所内居住的老干部及办公人员在环境优美、治安良好的条件下生活和工作，大家生活和工作都得到了舒心。</w:t>
            </w:r>
          </w:p>
        </w:tc>
      </w:tr>
      <w:tr w14:paraId="36C488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2ED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10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88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83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C7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2C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78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C2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B6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91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E0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BD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3A723">
            <w:pPr>
              <w:jc w:val="center"/>
            </w:pPr>
            <w:r>
              <w:rPr>
                <w:rFonts w:ascii="宋体" w:hAnsi="宋体" w:eastAsia="宋体"/>
                <w:sz w:val="16"/>
              </w:rPr>
              <w:t>偏差原因分析及改进措施</w:t>
            </w:r>
          </w:p>
        </w:tc>
      </w:tr>
      <w:tr w14:paraId="38BCDB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4E5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1D7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9B1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AEDA">
            <w:pPr>
              <w:jc w:val="center"/>
            </w:pPr>
            <w:r>
              <w:rPr>
                <w:rFonts w:ascii="宋体" w:hAnsi="宋体" w:eastAsia="宋体"/>
                <w:sz w:val="16"/>
              </w:rPr>
              <w:t>发放个人数量（人）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FCA6">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C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9D2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4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7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A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859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9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0D8E">
            <w:pPr>
              <w:jc w:val="center"/>
            </w:pPr>
          </w:p>
        </w:tc>
      </w:tr>
      <w:tr w14:paraId="0C9FA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9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1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E1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0175">
            <w:pPr>
              <w:jc w:val="center"/>
            </w:pPr>
            <w:r>
              <w:rPr>
                <w:rFonts w:ascii="宋体" w:hAnsi="宋体" w:eastAsia="宋体"/>
                <w:sz w:val="16"/>
              </w:rPr>
              <w:t>发放工资次数（次）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12B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2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2CB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F4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D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CC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3B9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3D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7C4F7">
            <w:pPr>
              <w:jc w:val="center"/>
            </w:pPr>
          </w:p>
        </w:tc>
      </w:tr>
      <w:tr w14:paraId="7FC4D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A1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A1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73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DFF6">
            <w:pPr>
              <w:jc w:val="center"/>
            </w:pPr>
            <w:r>
              <w:rPr>
                <w:rFonts w:ascii="宋体" w:hAnsi="宋体" w:eastAsia="宋体"/>
                <w:sz w:val="16"/>
              </w:rPr>
              <w:t>发放工资覆盖率（%）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6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8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ADA3">
            <w:pPr>
              <w:jc w:val="center"/>
            </w:pPr>
            <w:r>
              <w:rPr>
                <w:rFonts w:ascii="宋体" w:hAnsi="宋体" w:eastAsia="宋体"/>
                <w:sz w:val="16"/>
              </w:rPr>
              <w:t>97.34%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5D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0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5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E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D0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AB884">
            <w:pPr>
              <w:jc w:val="center"/>
            </w:pPr>
          </w:p>
        </w:tc>
      </w:tr>
      <w:tr w14:paraId="054F7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32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1C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20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DC1B">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7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D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0583">
            <w:pPr>
              <w:jc w:val="center"/>
            </w:pPr>
            <w:r>
              <w:rPr>
                <w:rFonts w:ascii="宋体" w:hAnsi="宋体" w:eastAsia="宋体"/>
                <w:sz w:val="16"/>
              </w:rPr>
              <w:t>97.34%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AD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C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B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4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87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7DF7C">
            <w:pPr>
              <w:jc w:val="center"/>
            </w:pPr>
          </w:p>
        </w:tc>
      </w:tr>
      <w:tr w14:paraId="17FB3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7D0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76C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16A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76EC">
            <w:pPr>
              <w:jc w:val="center"/>
            </w:pPr>
            <w:r>
              <w:rPr>
                <w:rFonts w:ascii="宋体" w:hAnsi="宋体" w:eastAsia="宋体"/>
                <w:sz w:val="16"/>
              </w:rPr>
              <w:t>聘用司机1人（万元）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484F">
            <w:pPr>
              <w:jc w:val="center"/>
            </w:pPr>
            <w:r>
              <w:rPr>
                <w:rFonts w:ascii="宋体" w:hAnsi="宋体" w:eastAsia="宋体"/>
                <w:sz w:val="16"/>
              </w:rPr>
              <w:t>&lt;=4.80万元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8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8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CB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54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AC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F145">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473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9C73">
            <w:pPr>
              <w:jc w:val="center"/>
            </w:pPr>
          </w:p>
        </w:tc>
      </w:tr>
      <w:tr w14:paraId="4B17E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F69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D0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0C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B0A7">
            <w:pPr>
              <w:jc w:val="center"/>
            </w:pPr>
            <w:r>
              <w:rPr>
                <w:rFonts w:ascii="宋体" w:hAnsi="宋体" w:eastAsia="宋体"/>
                <w:sz w:val="16"/>
              </w:rPr>
              <w:t>聘用保安2人（万元）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F884">
            <w:pPr>
              <w:jc w:val="center"/>
            </w:pPr>
            <w:r>
              <w:rPr>
                <w:rFonts w:ascii="宋体" w:hAnsi="宋体" w:eastAsia="宋体"/>
                <w:sz w:val="16"/>
              </w:rPr>
              <w:t>&lt;=8.40万元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7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93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FD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5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1B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DBBD">
            <w:pPr>
              <w:jc w:val="center"/>
            </w:pPr>
            <w:r>
              <w:rPr>
                <w:rFonts w:ascii="宋体" w:hAnsi="宋体" w:eastAsia="宋体"/>
                <w:sz w:val="16"/>
              </w:rPr>
              <w:t>=8.35万元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4566">
            <w:pPr>
              <w:jc w:val="center"/>
            </w:pPr>
            <w:r>
              <w:rPr>
                <w:rFonts w:ascii="宋体" w:hAnsi="宋体" w:eastAsia="宋体"/>
                <w:sz w:val="16"/>
              </w:rPr>
              <w:t>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A098F">
            <w:pPr>
              <w:jc w:val="center"/>
            </w:pPr>
            <w:r>
              <w:rPr>
                <w:rFonts w:ascii="宋体" w:hAnsi="宋体" w:eastAsia="宋体"/>
                <w:sz w:val="16"/>
              </w:rPr>
              <w:t>偏差原因：聘用人员有请假及违反规定情况，进行工资扣款，故实发工资小于应发工资。</w:t>
            </w:r>
          </w:p>
        </w:tc>
      </w:tr>
      <w:tr w14:paraId="0B3AD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A8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3D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B4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2D0E">
            <w:pPr>
              <w:jc w:val="center"/>
            </w:pPr>
            <w:r>
              <w:rPr>
                <w:rFonts w:ascii="宋体" w:hAnsi="宋体" w:eastAsia="宋体"/>
                <w:sz w:val="16"/>
              </w:rPr>
              <w:t>聘用代办员1人（万元）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E241">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E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F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DB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4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06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5986">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55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12C31">
            <w:pPr>
              <w:jc w:val="center"/>
            </w:pPr>
          </w:p>
        </w:tc>
      </w:tr>
      <w:tr w14:paraId="28E52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901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F318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373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9075">
            <w:pPr>
              <w:jc w:val="center"/>
            </w:pPr>
            <w:r>
              <w:rPr>
                <w:rFonts w:ascii="宋体" w:hAnsi="宋体" w:eastAsia="宋体"/>
                <w:sz w:val="16"/>
              </w:rPr>
              <w:t>提高聘用人员的工作能力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A51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0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08A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C9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3D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061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813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8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CDA66">
            <w:pPr>
              <w:jc w:val="center"/>
            </w:pPr>
          </w:p>
        </w:tc>
      </w:tr>
      <w:tr w14:paraId="71C94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B9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74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B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6E3E">
            <w:pPr>
              <w:jc w:val="center"/>
            </w:pPr>
            <w:r>
              <w:rPr>
                <w:rFonts w:ascii="宋体" w:hAnsi="宋体" w:eastAsia="宋体"/>
                <w:sz w:val="16"/>
              </w:rPr>
              <w:t>保障安全居住环境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63F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E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345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D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CE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3B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186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19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C7F39">
            <w:pPr>
              <w:jc w:val="center"/>
            </w:pPr>
          </w:p>
        </w:tc>
      </w:tr>
      <w:tr w14:paraId="115D5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95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10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F7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7F9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870C">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EF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DB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2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CC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5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48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93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AAC92">
            <w:pPr>
              <w:jc w:val="center"/>
            </w:pPr>
            <w:r>
              <w:rPr>
                <w:rFonts w:ascii="宋体" w:hAnsi="宋体" w:eastAsia="宋体"/>
                <w:sz w:val="16"/>
              </w:rPr>
              <w:t>偏差原因：属于正常偏差范围，改进措施：优化实施方案。</w:t>
            </w:r>
          </w:p>
        </w:tc>
      </w:tr>
      <w:tr w14:paraId="418935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33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D2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AD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133D0A">
            <w:pPr>
              <w:jc w:val="center"/>
            </w:pPr>
            <w:r>
              <w:rPr>
                <w:rFonts w:ascii="宋体" w:hAnsi="宋体" w:eastAsia="宋体"/>
                <w:sz w:val="16"/>
              </w:rPr>
              <w:t>99.81分</w:t>
            </w:r>
          </w:p>
        </w:tc>
      </w:tr>
    </w:tbl>
    <w:p w14:paraId="34CF0854">
      <w:r>
        <w:br w:type="page"/>
      </w:r>
    </w:p>
    <w:p w14:paraId="06E5E392">
      <w:pPr>
        <w:spacing w:line="640" w:lineRule="exact"/>
        <w:ind w:firstLine="640"/>
        <w:jc w:val="both"/>
        <w:outlineLvl w:val="2"/>
      </w:pPr>
      <w:r>
        <w:rPr>
          <w:rFonts w:ascii="黑体" w:hAnsi="黑体" w:eastAsia="黑体"/>
          <w:sz w:val="32"/>
        </w:rPr>
        <w:t>十二、其他需说明的事项</w:t>
      </w:r>
    </w:p>
    <w:p w14:paraId="0D2BBEC0">
      <w:pPr>
        <w:spacing w:line="580" w:lineRule="exact"/>
        <w:ind w:firstLine="640"/>
        <w:jc w:val="both"/>
      </w:pPr>
      <w:r>
        <w:rPr>
          <w:rFonts w:ascii="仿宋_GB2312" w:hAnsi="仿宋_GB2312" w:eastAsia="仿宋_GB2312"/>
          <w:b w:val="0"/>
          <w:sz w:val="32"/>
        </w:rPr>
        <w:t>本单位无其他需说明的事项。</w:t>
      </w:r>
    </w:p>
    <w:p w14:paraId="1941A905">
      <w:r>
        <w:br w:type="page"/>
      </w:r>
    </w:p>
    <w:p w14:paraId="6A01CD80">
      <w:pPr>
        <w:spacing w:line="240" w:lineRule="auto"/>
        <w:jc w:val="center"/>
        <w:outlineLvl w:val="1"/>
      </w:pPr>
      <w:r>
        <w:rPr>
          <w:rFonts w:ascii="黑体" w:hAnsi="黑体" w:eastAsia="黑体"/>
          <w:sz w:val="32"/>
        </w:rPr>
        <w:t>第三部分 专业名词解释</w:t>
      </w:r>
    </w:p>
    <w:p w14:paraId="550A59B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5E0CD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1AC04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2E742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C009D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C671E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0D4AD7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B606A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7A39C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267CFA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0586F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5B3C5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2FF25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D85BC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9381ED">
      <w:r>
        <w:br w:type="page"/>
      </w:r>
    </w:p>
    <w:p w14:paraId="38E60CB8">
      <w:pPr>
        <w:spacing w:line="240" w:lineRule="auto"/>
        <w:jc w:val="center"/>
        <w:outlineLvl w:val="1"/>
      </w:pPr>
      <w:r>
        <w:rPr>
          <w:rFonts w:ascii="黑体" w:hAnsi="黑体" w:eastAsia="黑体"/>
          <w:sz w:val="32"/>
        </w:rPr>
        <w:t>第四部分 部门决算报表（见附表）</w:t>
      </w:r>
    </w:p>
    <w:p w14:paraId="716F1ED9">
      <w:pPr>
        <w:spacing w:line="240" w:lineRule="auto"/>
        <w:ind w:firstLine="640"/>
        <w:jc w:val="both"/>
      </w:pPr>
      <w:r>
        <w:rPr>
          <w:rFonts w:ascii="仿宋_GB2312" w:hAnsi="仿宋_GB2312" w:eastAsia="仿宋_GB2312"/>
          <w:b w:val="0"/>
          <w:sz w:val="32"/>
        </w:rPr>
        <w:t>一、《收入支出决算总表》</w:t>
      </w:r>
    </w:p>
    <w:p w14:paraId="4317DA31">
      <w:pPr>
        <w:spacing w:line="240" w:lineRule="auto"/>
        <w:ind w:firstLine="640"/>
        <w:jc w:val="both"/>
      </w:pPr>
      <w:r>
        <w:rPr>
          <w:rFonts w:ascii="仿宋_GB2312" w:hAnsi="仿宋_GB2312" w:eastAsia="仿宋_GB2312"/>
          <w:b w:val="0"/>
          <w:sz w:val="32"/>
        </w:rPr>
        <w:t>二、《收入决算表》</w:t>
      </w:r>
    </w:p>
    <w:p w14:paraId="03EEFA83">
      <w:pPr>
        <w:spacing w:line="240" w:lineRule="auto"/>
        <w:ind w:firstLine="640"/>
        <w:jc w:val="both"/>
      </w:pPr>
      <w:r>
        <w:rPr>
          <w:rFonts w:ascii="仿宋_GB2312" w:hAnsi="仿宋_GB2312" w:eastAsia="仿宋_GB2312"/>
          <w:b w:val="0"/>
          <w:sz w:val="32"/>
        </w:rPr>
        <w:t>三、《支出决算表》</w:t>
      </w:r>
    </w:p>
    <w:p w14:paraId="77942155">
      <w:pPr>
        <w:spacing w:line="240" w:lineRule="auto"/>
        <w:ind w:firstLine="640"/>
        <w:jc w:val="both"/>
      </w:pPr>
      <w:r>
        <w:rPr>
          <w:rFonts w:ascii="仿宋_GB2312" w:hAnsi="仿宋_GB2312" w:eastAsia="仿宋_GB2312"/>
          <w:b w:val="0"/>
          <w:sz w:val="32"/>
        </w:rPr>
        <w:t>四、《财政拨款收入支出决算总表》</w:t>
      </w:r>
    </w:p>
    <w:p w14:paraId="5D7CB834">
      <w:pPr>
        <w:spacing w:line="240" w:lineRule="auto"/>
        <w:ind w:firstLine="640"/>
        <w:jc w:val="both"/>
      </w:pPr>
      <w:r>
        <w:rPr>
          <w:rFonts w:ascii="仿宋_GB2312" w:hAnsi="仿宋_GB2312" w:eastAsia="仿宋_GB2312"/>
          <w:b w:val="0"/>
          <w:sz w:val="32"/>
        </w:rPr>
        <w:t>五、《一般公共预算财政拨款支出决算表》</w:t>
      </w:r>
    </w:p>
    <w:p w14:paraId="4AF04D52">
      <w:pPr>
        <w:spacing w:line="240" w:lineRule="auto"/>
        <w:ind w:firstLine="640"/>
        <w:jc w:val="both"/>
      </w:pPr>
      <w:r>
        <w:rPr>
          <w:rFonts w:ascii="仿宋_GB2312" w:hAnsi="仿宋_GB2312" w:eastAsia="仿宋_GB2312"/>
          <w:b w:val="0"/>
          <w:sz w:val="32"/>
        </w:rPr>
        <w:t>六、《一般公共预算财政拨款基本支出决算表》</w:t>
      </w:r>
    </w:p>
    <w:p w14:paraId="3210CBAF">
      <w:pPr>
        <w:spacing w:line="240" w:lineRule="auto"/>
        <w:ind w:firstLine="640"/>
        <w:jc w:val="both"/>
      </w:pPr>
      <w:r>
        <w:rPr>
          <w:rFonts w:ascii="仿宋_GB2312" w:hAnsi="仿宋_GB2312" w:eastAsia="仿宋_GB2312"/>
          <w:b w:val="0"/>
          <w:sz w:val="32"/>
        </w:rPr>
        <w:t>七、《政府性基金预算财政拨款收入支出决算表》</w:t>
      </w:r>
    </w:p>
    <w:p w14:paraId="1749F44A">
      <w:pPr>
        <w:spacing w:line="240" w:lineRule="auto"/>
        <w:ind w:firstLine="640"/>
        <w:jc w:val="both"/>
      </w:pPr>
      <w:r>
        <w:rPr>
          <w:rFonts w:ascii="仿宋_GB2312" w:hAnsi="仿宋_GB2312" w:eastAsia="仿宋_GB2312"/>
          <w:b w:val="0"/>
          <w:sz w:val="32"/>
        </w:rPr>
        <w:t>八、《国有资本经营预算财政拨款收入支出决算表》</w:t>
      </w:r>
    </w:p>
    <w:p w14:paraId="71B845C6">
      <w:pPr>
        <w:spacing w:line="240" w:lineRule="auto"/>
        <w:ind w:firstLine="640"/>
        <w:jc w:val="both"/>
      </w:pPr>
      <w:r>
        <w:rPr>
          <w:rFonts w:ascii="仿宋_GB2312" w:hAnsi="仿宋_GB2312" w:eastAsia="仿宋_GB2312"/>
          <w:b w:val="0"/>
          <w:sz w:val="32"/>
        </w:rPr>
        <w:t>九、《财政拨款“三公”经费支出决算表》</w:t>
      </w:r>
    </w:p>
    <w:p w14:paraId="0E4FE6D3">
      <w:pPr>
        <w:spacing w:line="240" w:lineRule="auto"/>
        <w:ind w:firstLine="640"/>
        <w:jc w:val="both"/>
      </w:pPr>
    </w:p>
    <w:p w14:paraId="51FA651F">
      <w:pPr>
        <w:spacing w:line="240" w:lineRule="auto"/>
        <w:ind w:firstLine="640"/>
        <w:jc w:val="both"/>
      </w:pPr>
    </w:p>
    <w:p w14:paraId="725FE9C4">
      <w:pPr>
        <w:spacing w:line="240" w:lineRule="auto"/>
        <w:ind w:firstLine="640"/>
        <w:jc w:val="both"/>
      </w:pPr>
    </w:p>
    <w:p w14:paraId="291EC348">
      <w:pPr>
        <w:spacing w:line="240" w:lineRule="auto"/>
        <w:ind w:firstLine="640"/>
        <w:jc w:val="both"/>
      </w:pPr>
    </w:p>
    <w:p w14:paraId="66E78CD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024144-AFCE-4781-8C50-8AF8C7C2AB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D6A7320-6962-40BE-B53A-E851D13185DE}"/>
  </w:font>
  <w:font w:name="仿宋_GB2312">
    <w:altName w:val="仿宋"/>
    <w:panose1 w:val="02010609030101010101"/>
    <w:charset w:val="86"/>
    <w:family w:val="modern"/>
    <w:pitch w:val="default"/>
    <w:sig w:usb0="00000000" w:usb1="00000000" w:usb2="00000000" w:usb3="00000000" w:csb0="00040000" w:csb1="00000000"/>
    <w:embedRegular r:id="rId3" w:fontKey="{72F8E111-C972-4C45-B7B2-C18C8ACE205A}"/>
  </w:font>
  <w:font w:name="楷体_GB2312">
    <w:altName w:val="楷体"/>
    <w:panose1 w:val="00000000000000000000"/>
    <w:charset w:val="00"/>
    <w:family w:val="auto"/>
    <w:pitch w:val="default"/>
    <w:sig w:usb0="00000000" w:usb1="00000000" w:usb2="00000000" w:usb3="00000000" w:csb0="00000000" w:csb1="00000000"/>
    <w:embedRegular r:id="rId4" w:fontKey="{3582F1B8-21AD-4550-A5A3-BCDD9735DD86}"/>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7C3C8A"/>
    <w:rsid w:val="0AB65B7C"/>
    <w:rsid w:val="0AED7863"/>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A45AF8"/>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5584</Words>
  <Characters>6319</Characters>
  <Lines>0</Lines>
  <Paragraphs>0</Paragraphs>
  <TotalTime>7</TotalTime>
  <ScaleCrop>false</ScaleCrop>
  <LinksUpToDate>false</LinksUpToDate>
  <CharactersWithSpaces>6331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2025-09-02T04:56:22Z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