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中共克孜勒苏柯尔克孜自治州委员会工商业联合会2024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2DD123">
      <w:r>
        <w:br w:type="page"/>
      </w:r>
    </w:p>
    <w:p w14:paraId="0D554073">
      <w:pPr>
        <w:spacing w:line="640" w:lineRule="exact"/>
        <w:jc w:val="center"/>
        <w:outlineLvl w:val="1"/>
      </w:pPr>
      <w:r>
        <w:rPr>
          <w:rFonts w:ascii="黑体" w:hAnsi="黑体" w:eastAsia="黑体"/>
          <w:sz w:val="32"/>
        </w:rPr>
        <w:t>第一部分 单位概况</w:t>
      </w:r>
    </w:p>
    <w:p w14:paraId="36A0B8B4">
      <w:pPr>
        <w:spacing w:line="640" w:lineRule="exact"/>
        <w:ind w:firstLine="640"/>
        <w:jc w:val="both"/>
        <w:outlineLvl w:val="2"/>
      </w:pPr>
      <w:r>
        <w:rPr>
          <w:rFonts w:ascii="黑体" w:hAnsi="黑体" w:eastAsia="黑体"/>
          <w:sz w:val="32"/>
        </w:rPr>
        <w:t>一、主要职能</w:t>
      </w:r>
    </w:p>
    <w:p w14:paraId="73B70415">
      <w:pPr>
        <w:spacing w:line="580" w:lineRule="exact"/>
        <w:ind w:firstLine="640"/>
        <w:jc w:val="both"/>
      </w:pPr>
      <w:r>
        <w:rPr>
          <w:rFonts w:ascii="仿宋_GB2312" w:hAnsi="仿宋_GB2312" w:eastAsia="仿宋_GB2312"/>
          <w:sz w:val="32"/>
        </w:rPr>
        <w:t>1.组织、宣传贯彻落实党委、政府发展非公有制经济的方针政策，引导非公有制经济健康发展和非公有制经济人士健康成长，是联系非公有制经济的桥梁纽带作用。</w:t>
      </w:r>
    </w:p>
    <w:p w14:paraId="00B35293">
      <w:pPr>
        <w:spacing w:line="580" w:lineRule="exact"/>
        <w:ind w:firstLine="640"/>
        <w:jc w:val="both"/>
      </w:pPr>
      <w:r>
        <w:rPr>
          <w:rFonts w:ascii="仿宋_GB2312" w:hAnsi="仿宋_GB2312" w:eastAsia="仿宋_GB2312"/>
          <w:sz w:val="32"/>
        </w:rPr>
        <w:t>2.做好党委和政府的参谋助手。</w:t>
      </w:r>
    </w:p>
    <w:p w14:paraId="0E8B8CF8">
      <w:pPr>
        <w:spacing w:line="580" w:lineRule="exact"/>
        <w:ind w:firstLine="640"/>
        <w:jc w:val="both"/>
      </w:pPr>
      <w:r>
        <w:rPr>
          <w:rFonts w:ascii="仿宋_GB2312" w:hAnsi="仿宋_GB2312" w:eastAsia="仿宋_GB2312"/>
          <w:sz w:val="32"/>
        </w:rPr>
        <w:t>3.教育引导非公有制经济人士，履行好社会责任。</w:t>
      </w:r>
    </w:p>
    <w:p w14:paraId="4DE58FB1">
      <w:pPr>
        <w:spacing w:line="580" w:lineRule="exact"/>
        <w:ind w:firstLine="640"/>
        <w:jc w:val="both"/>
      </w:pPr>
      <w:r>
        <w:rPr>
          <w:rFonts w:ascii="仿宋_GB2312" w:hAnsi="仿宋_GB2312" w:eastAsia="仿宋_GB2312"/>
          <w:sz w:val="32"/>
        </w:rPr>
        <w:t>4.向民营企业送信心、送政策、送信息、送服务、送法律等。</w:t>
      </w:r>
    </w:p>
    <w:p w14:paraId="750D1B21">
      <w:pPr>
        <w:spacing w:line="640" w:lineRule="exact"/>
        <w:ind w:firstLine="640"/>
        <w:jc w:val="both"/>
        <w:outlineLvl w:val="2"/>
      </w:pPr>
      <w:r>
        <w:rPr>
          <w:rFonts w:ascii="黑体" w:hAnsi="黑体" w:eastAsia="黑体"/>
          <w:sz w:val="32"/>
        </w:rPr>
        <w:t>二、机构设置及人员情况</w:t>
      </w:r>
    </w:p>
    <w:p w14:paraId="33B8D80C">
      <w:pPr>
        <w:spacing w:line="580" w:lineRule="exact"/>
        <w:ind w:firstLine="640"/>
        <w:jc w:val="both"/>
      </w:pPr>
      <w:r>
        <w:rPr>
          <w:rFonts w:ascii="仿宋_GB2312" w:hAnsi="仿宋_GB2312" w:eastAsia="仿宋_GB2312"/>
          <w:sz w:val="32"/>
        </w:rPr>
        <w:t>中共克孜勒苏柯尔克孜自治州委员会工商业联合会2024年度，实有人数16人，其中：在职人员9人，增加1人；离休人员0人，增加0人；退休人员7人,增加0人。</w:t>
      </w:r>
    </w:p>
    <w:p w14:paraId="15B053B6">
      <w:pPr>
        <w:spacing w:line="580" w:lineRule="exact"/>
        <w:ind w:firstLine="640"/>
        <w:jc w:val="both"/>
      </w:pPr>
      <w:r>
        <w:rPr>
          <w:rFonts w:ascii="仿宋_GB2312" w:hAnsi="仿宋_GB2312" w:eastAsia="仿宋_GB2312"/>
          <w:sz w:val="32"/>
        </w:rPr>
        <w:t>中共克孜勒苏柯尔克孜自治州委员会工商业联合会无下属预算单位，下设3个科室，分别是：办公室、业务科、非公党建科。</w:t>
      </w:r>
    </w:p>
    <w:p w14:paraId="31CEE01D">
      <w:r>
        <w:br w:type="page"/>
      </w:r>
    </w:p>
    <w:p w14:paraId="577475C2">
      <w:pPr>
        <w:spacing w:line="240" w:lineRule="auto"/>
        <w:jc w:val="center"/>
        <w:outlineLvl w:val="1"/>
      </w:pPr>
      <w:r>
        <w:rPr>
          <w:rFonts w:ascii="黑体" w:hAnsi="黑体" w:eastAsia="黑体"/>
          <w:sz w:val="32"/>
        </w:rPr>
        <w:t>第二部分 部门决算情况说明</w:t>
      </w:r>
    </w:p>
    <w:p w14:paraId="38E5A2E8">
      <w:pPr>
        <w:spacing w:line="640" w:lineRule="exact"/>
        <w:ind w:firstLine="640"/>
        <w:jc w:val="both"/>
        <w:outlineLvl w:val="2"/>
      </w:pPr>
      <w:r>
        <w:rPr>
          <w:rFonts w:ascii="黑体" w:hAnsi="黑体" w:eastAsia="黑体"/>
          <w:sz w:val="32"/>
        </w:rPr>
        <w:t>一、收入支出决算总体情况说明</w:t>
      </w:r>
    </w:p>
    <w:p w14:paraId="17A067A5">
      <w:pPr>
        <w:spacing w:line="580" w:lineRule="exact"/>
        <w:ind w:firstLine="640"/>
        <w:jc w:val="both"/>
      </w:pPr>
      <w:r>
        <w:rPr>
          <w:rFonts w:ascii="仿宋_GB2312" w:hAnsi="仿宋_GB2312" w:eastAsia="仿宋_GB2312"/>
          <w:b/>
          <w:sz w:val="32"/>
        </w:rPr>
        <w:t>2024年度收入总计215.24万元，</w:t>
      </w:r>
      <w:r>
        <w:rPr>
          <w:rFonts w:ascii="仿宋_GB2312" w:hAnsi="仿宋_GB2312" w:eastAsia="仿宋_GB2312"/>
          <w:b w:val="0"/>
          <w:sz w:val="32"/>
        </w:rPr>
        <w:t>其中：本年收入合计215.24万元，使用非财政拨款结余（含专用结余）0.00万元，年初结转和结余0.00万元。</w:t>
      </w:r>
    </w:p>
    <w:p w14:paraId="55568EA1">
      <w:pPr>
        <w:spacing w:line="580" w:lineRule="exact"/>
        <w:ind w:firstLine="640"/>
        <w:jc w:val="both"/>
      </w:pPr>
      <w:r>
        <w:rPr>
          <w:rFonts w:ascii="仿宋_GB2312" w:hAnsi="仿宋_GB2312" w:eastAsia="仿宋_GB2312"/>
          <w:b/>
          <w:sz w:val="32"/>
        </w:rPr>
        <w:t>2024年度支出总计215.24万元，</w:t>
      </w:r>
      <w:r>
        <w:rPr>
          <w:rFonts w:ascii="仿宋_GB2312" w:hAnsi="仿宋_GB2312" w:eastAsia="仿宋_GB2312"/>
          <w:b w:val="0"/>
          <w:sz w:val="32"/>
        </w:rPr>
        <w:t>其中：本年支出合计215.24万元，结余分配0.00万元，年末结转和结余0.00万元。</w:t>
      </w:r>
    </w:p>
    <w:p w14:paraId="1DEBBA60">
      <w:pPr>
        <w:spacing w:line="580" w:lineRule="exact"/>
        <w:ind w:firstLine="640"/>
        <w:jc w:val="both"/>
      </w:pPr>
      <w:r>
        <w:rPr>
          <w:rFonts w:ascii="仿宋_GB2312" w:hAnsi="仿宋_GB2312" w:eastAsia="仿宋_GB2312"/>
          <w:b w:val="0"/>
          <w:sz w:val="32"/>
        </w:rPr>
        <w:t>收入支出总体与上年相比，减少24.08万元，下降10.06%，主要原因是：本年在职人员调入调出，人员职级不同，工资基数不同，导致人员经费较上年减少。</w:t>
      </w:r>
    </w:p>
    <w:p w14:paraId="25F66E32">
      <w:pPr>
        <w:spacing w:line="640" w:lineRule="exact"/>
        <w:ind w:firstLine="640"/>
        <w:jc w:val="both"/>
        <w:outlineLvl w:val="2"/>
      </w:pPr>
      <w:r>
        <w:rPr>
          <w:rFonts w:ascii="黑体" w:hAnsi="黑体" w:eastAsia="黑体"/>
          <w:sz w:val="32"/>
        </w:rPr>
        <w:t>二、收入决算情况说明</w:t>
      </w:r>
    </w:p>
    <w:p w14:paraId="395136BB">
      <w:pPr>
        <w:spacing w:line="580" w:lineRule="exact"/>
        <w:ind w:firstLine="640"/>
        <w:jc w:val="both"/>
      </w:pPr>
      <w:r>
        <w:rPr>
          <w:rFonts w:ascii="仿宋_GB2312" w:hAnsi="仿宋_GB2312" w:eastAsia="仿宋_GB2312"/>
          <w:b/>
          <w:sz w:val="32"/>
        </w:rPr>
        <w:t>本年收入215.24万元，</w:t>
      </w:r>
      <w:r>
        <w:rPr>
          <w:rFonts w:ascii="仿宋_GB2312" w:hAnsi="仿宋_GB2312" w:eastAsia="仿宋_GB2312"/>
          <w:b w:val="0"/>
          <w:sz w:val="32"/>
        </w:rPr>
        <w:t>其中：财政拨款收入215.23万元，占100.00%；上级补助收入0.00万元，占0.00%；事业收入0.00万元，占0.00%；经营收入0.00万元，占0.00%；附属单位上缴收入0.00万元，占0.00%；其他收入0.01万元，占0.005%。</w:t>
      </w:r>
    </w:p>
    <w:p w14:paraId="2C55BA77">
      <w:pPr>
        <w:spacing w:line="640" w:lineRule="exact"/>
        <w:ind w:firstLine="640"/>
        <w:jc w:val="both"/>
        <w:outlineLvl w:val="2"/>
      </w:pPr>
      <w:r>
        <w:rPr>
          <w:rFonts w:ascii="黑体" w:hAnsi="黑体" w:eastAsia="黑体"/>
          <w:sz w:val="32"/>
        </w:rPr>
        <w:t>三、支出决算情况说明</w:t>
      </w:r>
    </w:p>
    <w:p w14:paraId="406E618C">
      <w:pPr>
        <w:spacing w:line="580" w:lineRule="exact"/>
        <w:ind w:firstLine="640"/>
        <w:jc w:val="both"/>
      </w:pPr>
      <w:r>
        <w:rPr>
          <w:rFonts w:ascii="仿宋_GB2312" w:hAnsi="仿宋_GB2312" w:eastAsia="仿宋_GB2312"/>
          <w:b/>
          <w:sz w:val="32"/>
        </w:rPr>
        <w:t>本年支出215.24万元，</w:t>
      </w:r>
      <w:r>
        <w:rPr>
          <w:rFonts w:ascii="仿宋_GB2312" w:hAnsi="仿宋_GB2312" w:eastAsia="仿宋_GB2312"/>
          <w:b w:val="0"/>
          <w:sz w:val="32"/>
        </w:rPr>
        <w:t>其中：基本支出194.14万元，占90.20%；项目支出21.09万元，占9.80%；上缴上级支出0.00万元，占0.00%；经营支出0.00万元，占0.00%；对附属单位补助支出0.00万元，占0.00%。</w:t>
      </w:r>
    </w:p>
    <w:p w14:paraId="47B949F7">
      <w:pPr>
        <w:spacing w:line="640" w:lineRule="exact"/>
        <w:ind w:firstLine="640"/>
        <w:jc w:val="both"/>
        <w:outlineLvl w:val="2"/>
      </w:pPr>
      <w:r>
        <w:rPr>
          <w:rFonts w:ascii="黑体" w:hAnsi="黑体" w:eastAsia="黑体"/>
          <w:sz w:val="32"/>
        </w:rPr>
        <w:t>四、财政拨款收入支出决算总体情况说明</w:t>
      </w:r>
    </w:p>
    <w:p w14:paraId="679CDE2C">
      <w:pPr>
        <w:spacing w:line="580" w:lineRule="exact"/>
        <w:ind w:firstLine="640"/>
        <w:jc w:val="both"/>
      </w:pPr>
      <w:r>
        <w:rPr>
          <w:rFonts w:ascii="仿宋_GB2312" w:hAnsi="仿宋_GB2312" w:eastAsia="仿宋_GB2312"/>
          <w:b/>
          <w:sz w:val="32"/>
        </w:rPr>
        <w:t>2024年度财政拨款收入总计215.23万元，</w:t>
      </w:r>
      <w:r>
        <w:rPr>
          <w:rFonts w:ascii="仿宋_GB2312" w:hAnsi="仿宋_GB2312" w:eastAsia="仿宋_GB2312"/>
          <w:b w:val="0"/>
          <w:sz w:val="32"/>
        </w:rPr>
        <w:t>其中：年初财政拨款结转和结余0.00万元，本年财政拨款收入215.23万元。</w:t>
      </w:r>
      <w:r>
        <w:rPr>
          <w:rFonts w:ascii="仿宋_GB2312" w:hAnsi="仿宋_GB2312" w:eastAsia="仿宋_GB2312"/>
          <w:b/>
          <w:sz w:val="32"/>
        </w:rPr>
        <w:t>财政拨款支出总计215.23万元，</w:t>
      </w:r>
      <w:r>
        <w:rPr>
          <w:rFonts w:ascii="仿宋_GB2312" w:hAnsi="仿宋_GB2312" w:eastAsia="仿宋_GB2312"/>
          <w:b w:val="0"/>
          <w:sz w:val="32"/>
        </w:rPr>
        <w:t>其中：年末财政拨款结转和结余0.00万元，本年财政拨款支出215.23万元。</w:t>
      </w:r>
    </w:p>
    <w:p w14:paraId="1CC7344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减少24.01万元，下降10.04%，主要原因是：本年在职人员调入调出，人员职级不同，工资基数不同，导致人员经费较上年减少。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年初预算数213.83万元，决算数215.23万元，预决算差异率0.65%，主要原因是：年中追加见习生2023年12月补贴和2024年第一季度就业补贴项目、2024年第二季度就业补贴项目经费，导致预决算存在差异。</w:t>
      </w:r>
    </w:p>
    <w:p w14:paraId="62C351F3">
      <w:pPr>
        <w:spacing w:line="640" w:lineRule="exact"/>
        <w:ind w:firstLine="640"/>
        <w:jc w:val="both"/>
        <w:outlineLvl w:val="2"/>
      </w:pPr>
      <w:r>
        <w:rPr>
          <w:rFonts w:ascii="黑体" w:hAnsi="黑体" w:eastAsia="黑体"/>
          <w:sz w:val="32"/>
        </w:rPr>
        <w:t>五、一般公共预算财政拨款支出决算情况说明</w:t>
      </w:r>
    </w:p>
    <w:p w14:paraId="2428E17F">
      <w:pPr>
        <w:spacing w:line="640" w:lineRule="exact"/>
        <w:ind w:firstLine="640"/>
        <w:jc w:val="both"/>
        <w:outlineLvl w:val="3"/>
      </w:pPr>
      <w:r>
        <w:rPr>
          <w:rFonts w:ascii="楷体_GB2312" w:hAnsi="楷体_GB2312" w:eastAsia="楷体_GB2312"/>
          <w:b/>
          <w:sz w:val="32"/>
        </w:rPr>
        <w:t>（一）一般公共预算财政拨款支出决算总体情况</w:t>
      </w:r>
    </w:p>
    <w:p w14:paraId="47A497C5">
      <w:pPr>
        <w:spacing w:line="580" w:lineRule="exact"/>
        <w:ind w:firstLine="640"/>
        <w:jc w:val="both"/>
      </w:pPr>
      <w:r>
        <w:rPr>
          <w:rFonts w:ascii="仿宋_GB2312" w:hAnsi="仿宋_GB2312" w:eastAsia="仿宋_GB2312"/>
          <w:b/>
          <w:sz w:val="32"/>
        </w:rPr>
        <w:t>2024年度一般公共预算财政拨款支出215.23万元，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减少24.01万元，下降10.04%，主要原因是：本年在职人员调入调出，人员职级不同，工资基数不同，导致人员经费较上年减少。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年初预算数213.83万元，决算数215.23万元，预决算差异率0.65%，主要原因是：年中追加见习生2023年12月补贴和2024年第一季度就业补贴项目、2024年第二季度就业补贴项目经费，导致预决算存在差异。</w:t>
      </w:r>
    </w:p>
    <w:p w14:paraId="1ABAA916">
      <w:pPr>
        <w:spacing w:line="640" w:lineRule="exact"/>
        <w:ind w:firstLine="640"/>
        <w:jc w:val="both"/>
        <w:outlineLvl w:val="3"/>
      </w:pPr>
      <w:r>
        <w:rPr>
          <w:rFonts w:ascii="楷体_GB2312" w:hAnsi="楷体_GB2312" w:eastAsia="楷体_GB2312"/>
          <w:b/>
          <w:sz w:val="32"/>
        </w:rPr>
        <w:t>（二）一般公共预算财政拨款支出决算结构情况</w:t>
      </w:r>
    </w:p>
    <w:p w14:paraId="31193287">
      <w:pPr>
        <w:spacing w:line="580" w:lineRule="exact"/>
        <w:ind w:firstLine="640"/>
        <w:jc w:val="both"/>
      </w:pPr>
      <w:r>
        <w:rPr>
          <w:rFonts w:ascii="仿宋_GB2312" w:hAnsi="仿宋_GB2312" w:eastAsia="仿宋_GB2312"/>
          <w:b w:val="0"/>
          <w:sz w:val="32"/>
        </w:rPr>
        <w:t>1.一般公共服务支出(类)178.91万元,占83.13%。</w:t>
      </w:r>
    </w:p>
    <w:p w14:paraId="40D0D5F5">
      <w:pPr>
        <w:spacing w:line="580" w:lineRule="exact"/>
        <w:ind w:firstLine="640"/>
        <w:jc w:val="both"/>
      </w:pPr>
      <w:r>
        <w:rPr>
          <w:rFonts w:ascii="仿宋_GB2312" w:hAnsi="仿宋_GB2312" w:eastAsia="仿宋_GB2312"/>
          <w:b w:val="0"/>
          <w:sz w:val="32"/>
        </w:rPr>
        <w:t>2.社会保障和就业支出(类)36.31万元,占16.87%。</w:t>
      </w:r>
    </w:p>
    <w:p w14:paraId="3BF3DC2C">
      <w:pPr>
        <w:spacing w:line="640" w:lineRule="exact"/>
        <w:ind w:firstLine="640"/>
        <w:jc w:val="both"/>
        <w:outlineLvl w:val="3"/>
      </w:pPr>
      <w:r>
        <w:rPr>
          <w:rFonts w:ascii="楷体_GB2312" w:hAnsi="楷体_GB2312" w:eastAsia="楷体_GB2312"/>
          <w:b/>
          <w:sz w:val="32"/>
        </w:rPr>
        <w:t>（三）一般公共预算财政拨款支出决算具体情况</w:t>
      </w:r>
    </w:p>
    <w:p w14:paraId="731BC50A">
      <w:pPr>
        <w:spacing w:line="580" w:lineRule="exact"/>
        <w:ind w:firstLine="640"/>
        <w:jc w:val="both"/>
      </w:pPr>
      <w:r>
        <w:rPr>
          <w:rFonts w:ascii="仿宋_GB2312" w:hAnsi="仿宋_GB2312" w:eastAsia="仿宋_GB2312"/>
          <w:b w:val="0"/>
          <w:sz w:val="32"/>
        </w:rPr>
        <w:t>1.一般公共服务支出(类)民主党派及工商联事务(款)行政运行(项):支出决算数为160.92万元，比上年决算减少29.43万元，下降15.46%,主要原因是：本年在职人员调入调出，人员职级不同，工资基数不同，导致人员经费较上年减少。</w:t>
      </w:r>
    </w:p>
    <w:p w14:paraId="18686F62">
      <w:pPr>
        <w:spacing w:line="580" w:lineRule="exact"/>
        <w:ind w:firstLine="640"/>
        <w:jc w:val="both"/>
      </w:pPr>
      <w:r>
        <w:rPr>
          <w:rFonts w:ascii="仿宋_GB2312" w:hAnsi="仿宋_GB2312" w:eastAsia="仿宋_GB2312"/>
          <w:b w:val="0"/>
          <w:sz w:val="32"/>
        </w:rPr>
        <w:t>2.一般公共服务支出(类)民主党派及工商联事务(款)其他民主党派及工商联事务支出(项):支出决算数为17.99万元，比上年决算增加5.99万元，增长49.92%,主要原因是：本年增加2024年政企联合工作经费项目经费，故此支出增加。</w:t>
      </w:r>
    </w:p>
    <w:p w14:paraId="5E746830">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3.社会保障和就业支出(类)行政事业单位养老支出(款)行政单位离退休(项):支出决算数为13.47万元，比上年决算增加2.80万元，增长26.24%,主要原因是：本年增加退休人员基础绩效奖，退休费支出增加。</w:t>
      </w:r>
    </w:p>
    <w:p w14:paraId="397441B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17.88万元，比上年决算增加0.60万元，增长3.47%,主要原因是：本年在职人员工资基数调增，养老缴费基数上涨，相应支出增加。</w:t>
      </w:r>
    </w:p>
    <w:p w14:paraId="18CF3EA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5.社会保障和就业支出(类)行政事业单位养老支出(款)机关事业单位职业年金缴费支出(项):支出决算数为1.87万元，比上年决算减少4.96万元，下降72.62%,主要原因是：</w:t>
      </w:r>
      <w:r>
        <w:rPr>
          <w:rFonts w:hint="eastAsia" w:ascii="仿宋_GB2312" w:hAnsi="仿宋_GB2312" w:eastAsia="仿宋_GB2312"/>
          <w:b w:val="0"/>
          <w:sz w:val="32"/>
          <w:lang w:val="en-US" w:eastAsia="zh-CN"/>
        </w:rPr>
        <w:t>上年补发以往年度退休人员职业年金，本年无补发经费支出，相应职业年金缴费支出减少</w:t>
      </w:r>
      <w:r>
        <w:rPr>
          <w:rFonts w:ascii="仿宋_GB2312" w:hAnsi="仿宋_GB2312" w:eastAsia="仿宋_GB2312"/>
          <w:b w:val="0"/>
          <w:sz w:val="32"/>
        </w:rPr>
        <w:t>。</w:t>
      </w:r>
    </w:p>
    <w:p w14:paraId="421504AA">
      <w:pPr>
        <w:spacing w:line="580" w:lineRule="exact"/>
        <w:ind w:firstLine="640"/>
        <w:jc w:val="both"/>
      </w:pPr>
      <w:r>
        <w:rPr>
          <w:rFonts w:ascii="仿宋_GB2312" w:hAnsi="仿宋_GB2312" w:eastAsia="仿宋_GB2312"/>
          <w:b w:val="0"/>
          <w:sz w:val="32"/>
        </w:rPr>
        <w:t>6.社会保障和就业支出(类)就业补助(款)就业见习补贴(项):支出决算数为3.10万元，比上年决算增加0.98万元，增长46.23%,主要原因是：本年增加就业见习生2人，相应支出增加。</w:t>
      </w:r>
    </w:p>
    <w:p w14:paraId="6E64042C">
      <w:pPr>
        <w:spacing w:line="640" w:lineRule="exact"/>
        <w:ind w:firstLine="640"/>
        <w:jc w:val="both"/>
        <w:outlineLvl w:val="2"/>
      </w:pPr>
      <w:r>
        <w:rPr>
          <w:rFonts w:ascii="黑体" w:hAnsi="黑体" w:eastAsia="黑体"/>
          <w:sz w:val="32"/>
        </w:rPr>
        <w:t>六、一般公共预算财政拨款基本支出决算情况说明</w:t>
      </w:r>
    </w:p>
    <w:p w14:paraId="0FD28047">
      <w:pPr>
        <w:spacing w:line="580" w:lineRule="exact"/>
        <w:ind w:firstLine="640"/>
        <w:jc w:val="both"/>
      </w:pPr>
      <w:r>
        <w:rPr>
          <w:rFonts w:ascii="仿宋_GB2312" w:hAnsi="仿宋_GB2312" w:eastAsia="仿宋_GB2312"/>
          <w:b w:val="0"/>
          <w:sz w:val="32"/>
        </w:rPr>
        <w:t>2024年度一般公共预算财政拨款基本支出194.14万元，其中：</w:t>
      </w:r>
      <w:r>
        <w:rPr>
          <w:rFonts w:ascii="仿宋_GB2312" w:hAnsi="仿宋_GB2312" w:eastAsia="仿宋_GB2312"/>
          <w:b/>
          <w:sz w:val="32"/>
        </w:rPr>
        <w:t>人员经费187.82万元，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w:t>
      </w:r>
    </w:p>
    <w:p w14:paraId="49240C29">
      <w:pPr>
        <w:spacing w:line="580" w:lineRule="exact"/>
        <w:ind w:firstLine="640"/>
        <w:jc w:val="both"/>
      </w:pPr>
      <w:r>
        <w:rPr>
          <w:rFonts w:ascii="仿宋_GB2312" w:hAnsi="仿宋_GB2312" w:eastAsia="仿宋_GB2312"/>
          <w:b/>
          <w:sz w:val="32"/>
        </w:rPr>
        <w:t>公用经费6.32万元，</w:t>
      </w:r>
      <w:r>
        <w:rPr>
          <w:rFonts w:ascii="仿宋_GB2312" w:hAnsi="仿宋_GB2312" w:eastAsia="仿宋_GB2312"/>
          <w:b w:val="0"/>
          <w:sz w:val="32"/>
        </w:rPr>
        <w:t>包括：办公费、印刷费、电费、邮电费、工会经费、福利费、其他商品和服务支出。</w:t>
      </w:r>
    </w:p>
    <w:p w14:paraId="3B990131">
      <w:pPr>
        <w:spacing w:line="640" w:lineRule="exact"/>
        <w:ind w:firstLine="640"/>
        <w:jc w:val="both"/>
        <w:outlineLvl w:val="2"/>
      </w:pPr>
      <w:r>
        <w:rPr>
          <w:rFonts w:ascii="黑体" w:hAnsi="黑体" w:eastAsia="黑体"/>
          <w:sz w:val="32"/>
        </w:rPr>
        <w:t>七、政府性基金预算财政拨款收入支出决算情况说明</w:t>
      </w:r>
    </w:p>
    <w:p w14:paraId="6DD0B8F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9A172FA">
      <w:pPr>
        <w:spacing w:line="640" w:lineRule="exact"/>
        <w:ind w:firstLine="640"/>
        <w:jc w:val="both"/>
        <w:outlineLvl w:val="2"/>
      </w:pPr>
      <w:r>
        <w:rPr>
          <w:rFonts w:ascii="黑体" w:hAnsi="黑体" w:eastAsia="黑体"/>
          <w:sz w:val="32"/>
        </w:rPr>
        <w:t>八、国有资本经营预算财政拨款收入支出决算情况说明</w:t>
      </w:r>
    </w:p>
    <w:p w14:paraId="1EC0B0B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1097B9">
      <w:pPr>
        <w:spacing w:line="640" w:lineRule="exact"/>
        <w:ind w:firstLine="640"/>
        <w:jc w:val="both"/>
        <w:outlineLvl w:val="2"/>
      </w:pPr>
      <w:r>
        <w:rPr>
          <w:rFonts w:ascii="黑体" w:hAnsi="黑体" w:eastAsia="黑体"/>
          <w:sz w:val="32"/>
        </w:rPr>
        <w:t>九、财政拨款“三公”经费支出决算情况说明</w:t>
      </w:r>
    </w:p>
    <w:p w14:paraId="549A4408">
      <w:pPr>
        <w:spacing w:line="580" w:lineRule="exact"/>
        <w:ind w:firstLine="640"/>
        <w:jc w:val="both"/>
      </w:pPr>
      <w:r>
        <w:rPr>
          <w:rFonts w:ascii="仿宋_GB2312" w:hAnsi="仿宋_GB2312" w:eastAsia="仿宋_GB2312"/>
          <w:b/>
          <w:sz w:val="32"/>
        </w:rPr>
        <w:t>2024年度财政拨款“三公”经费支出1.84万元，</w:t>
      </w:r>
      <w:r>
        <w:rPr>
          <w:rFonts w:ascii="仿宋_GB2312" w:hAnsi="仿宋_GB2312" w:eastAsia="仿宋_GB2312"/>
          <w:b w:val="0"/>
          <w:sz w:val="32"/>
        </w:rPr>
        <w:t>比上年减少0.66万元，下降26.40%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1.29万元，占70.11%，比上年减少0.71万元，下降35.50%，主要原因是：严格落实中央八项规定精神，厉行节约，减少公务用车运行维护费。公务接待费支出0.55万元，占29.89%，比上年增加0.05万元，增长10.00%，主要原因是：本年度接待人次较上年增加，导致公务接待费较上年增加。</w:t>
      </w:r>
    </w:p>
    <w:p w14:paraId="283A0D5E">
      <w:pPr>
        <w:spacing w:line="580" w:lineRule="exact"/>
        <w:ind w:firstLine="640"/>
        <w:jc w:val="both"/>
      </w:pPr>
      <w:r>
        <w:rPr>
          <w:rFonts w:ascii="仿宋_GB2312" w:hAnsi="仿宋_GB2312" w:eastAsia="仿宋_GB2312"/>
          <w:b/>
          <w:sz w:val="32"/>
        </w:rPr>
        <w:t>具体情况如下：</w:t>
      </w:r>
    </w:p>
    <w:p w14:paraId="6E3120E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E344C2">
      <w:pPr>
        <w:spacing w:line="580" w:lineRule="exact"/>
        <w:ind w:firstLine="640"/>
        <w:jc w:val="both"/>
      </w:pPr>
      <w:r>
        <w:rPr>
          <w:rFonts w:ascii="仿宋_GB2312" w:hAnsi="仿宋_GB2312" w:eastAsia="仿宋_GB2312"/>
          <w:b w:val="0"/>
          <w:sz w:val="32"/>
        </w:rPr>
        <w:t>公务用车购置及运行维护费1.29万元，其中：公务用车购置费0.00万元，公务用车运行维护费1.29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4A31C500">
      <w:pPr>
        <w:spacing w:line="580" w:lineRule="exact"/>
        <w:ind w:firstLine="640"/>
        <w:jc w:val="both"/>
      </w:pPr>
      <w:r>
        <w:rPr>
          <w:rFonts w:ascii="仿宋_GB2312" w:hAnsi="仿宋_GB2312" w:eastAsia="仿宋_GB2312"/>
          <w:b w:val="0"/>
          <w:sz w:val="32"/>
        </w:rPr>
        <w:t>公务接待费0.55万元，开支内容包括接待上级领导检查产生的就餐费。单位全年安排的国内公务接待3批次，45人次。</w:t>
      </w:r>
    </w:p>
    <w:p w14:paraId="7836928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1.84万元，决算数1.84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1.29万元，决算数1.29万元，预决算差异率0.00%，主要原因是：严格按照预算执行，预决算无差异。公务接待费全年预算数0.55万元，决算数0.55万元，预决算差异率0.00%，主要原因是：严格按照预算执行，预决算无差异。</w:t>
      </w:r>
    </w:p>
    <w:p w14:paraId="7484C83A">
      <w:pPr>
        <w:spacing w:line="640" w:lineRule="exact"/>
        <w:ind w:firstLine="640"/>
        <w:jc w:val="both"/>
        <w:outlineLvl w:val="2"/>
      </w:pPr>
      <w:r>
        <w:rPr>
          <w:rFonts w:ascii="黑体" w:hAnsi="黑体" w:eastAsia="黑体"/>
          <w:sz w:val="32"/>
        </w:rPr>
        <w:t>十、其他重要事项的情况说明</w:t>
      </w:r>
    </w:p>
    <w:p w14:paraId="525CE2BE">
      <w:pPr>
        <w:spacing w:line="640" w:lineRule="exact"/>
        <w:ind w:firstLine="640"/>
        <w:jc w:val="both"/>
        <w:outlineLvl w:val="3"/>
      </w:pPr>
      <w:r>
        <w:rPr>
          <w:rFonts w:ascii="楷体_GB2312" w:hAnsi="楷体_GB2312" w:eastAsia="楷体_GB2312"/>
          <w:b/>
          <w:sz w:val="32"/>
        </w:rPr>
        <w:t>（一）机关运行经费及公用经费支出情况</w:t>
      </w:r>
    </w:p>
    <w:p w14:paraId="37885306">
      <w:pPr>
        <w:spacing w:line="580" w:lineRule="exact"/>
        <w:ind w:firstLine="640"/>
        <w:jc w:val="both"/>
      </w:pPr>
      <w:r>
        <w:rPr>
          <w:rFonts w:ascii="仿宋_GB2312" w:hAnsi="仿宋_GB2312" w:eastAsia="仿宋_GB2312"/>
          <w:b w:val="0"/>
          <w:sz w:val="32"/>
        </w:rPr>
        <w:t>2024年度中共克孜勒苏柯尔克孜自治州委员会工商业联合会（行政单位和参照公务员法管理事业单位）机关运行经费支出6.32万元，比上年减少3.32万元，下降34.44%，主要原因是：严控经费支出，厉行节约，减少经费支出。</w:t>
      </w:r>
    </w:p>
    <w:p w14:paraId="46FAB478">
      <w:pPr>
        <w:spacing w:line="640" w:lineRule="exact"/>
        <w:ind w:firstLine="640"/>
        <w:jc w:val="both"/>
        <w:outlineLvl w:val="3"/>
      </w:pPr>
      <w:r>
        <w:rPr>
          <w:rFonts w:ascii="楷体_GB2312" w:hAnsi="楷体_GB2312" w:eastAsia="楷体_GB2312"/>
          <w:b/>
          <w:sz w:val="32"/>
        </w:rPr>
        <w:t>（二）政府采购情况</w:t>
      </w:r>
    </w:p>
    <w:p w14:paraId="2CA84EB4">
      <w:pPr>
        <w:spacing w:line="580" w:lineRule="exact"/>
        <w:ind w:firstLine="640"/>
        <w:jc w:val="both"/>
      </w:pPr>
      <w:r>
        <w:rPr>
          <w:rFonts w:ascii="仿宋_GB2312" w:hAnsi="仿宋_GB2312" w:eastAsia="仿宋_GB2312"/>
          <w:b w:val="0"/>
          <w:sz w:val="32"/>
        </w:rPr>
        <w:t>2024年度政府采购支出总额1.03万元，其中：政府采购货物支出0.30万元、政府采购工程支出0.00万元、政府采购服务支出0.73万元。</w:t>
      </w:r>
    </w:p>
    <w:p w14:paraId="62754CF8">
      <w:pPr>
        <w:spacing w:line="580" w:lineRule="exact"/>
        <w:ind w:firstLine="640"/>
        <w:jc w:val="both"/>
      </w:pPr>
      <w:r>
        <w:rPr>
          <w:rFonts w:ascii="仿宋_GB2312" w:hAnsi="仿宋_GB2312" w:eastAsia="仿宋_GB2312"/>
          <w:b w:val="0"/>
          <w:sz w:val="32"/>
        </w:rPr>
        <w:t>授予中小企业合同金额0.42万元，占政府采购支出总额的40.78%，其中：授予小微企业合同金额0.42万元，占政府采购支出总额的40.78%。</w:t>
      </w:r>
    </w:p>
    <w:p w14:paraId="45784C27">
      <w:pPr>
        <w:spacing w:line="640" w:lineRule="exact"/>
        <w:ind w:firstLine="640"/>
        <w:jc w:val="both"/>
        <w:outlineLvl w:val="3"/>
      </w:pPr>
      <w:r>
        <w:rPr>
          <w:rFonts w:ascii="楷体_GB2312" w:hAnsi="楷体_GB2312" w:eastAsia="楷体_GB2312"/>
          <w:b/>
          <w:sz w:val="32"/>
        </w:rPr>
        <w:t>（三）国有资产占用情况说明</w:t>
      </w:r>
    </w:p>
    <w:p w14:paraId="78B66F98">
      <w:pPr>
        <w:spacing w:line="580" w:lineRule="exact"/>
        <w:ind w:firstLine="640"/>
        <w:jc w:val="both"/>
      </w:pPr>
      <w:r>
        <w:rPr>
          <w:rFonts w:ascii="仿宋_GB2312" w:hAnsi="仿宋_GB2312" w:eastAsia="仿宋_GB2312"/>
          <w:b w:val="0"/>
          <w:sz w:val="32"/>
        </w:rPr>
        <w:t>截至2024年12月31日，房屋0.00平方米，价值0.00万元。车辆1辆，价值14.60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E3D8534">
      <w:pPr>
        <w:spacing w:line="640" w:lineRule="exact"/>
        <w:ind w:firstLine="640"/>
        <w:jc w:val="both"/>
        <w:outlineLvl w:val="2"/>
      </w:pPr>
      <w:r>
        <w:rPr>
          <w:rFonts w:ascii="黑体" w:hAnsi="黑体" w:eastAsia="黑体"/>
          <w:sz w:val="32"/>
        </w:rPr>
        <w:t>十一、预算绩效的情况说明</w:t>
      </w:r>
    </w:p>
    <w:p w14:paraId="7BE4877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215.24万元，实际执行总额215.24万元；预算绩效评价项目1个，全年预算数30.00万元，全年执行数18.00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3983D05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5D698BB">
        <w:tblPrEx>
          <w:tblCellMar>
            <w:top w:w="0" w:type="dxa"/>
            <w:left w:w="108" w:type="dxa"/>
            <w:bottom w:w="0" w:type="dxa"/>
            <w:right w:w="108" w:type="dxa"/>
          </w:tblCellMar>
        </w:tblPrEx>
        <w:tc>
          <w:tcPr>
            <w:tcW w:w="8840" w:type="dxa"/>
            <w:gridSpan w:val="8"/>
            <w:vAlign w:val="center"/>
          </w:tcPr>
          <w:p w14:paraId="27B8E7ED">
            <w:pPr>
              <w:jc w:val="center"/>
            </w:pPr>
            <w:r>
              <w:rPr>
                <w:rFonts w:ascii="宋体" w:hAnsi="宋体" w:eastAsia="宋体"/>
                <w:sz w:val="24"/>
              </w:rPr>
              <w:t>单位整体支出绩效自评表</w:t>
            </w:r>
          </w:p>
        </w:tc>
      </w:tr>
      <w:tr w14:paraId="1C0B0B25">
        <w:tblPrEx>
          <w:tblCellMar>
            <w:top w:w="0" w:type="dxa"/>
            <w:left w:w="108" w:type="dxa"/>
            <w:bottom w:w="0" w:type="dxa"/>
            <w:right w:w="108" w:type="dxa"/>
          </w:tblCellMar>
        </w:tblPrEx>
        <w:tc>
          <w:tcPr>
            <w:tcW w:w="8840" w:type="dxa"/>
            <w:gridSpan w:val="8"/>
            <w:vAlign w:val="center"/>
          </w:tcPr>
          <w:p w14:paraId="33E4C1C4">
            <w:pPr>
              <w:jc w:val="center"/>
            </w:pPr>
            <w:r>
              <w:rPr>
                <w:rFonts w:ascii="宋体" w:hAnsi="宋体" w:eastAsia="宋体"/>
                <w:sz w:val="24"/>
              </w:rPr>
              <w:t>（2024年度）</w:t>
            </w:r>
          </w:p>
        </w:tc>
      </w:tr>
      <w:tr w14:paraId="6CBCBF9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88EA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51F86">
            <w:pPr>
              <w:jc w:val="center"/>
            </w:pPr>
            <w:r>
              <w:rPr>
                <w:rFonts w:ascii="宋体" w:hAnsi="宋体" w:eastAsia="宋体"/>
                <w:sz w:val="16"/>
              </w:rPr>
              <w:t>中共克孜勒苏柯尔克孜自治州委员会工商业联合会</w:t>
            </w:r>
          </w:p>
        </w:tc>
      </w:tr>
      <w:tr w14:paraId="365CED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F740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D93C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36AF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77C5E">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AEF9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2FCC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94D5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DB049">
            <w:pPr>
              <w:jc w:val="center"/>
            </w:pPr>
            <w:r>
              <w:rPr>
                <w:rFonts w:ascii="宋体" w:hAnsi="宋体" w:eastAsia="宋体"/>
                <w:sz w:val="16"/>
              </w:rPr>
              <w:t>得分</w:t>
            </w:r>
          </w:p>
        </w:tc>
      </w:tr>
      <w:tr w14:paraId="0FB58B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78D9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1D1F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6A31E">
            <w:pPr>
              <w:jc w:val="center"/>
            </w:pPr>
            <w:r>
              <w:rPr>
                <w:rFonts w:ascii="宋体" w:hAnsi="宋体" w:eastAsia="宋体"/>
                <w:sz w:val="16"/>
              </w:rPr>
              <w:t>213.83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FF6D7">
            <w:pPr>
              <w:jc w:val="center"/>
            </w:pPr>
            <w:r>
              <w:rPr>
                <w:rFonts w:ascii="宋体" w:hAnsi="宋体" w:eastAsia="宋体"/>
                <w:sz w:val="16"/>
              </w:rPr>
              <w:t>215.24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857CF">
            <w:pPr>
              <w:jc w:val="center"/>
            </w:pPr>
            <w:r>
              <w:rPr>
                <w:rFonts w:ascii="宋体" w:hAnsi="宋体" w:eastAsia="宋体"/>
                <w:sz w:val="16"/>
              </w:rPr>
              <w:t>215.24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A4098">
            <w:pPr>
              <w:jc w:val="center"/>
              <w:rPr>
                <w:rFonts w:hint="default" w:eastAsia="宋体"/>
                <w:lang w:val="en-US" w:eastAsia="zh-CN"/>
              </w:rPr>
            </w:pPr>
            <w:r>
              <w:rPr>
                <w:rFonts w:ascii="宋体" w:hAnsi="宋体" w:eastAsia="宋体"/>
                <w:sz w:val="16"/>
              </w:rPr>
              <w:t>10</w:t>
            </w:r>
            <w:r>
              <w:rPr>
                <w:rFonts w:hint="eastAsia" w:ascii="宋体" w:hAnsi="宋体"/>
                <w:sz w:val="16"/>
                <w:lang w:val="en-US" w:eastAsia="zh-CN"/>
              </w:rPr>
              <w:t>.00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1BEA5">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9A811">
            <w:pPr>
              <w:jc w:val="center"/>
            </w:pPr>
            <w:r>
              <w:rPr>
                <w:rFonts w:ascii="宋体" w:hAnsi="宋体" w:eastAsia="宋体"/>
                <w:sz w:val="16"/>
              </w:rPr>
              <w:t>10</w:t>
            </w:r>
            <w:r>
              <w:rPr>
                <w:rFonts w:hint="eastAsia" w:ascii="宋体" w:hAnsi="宋体"/>
                <w:sz w:val="16"/>
                <w:lang w:val="en-US" w:eastAsia="zh-CN"/>
              </w:rPr>
              <w:t>.</w:t>
            </w:r>
            <w:r>
              <w:rPr>
                <w:rFonts w:ascii="宋体" w:hAnsi="宋体" w:eastAsia="宋体"/>
                <w:sz w:val="16"/>
              </w:rPr>
              <w:t>00</w:t>
            </w:r>
          </w:p>
        </w:tc>
      </w:tr>
      <w:tr w14:paraId="587776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4CC3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30C3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0503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C36F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3268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743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59E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BBAEA">
            <w:pPr>
              <w:jc w:val="center"/>
            </w:pPr>
            <w:r>
              <w:rPr>
                <w:rFonts w:ascii="宋体" w:hAnsi="宋体" w:eastAsia="宋体"/>
                <w:sz w:val="16"/>
              </w:rPr>
              <w:t>—</w:t>
            </w:r>
          </w:p>
        </w:tc>
      </w:tr>
      <w:tr w14:paraId="06C9AE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F0B1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7811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65DAA">
            <w:pPr>
              <w:jc w:val="center"/>
            </w:pPr>
            <w:r>
              <w:rPr>
                <w:rFonts w:ascii="宋体" w:hAnsi="宋体" w:eastAsia="宋体"/>
                <w:sz w:val="16"/>
              </w:rPr>
              <w:t>213.83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A9BF7">
            <w:pPr>
              <w:jc w:val="center"/>
            </w:pPr>
            <w:r>
              <w:rPr>
                <w:rFonts w:ascii="宋体" w:hAnsi="宋体" w:eastAsia="宋体"/>
                <w:sz w:val="16"/>
              </w:rPr>
              <w:t>215.24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790FB">
            <w:pPr>
              <w:jc w:val="center"/>
            </w:pPr>
            <w:r>
              <w:rPr>
                <w:rFonts w:ascii="宋体" w:hAnsi="宋体" w:eastAsia="宋体"/>
                <w:sz w:val="16"/>
              </w:rPr>
              <w:t>215.24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26D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5515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5DACB">
            <w:pPr>
              <w:jc w:val="center"/>
            </w:pPr>
            <w:r>
              <w:rPr>
                <w:rFonts w:ascii="宋体" w:hAnsi="宋体" w:eastAsia="宋体"/>
                <w:sz w:val="16"/>
              </w:rPr>
              <w:t>—</w:t>
            </w:r>
          </w:p>
        </w:tc>
      </w:tr>
      <w:tr w14:paraId="4482631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B8C4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0651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FAEF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7AAF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A860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34D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E76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0C59F">
            <w:pPr>
              <w:jc w:val="center"/>
            </w:pPr>
            <w:r>
              <w:rPr>
                <w:rFonts w:ascii="宋体" w:hAnsi="宋体" w:eastAsia="宋体"/>
                <w:sz w:val="16"/>
              </w:rPr>
              <w:t>—</w:t>
            </w:r>
          </w:p>
        </w:tc>
      </w:tr>
      <w:tr w14:paraId="6B484BB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8E96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FDDA6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D1DD12">
            <w:pPr>
              <w:jc w:val="center"/>
            </w:pPr>
            <w:r>
              <w:rPr>
                <w:rFonts w:ascii="宋体" w:hAnsi="宋体" w:eastAsia="宋体"/>
                <w:sz w:val="16"/>
              </w:rPr>
              <w:t>实际完成情况</w:t>
            </w:r>
          </w:p>
        </w:tc>
      </w:tr>
      <w:tr w14:paraId="58E2ED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015D2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75D583">
            <w:pPr>
              <w:jc w:val="both"/>
            </w:pPr>
            <w:r>
              <w:rPr>
                <w:rFonts w:ascii="宋体" w:hAnsi="宋体" w:eastAsia="宋体"/>
                <w:sz w:val="16"/>
              </w:rPr>
              <w:t>本项目通过开展民营经济人士教育培训加强民营经济人士教育培养，举办民营经济高质量发展大会和招商会来强化广大民营经济人士高质量发展的信心，开展专题培训班推进八五普法工作深化法治思想引领，深入县市调研，充分发挥工商联带动作用，确保工商联系统顺利完成州委和</w:t>
            </w:r>
            <w:r>
              <w:rPr>
                <w:rFonts w:hint="eastAsia" w:ascii="宋体" w:hAnsi="宋体"/>
                <w:sz w:val="16"/>
                <w:lang w:val="en-US" w:eastAsia="zh-CN"/>
              </w:rPr>
              <w:t>州</w:t>
            </w:r>
            <w:r>
              <w:rPr>
                <w:rFonts w:ascii="宋体" w:hAnsi="宋体" w:eastAsia="宋体"/>
                <w:sz w:val="16"/>
              </w:rPr>
              <w:t>政府安排的各项任务。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49B56">
            <w:pPr>
              <w:jc w:val="both"/>
            </w:pPr>
            <w:r>
              <w:rPr>
                <w:rFonts w:ascii="宋体" w:hAnsi="宋体" w:eastAsia="宋体"/>
                <w:sz w:val="16"/>
              </w:rPr>
              <w:t>　　开展民营经济人士教育培训3期，培训700余人，先后组织民营企业代表前往浙江社会主义学院、青岛市社会主义学院、新疆社会主义学院、新疆特变电工等地学习交流等。</w:t>
            </w:r>
            <w:r>
              <w:rPr>
                <w:rFonts w:ascii="宋体" w:hAnsi="宋体" w:eastAsia="宋体"/>
                <w:sz w:val="16"/>
              </w:rPr>
              <w:br w:type="textWrapping"/>
            </w:r>
            <w:r>
              <w:rPr>
                <w:rFonts w:ascii="宋体" w:hAnsi="宋体" w:eastAsia="宋体"/>
                <w:sz w:val="16"/>
              </w:rPr>
              <w:t>　　开展民营经济高质量发展大会3次，与金融管理部门联合召开服务民营企业工作对接会及参与金融机构支持地方经济发展。民营企业克州行招商会1期，促进与金融管理部门联合召开服务民营企业工作对接会及参与金融机构支持地方经济发展评价工作，多方式、多渠道为民营企业争取贷款政策支持，为企业融资贷款做好服务。开展民营经济人士理想信念和民营经济专题培训班2期，促进与金融管理部门联合召开服务民营企业工作对接会及参与金融机构支持地方经济发展评价工作，多方式、多渠道为民营企业争取贷款政策支持，为企业融资贷款做好服务</w:t>
            </w:r>
            <w:r>
              <w:rPr>
                <w:rFonts w:ascii="宋体" w:hAnsi="宋体" w:eastAsia="宋体"/>
                <w:sz w:val="16"/>
              </w:rPr>
              <w:br w:type="textWrapping"/>
            </w:r>
            <w:r>
              <w:rPr>
                <w:rFonts w:ascii="宋体" w:hAnsi="宋体" w:eastAsia="宋体"/>
                <w:sz w:val="16"/>
              </w:rPr>
              <w:t>　　通过以上工作的实施，保障了我单位9职工的工资、福利及社保正常发放及缴纳，确保民生工作落实到位；保障我单位1辆公务用车的运行及维护，保障单位各项工作的正常运转，确保机构运转正常。</w:t>
            </w:r>
          </w:p>
        </w:tc>
      </w:tr>
      <w:tr w14:paraId="5F2AEB5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6B90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26E3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38C0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A0AD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970A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D032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BC35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53FCD">
            <w:pPr>
              <w:jc w:val="center"/>
            </w:pPr>
            <w:r>
              <w:rPr>
                <w:rFonts w:ascii="宋体" w:hAnsi="宋体" w:eastAsia="宋体"/>
                <w:sz w:val="16"/>
              </w:rPr>
              <w:t>得分</w:t>
            </w:r>
          </w:p>
        </w:tc>
      </w:tr>
      <w:tr w14:paraId="58432F7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9421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8D45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ADD73">
            <w:pPr>
              <w:jc w:val="center"/>
            </w:pPr>
            <w:r>
              <w:rPr>
                <w:rFonts w:ascii="宋体" w:hAnsi="宋体" w:eastAsia="宋体"/>
                <w:sz w:val="16"/>
              </w:rPr>
              <w:t>开展民营经济人士教育培训（期）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504D7">
            <w:pPr>
              <w:jc w:val="center"/>
            </w:pPr>
            <w:r>
              <w:rPr>
                <w:rFonts w:ascii="宋体" w:hAnsi="宋体" w:eastAsia="宋体"/>
                <w:sz w:val="16"/>
              </w:rPr>
              <w:t>&gt;=3期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4D82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AE2F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4B4A5">
            <w:pPr>
              <w:jc w:val="center"/>
            </w:pPr>
            <w:r>
              <w:rPr>
                <w:rFonts w:ascii="宋体" w:hAnsi="宋体" w:eastAsia="宋体"/>
                <w:sz w:val="16"/>
              </w:rPr>
              <w:t>3期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1D187">
            <w:pPr>
              <w:jc w:val="center"/>
            </w:pPr>
            <w:r>
              <w:rPr>
                <w:rFonts w:ascii="宋体" w:hAnsi="宋体" w:eastAsia="宋体"/>
                <w:sz w:val="16"/>
              </w:rPr>
              <w:t>18</w:t>
            </w:r>
          </w:p>
        </w:tc>
      </w:tr>
      <w:tr w14:paraId="66EEC4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59E59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5E3E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D00E9">
            <w:pPr>
              <w:jc w:val="center"/>
            </w:pPr>
            <w:r>
              <w:rPr>
                <w:rFonts w:ascii="宋体" w:hAnsi="宋体" w:eastAsia="宋体"/>
                <w:sz w:val="16"/>
              </w:rPr>
              <w:t>开展民营经济高质量发展大会（次）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7F1FD">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A545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6B26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8BAFE">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2FEE1">
            <w:pPr>
              <w:jc w:val="center"/>
            </w:pPr>
            <w:r>
              <w:rPr>
                <w:rFonts w:ascii="宋体" w:hAnsi="宋体" w:eastAsia="宋体"/>
                <w:sz w:val="16"/>
              </w:rPr>
              <w:t>18</w:t>
            </w:r>
          </w:p>
        </w:tc>
      </w:tr>
      <w:tr w14:paraId="35A390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A485B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9458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BDAF9">
            <w:pPr>
              <w:jc w:val="center"/>
            </w:pPr>
            <w:r>
              <w:rPr>
                <w:rFonts w:ascii="宋体" w:hAnsi="宋体" w:eastAsia="宋体"/>
                <w:sz w:val="16"/>
              </w:rPr>
              <w:t>举办“民营企业克州行”招商会（期）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C5437">
            <w:pPr>
              <w:jc w:val="center"/>
            </w:pPr>
            <w:r>
              <w:rPr>
                <w:rFonts w:ascii="宋体" w:hAnsi="宋体" w:eastAsia="宋体"/>
                <w:sz w:val="16"/>
              </w:rPr>
              <w: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9BCB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2EF4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43192">
            <w:pPr>
              <w:jc w:val="center"/>
            </w:pPr>
            <w:r>
              <w:rPr>
                <w:rFonts w:ascii="宋体" w:hAnsi="宋体" w:eastAsia="宋体"/>
                <w:sz w:val="16"/>
              </w:rPr>
              <w: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69153">
            <w:pPr>
              <w:jc w:val="center"/>
            </w:pPr>
            <w:r>
              <w:rPr>
                <w:rFonts w:ascii="宋体" w:hAnsi="宋体" w:eastAsia="宋体"/>
                <w:sz w:val="16"/>
              </w:rPr>
              <w:t>18</w:t>
            </w:r>
          </w:p>
        </w:tc>
      </w:tr>
      <w:tr w14:paraId="662928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AC3DF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2897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C0312">
            <w:pPr>
              <w:jc w:val="center"/>
            </w:pPr>
            <w:r>
              <w:rPr>
                <w:rFonts w:ascii="宋体" w:hAnsi="宋体" w:eastAsia="宋体"/>
                <w:sz w:val="16"/>
              </w:rPr>
              <w:t>全年到县市调研指导工作（次）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0E6E0">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6BED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DEA2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4B4E0">
            <w:pPr>
              <w:jc w:val="center"/>
            </w:pPr>
            <w:r>
              <w:rPr>
                <w:rFonts w:ascii="宋体" w:hAnsi="宋体" w:eastAsia="宋体"/>
                <w:sz w:val="16"/>
              </w:rPr>
              <w: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16E0B">
            <w:pPr>
              <w:jc w:val="center"/>
            </w:pPr>
            <w:r>
              <w:rPr>
                <w:rFonts w:ascii="宋体" w:hAnsi="宋体" w:eastAsia="宋体"/>
                <w:sz w:val="16"/>
              </w:rPr>
              <w:t>18</w:t>
            </w:r>
          </w:p>
        </w:tc>
      </w:tr>
      <w:tr w14:paraId="1D823E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EBB05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52E1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9BA4D">
            <w:pPr>
              <w:jc w:val="center"/>
            </w:pPr>
            <w:r>
              <w:rPr>
                <w:rFonts w:ascii="宋体" w:hAnsi="宋体" w:eastAsia="宋体"/>
                <w:sz w:val="16"/>
              </w:rPr>
              <w:t>开展民营经济人士理想信念和民营经济专题培训班（期）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3F8C1">
            <w:pPr>
              <w:jc w:val="center"/>
            </w:pPr>
            <w:r>
              <w:rPr>
                <w:rFonts w:ascii="宋体" w:hAnsi="宋体" w:eastAsia="宋体"/>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87AA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4B739">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67A13">
            <w:pPr>
              <w:jc w:val="center"/>
            </w:pPr>
            <w:r>
              <w:rPr>
                <w:rFonts w:ascii="宋体" w:hAnsi="宋体" w:eastAsia="宋体"/>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9F7F6">
            <w:pPr>
              <w:jc w:val="center"/>
            </w:pPr>
            <w:r>
              <w:rPr>
                <w:rFonts w:ascii="宋体" w:hAnsi="宋体" w:eastAsia="宋体"/>
                <w:sz w:val="16"/>
              </w:rPr>
              <w:t>18</w:t>
            </w:r>
          </w:p>
        </w:tc>
      </w:tr>
    </w:tbl>
    <w:p w14:paraId="0AE622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9DBD6B">
        <w:tblPrEx>
          <w:tblCellMar>
            <w:top w:w="0" w:type="dxa"/>
            <w:left w:w="108" w:type="dxa"/>
            <w:bottom w:w="0" w:type="dxa"/>
            <w:right w:w="108" w:type="dxa"/>
          </w:tblCellMar>
        </w:tblPrEx>
        <w:tc>
          <w:tcPr>
            <w:tcW w:w="8848" w:type="dxa"/>
            <w:gridSpan w:val="14"/>
            <w:vAlign w:val="center"/>
          </w:tcPr>
          <w:p w14:paraId="1105BCE6">
            <w:pPr>
              <w:jc w:val="center"/>
            </w:pPr>
            <w:r>
              <w:rPr>
                <w:rFonts w:ascii="宋体" w:hAnsi="宋体" w:eastAsia="宋体"/>
                <w:sz w:val="24"/>
              </w:rPr>
              <w:t>项目支出绩效自评表</w:t>
            </w:r>
          </w:p>
        </w:tc>
      </w:tr>
      <w:tr w14:paraId="5C4960E0">
        <w:tblPrEx>
          <w:tblCellMar>
            <w:top w:w="0" w:type="dxa"/>
            <w:left w:w="108" w:type="dxa"/>
            <w:bottom w:w="0" w:type="dxa"/>
            <w:right w:w="108" w:type="dxa"/>
          </w:tblCellMar>
        </w:tblPrEx>
        <w:tc>
          <w:tcPr>
            <w:tcW w:w="8848" w:type="dxa"/>
            <w:gridSpan w:val="14"/>
            <w:vAlign w:val="center"/>
          </w:tcPr>
          <w:p w14:paraId="43243B3B">
            <w:pPr>
              <w:jc w:val="center"/>
            </w:pPr>
            <w:r>
              <w:rPr>
                <w:rFonts w:ascii="宋体" w:hAnsi="宋体" w:eastAsia="宋体"/>
                <w:sz w:val="24"/>
              </w:rPr>
              <w:t>(2024年度)</w:t>
            </w:r>
          </w:p>
        </w:tc>
      </w:tr>
      <w:tr w14:paraId="66FE0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A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7DC481">
            <w:pPr>
              <w:jc w:val="center"/>
            </w:pPr>
            <w:r>
              <w:rPr>
                <w:rFonts w:ascii="宋体" w:hAnsi="宋体" w:eastAsia="宋体"/>
                <w:sz w:val="16"/>
              </w:rPr>
              <w:t>2024年政企联合办公经费项目</w:t>
            </w:r>
          </w:p>
        </w:tc>
      </w:tr>
      <w:tr w14:paraId="24722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62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02C4F">
            <w:pPr>
              <w:jc w:val="center"/>
            </w:pPr>
            <w:r>
              <w:rPr>
                <w:rFonts w:ascii="宋体" w:hAnsi="宋体" w:eastAsia="宋体"/>
                <w:sz w:val="16"/>
              </w:rPr>
              <w:t>中共克孜勒苏柯尔克孜自治州委员会工商业联合会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A2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41AA46">
            <w:pPr>
              <w:jc w:val="center"/>
            </w:pPr>
            <w:r>
              <w:rPr>
                <w:rFonts w:ascii="宋体" w:hAnsi="宋体" w:eastAsia="宋体"/>
                <w:sz w:val="16"/>
              </w:rPr>
              <w:t>中共克孜勒苏柯尔克孜自治州委员会工商业联合会</w:t>
            </w:r>
          </w:p>
        </w:tc>
      </w:tr>
      <w:tr w14:paraId="705952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EAB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C8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029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99E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4D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92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891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EFBD">
            <w:pPr>
              <w:jc w:val="center"/>
            </w:pPr>
            <w:r>
              <w:rPr>
                <w:rFonts w:ascii="宋体" w:hAnsi="宋体" w:eastAsia="宋体"/>
                <w:sz w:val="16"/>
              </w:rPr>
              <w:t>得分</w:t>
            </w:r>
          </w:p>
        </w:tc>
      </w:tr>
      <w:tr w14:paraId="0BC12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8A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75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222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0A5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9CCC">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B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FFA74">
            <w:pPr>
              <w:jc w:val="center"/>
            </w:pPr>
            <w:r>
              <w:rPr>
                <w:rFonts w:ascii="宋体" w:hAnsi="宋体" w:eastAsia="宋体"/>
                <w:sz w:val="16"/>
              </w:rPr>
              <w:t>60.</w:t>
            </w:r>
            <w:r>
              <w:rPr>
                <w:rFonts w:hint="eastAsia" w:ascii="宋体" w:hAnsi="宋体"/>
                <w:sz w:val="16"/>
                <w:lang w:val="en-US" w:eastAsia="zh-CN"/>
              </w:rPr>
              <w:t>0</w:t>
            </w:r>
            <w:bookmarkStart w:id="0" w:name="_GoBack"/>
            <w:bookmarkEnd w:id="0"/>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8E04">
            <w:pPr>
              <w:jc w:val="center"/>
            </w:pPr>
            <w:r>
              <w:rPr>
                <w:rFonts w:ascii="宋体" w:hAnsi="宋体" w:eastAsia="宋体"/>
                <w:sz w:val="16"/>
              </w:rPr>
              <w:t>0.00分</w:t>
            </w:r>
          </w:p>
        </w:tc>
      </w:tr>
      <w:tr w14:paraId="59869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C6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69C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CC7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799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959D">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754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7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65A8">
            <w:pPr>
              <w:jc w:val="center"/>
            </w:pPr>
            <w:r>
              <w:rPr>
                <w:rFonts w:ascii="宋体" w:hAnsi="宋体" w:eastAsia="宋体"/>
                <w:sz w:val="16"/>
              </w:rPr>
              <w:t>—</w:t>
            </w:r>
          </w:p>
        </w:tc>
      </w:tr>
      <w:tr w14:paraId="0A1DA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C9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EF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D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13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1F8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E4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F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9271">
            <w:pPr>
              <w:jc w:val="center"/>
            </w:pPr>
            <w:r>
              <w:rPr>
                <w:rFonts w:ascii="宋体" w:hAnsi="宋体" w:eastAsia="宋体"/>
                <w:sz w:val="16"/>
              </w:rPr>
              <w:t>—</w:t>
            </w:r>
          </w:p>
        </w:tc>
      </w:tr>
      <w:tr w14:paraId="5E2A5A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D6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F35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B03F86">
            <w:pPr>
              <w:jc w:val="center"/>
            </w:pPr>
            <w:r>
              <w:rPr>
                <w:rFonts w:ascii="宋体" w:hAnsi="宋体" w:eastAsia="宋体"/>
                <w:sz w:val="16"/>
              </w:rPr>
              <w:t>实际完成情况</w:t>
            </w:r>
          </w:p>
        </w:tc>
      </w:tr>
      <w:tr w14:paraId="5D61E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757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767EA">
            <w:pPr>
              <w:jc w:val="both"/>
            </w:pPr>
            <w:r>
              <w:rPr>
                <w:rFonts w:ascii="宋体" w:hAnsi="宋体" w:eastAsia="宋体"/>
                <w:sz w:val="16"/>
              </w:rPr>
              <w:t>该项目总投资30万元，其中：财政资金30万元，其他资金0万元，该项目资金主要用于：通过开展调研宣传党的政策，今年起，</w:t>
            </w:r>
            <w:r>
              <w:rPr>
                <w:rFonts w:hint="eastAsia" w:ascii="宋体" w:hAnsi="宋体"/>
                <w:sz w:val="16"/>
                <w:lang w:eastAsia="zh-CN"/>
              </w:rPr>
              <w:t>招</w:t>
            </w:r>
            <w:r>
              <w:rPr>
                <w:rFonts w:ascii="宋体" w:hAnsi="宋体" w:eastAsia="宋体"/>
                <w:sz w:val="16"/>
              </w:rPr>
              <w:t>商引资工作的陆续开展，政企交流交往工作频繁，建议给予安排。用于全国民营企业助推南疆发展大会（1万元），民营经济人士理想教育培训（1万元）元，工商联五届三次执常会（1万元）使企业提高优惠政策知晓率、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C7648">
            <w:pPr>
              <w:jc w:val="both"/>
            </w:pPr>
            <w:r>
              <w:rPr>
                <w:rFonts w:ascii="宋体" w:hAnsi="宋体" w:eastAsia="宋体"/>
                <w:sz w:val="16"/>
              </w:rPr>
              <w:t>截至2024年12月31日，实际支出18万元，调研企业数量200家，培训人员人数200人，安排会议次数5次，开展政策宣传活动10次，购买办公用品3次，较好</w:t>
            </w:r>
            <w:r>
              <w:rPr>
                <w:rFonts w:hint="eastAsia" w:ascii="宋体" w:hAnsi="宋体"/>
                <w:sz w:val="16"/>
                <w:lang w:eastAsia="zh-CN"/>
              </w:rPr>
              <w:t>地</w:t>
            </w:r>
            <w:r>
              <w:rPr>
                <w:rFonts w:ascii="宋体" w:hAnsi="宋体" w:eastAsia="宋体"/>
                <w:sz w:val="16"/>
              </w:rPr>
              <w:t>发挥了党和政府联系非公有制经济人士的桥梁纽带作用，通过开展民营企业调研、宣传党的政策、民营经济人士各类培训，帮助民营企业提高优惠政策知晓率，为民营企业助推克州经济高质量发展奠定了基础，为实现维护社会稳定和长治久安总目标贡献了力量。</w:t>
            </w:r>
          </w:p>
        </w:tc>
      </w:tr>
      <w:tr w14:paraId="59E7F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29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8D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1E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3E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28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C9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CC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21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60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5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BA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1B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46E1">
            <w:pPr>
              <w:jc w:val="center"/>
            </w:pPr>
            <w:r>
              <w:rPr>
                <w:rFonts w:ascii="宋体" w:hAnsi="宋体" w:eastAsia="宋体"/>
                <w:sz w:val="16"/>
              </w:rPr>
              <w:t>偏差原因分析及改进措施</w:t>
            </w:r>
          </w:p>
        </w:tc>
      </w:tr>
      <w:tr w14:paraId="138AF4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CF0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BC5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017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115C">
            <w:pPr>
              <w:jc w:val="center"/>
            </w:pPr>
            <w:r>
              <w:rPr>
                <w:rFonts w:ascii="宋体" w:hAnsi="宋体" w:eastAsia="宋体"/>
                <w:sz w:val="16"/>
              </w:rPr>
              <w:t>调研企业数量(家）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2522">
            <w:pPr>
              <w:jc w:val="center"/>
            </w:pPr>
            <w:r>
              <w:rPr>
                <w:rFonts w:ascii="宋体" w:hAnsi="宋体" w:eastAsia="宋体"/>
                <w:sz w:val="16"/>
              </w:rPr>
              <w: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3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EFC3">
            <w:pPr>
              <w:jc w:val="center"/>
            </w:pPr>
            <w:r>
              <w:rPr>
                <w:rFonts w:ascii="宋体" w:hAnsi="宋体" w:eastAsia="宋体"/>
                <w:sz w:val="16"/>
              </w:rPr>
              <w: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AA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2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7CF6">
            <w:pPr>
              <w:jc w:val="center"/>
            </w:pPr>
            <w:r>
              <w:rPr>
                <w:rFonts w:ascii="宋体" w:hAnsi="宋体" w:eastAsia="宋体"/>
                <w:sz w:val="16"/>
              </w:rPr>
              <w:t>=200家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F5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F601E">
            <w:pPr>
              <w:jc w:val="center"/>
            </w:pPr>
          </w:p>
        </w:tc>
      </w:tr>
      <w:tr w14:paraId="2589B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30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A3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F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9908">
            <w:pPr>
              <w:jc w:val="center"/>
            </w:pPr>
            <w:r>
              <w:rPr>
                <w:rFonts w:ascii="宋体" w:hAnsi="宋体" w:eastAsia="宋体"/>
                <w:sz w:val="16"/>
              </w:rPr>
              <w:t>培训人员人数（人）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B71C">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5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82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AD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6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BB3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7D31">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071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09E72">
            <w:pPr>
              <w:jc w:val="center"/>
            </w:pPr>
          </w:p>
        </w:tc>
      </w:tr>
      <w:tr w14:paraId="6309A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25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E1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21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E57A">
            <w:pPr>
              <w:jc w:val="center"/>
            </w:pPr>
            <w:r>
              <w:rPr>
                <w:rFonts w:ascii="宋体" w:hAnsi="宋体" w:eastAsia="宋体"/>
                <w:sz w:val="16"/>
              </w:rPr>
              <w:t>安排会议次数（次）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6D2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E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1A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5E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A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B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F31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5D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3726">
            <w:pPr>
              <w:jc w:val="center"/>
            </w:pPr>
          </w:p>
        </w:tc>
      </w:tr>
      <w:tr w14:paraId="0BF58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FE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8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9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9B71">
            <w:pPr>
              <w:jc w:val="center"/>
            </w:pPr>
            <w:r>
              <w:rPr>
                <w:rFonts w:ascii="宋体" w:hAnsi="宋体" w:eastAsia="宋体"/>
                <w:sz w:val="16"/>
              </w:rPr>
              <w:t>开展政策宣传活动（次）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D3E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A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00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64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6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5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F67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3AC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D7F1">
            <w:pPr>
              <w:jc w:val="center"/>
            </w:pPr>
          </w:p>
        </w:tc>
      </w:tr>
      <w:tr w14:paraId="05180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A1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3F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5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1625">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6C1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F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4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8C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1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921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0EF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CC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201F">
            <w:pPr>
              <w:jc w:val="center"/>
            </w:pPr>
          </w:p>
        </w:tc>
      </w:tr>
      <w:tr w14:paraId="0B31E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9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507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87C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353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8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6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7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F6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7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3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978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5E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28E2">
            <w:pPr>
              <w:jc w:val="center"/>
            </w:pPr>
            <w:r>
              <w:rPr>
                <w:rFonts w:ascii="宋体" w:hAnsi="宋体" w:eastAsia="宋体"/>
                <w:sz w:val="16"/>
              </w:rPr>
              <w:t>偏差原因为培训项目未及时开展，导致资金使用率偏低。改进措施：加强项目监管力度，确保资金使用到位。</w:t>
            </w:r>
          </w:p>
        </w:tc>
      </w:tr>
      <w:tr w14:paraId="40CC8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FF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A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2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E448">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5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4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5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49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4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2B9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F02A">
            <w:pPr>
              <w:jc w:val="center"/>
            </w:pPr>
          </w:p>
        </w:tc>
      </w:tr>
      <w:tr w14:paraId="68E3B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FD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A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66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1B84">
            <w:pPr>
              <w:jc w:val="center"/>
            </w:pPr>
            <w:r>
              <w:rPr>
                <w:rFonts w:ascii="宋体" w:hAnsi="宋体" w:eastAsia="宋体"/>
                <w:sz w:val="16"/>
              </w:rPr>
              <w:t>会议培训出勤率（%）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9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E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B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DE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E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E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C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DB7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3982">
            <w:pPr>
              <w:jc w:val="center"/>
            </w:pPr>
          </w:p>
        </w:tc>
      </w:tr>
      <w:tr w14:paraId="05E50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92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53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48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625E">
            <w:pPr>
              <w:jc w:val="center"/>
            </w:pPr>
            <w:r>
              <w:rPr>
                <w:rFonts w:ascii="宋体" w:hAnsi="宋体" w:eastAsia="宋体"/>
                <w:sz w:val="16"/>
              </w:rPr>
              <w:t>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0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F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E7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54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4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B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D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B2C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31D8">
            <w:pPr>
              <w:jc w:val="center"/>
            </w:pPr>
          </w:p>
        </w:tc>
      </w:tr>
      <w:tr w14:paraId="33A7E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EF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EF8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393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62E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F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6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2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DB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0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1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7BD4">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AA3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9523">
            <w:pPr>
              <w:jc w:val="center"/>
            </w:pPr>
            <w:r>
              <w:rPr>
                <w:rFonts w:ascii="宋体" w:hAnsi="宋体" w:eastAsia="宋体"/>
                <w:sz w:val="16"/>
              </w:rPr>
              <w:t>偏差原因为培训项目未及时开展，导致资金使用率偏低。改进措施：加强项目监管力度，确保资金使用到位。</w:t>
            </w:r>
          </w:p>
        </w:tc>
      </w:tr>
      <w:tr w14:paraId="5D3E5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28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E3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2A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26E1">
            <w:pPr>
              <w:jc w:val="center"/>
            </w:pPr>
            <w:r>
              <w:rPr>
                <w:rFonts w:ascii="宋体" w:hAnsi="宋体" w:eastAsia="宋体"/>
                <w:sz w:val="16"/>
              </w:rPr>
              <w:t>政策宣传及时率（%）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B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1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8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85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7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5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9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1BA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FB3C">
            <w:pPr>
              <w:jc w:val="center"/>
            </w:pPr>
          </w:p>
        </w:tc>
      </w:tr>
      <w:tr w14:paraId="61A60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5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B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E1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928B">
            <w:pPr>
              <w:jc w:val="center"/>
            </w:pPr>
            <w:r>
              <w:rPr>
                <w:rFonts w:ascii="宋体" w:hAnsi="宋体" w:eastAsia="宋体"/>
                <w:sz w:val="16"/>
              </w:rPr>
              <w:t>调研工作完成及时率（%）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7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F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D2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C2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9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C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2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F0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8B091">
            <w:pPr>
              <w:jc w:val="center"/>
            </w:pPr>
          </w:p>
        </w:tc>
      </w:tr>
      <w:tr w14:paraId="6BB25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2E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088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385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BFF6">
            <w:pPr>
              <w:jc w:val="center"/>
            </w:pPr>
            <w:r>
              <w:rPr>
                <w:rFonts w:ascii="宋体" w:hAnsi="宋体" w:eastAsia="宋体"/>
                <w:sz w:val="16"/>
              </w:rPr>
              <w:t>会议培训经费（万元）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779B">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E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B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CE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71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0A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CCD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50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234A">
            <w:pPr>
              <w:jc w:val="center"/>
            </w:pPr>
            <w:r>
              <w:rPr>
                <w:rFonts w:ascii="宋体" w:hAnsi="宋体" w:eastAsia="宋体"/>
                <w:sz w:val="16"/>
              </w:rPr>
              <w:t>偏差原因为培训项目未及时开展，导致资金使用率偏低。改进措施：加强项目监管力度，确保资金使用到位。</w:t>
            </w:r>
          </w:p>
        </w:tc>
      </w:tr>
      <w:tr w14:paraId="68B5E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F6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3C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D2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26EA">
            <w:pPr>
              <w:jc w:val="center"/>
            </w:pPr>
            <w:r>
              <w:rPr>
                <w:rFonts w:ascii="宋体" w:hAnsi="宋体" w:eastAsia="宋体"/>
                <w:sz w:val="16"/>
              </w:rPr>
              <w:t>购买办公用品经费（万元）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693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13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45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D0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B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77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C4A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8F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506B">
            <w:pPr>
              <w:jc w:val="center"/>
            </w:pPr>
          </w:p>
        </w:tc>
      </w:tr>
      <w:tr w14:paraId="46AAB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3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1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68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4BAB">
            <w:pPr>
              <w:jc w:val="center"/>
            </w:pPr>
            <w:r>
              <w:rPr>
                <w:rFonts w:ascii="宋体" w:hAnsi="宋体" w:eastAsia="宋体"/>
                <w:sz w:val="16"/>
              </w:rPr>
              <w:t>公务用车维护维修费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537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B4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3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2B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4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2E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D95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EC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466B">
            <w:pPr>
              <w:jc w:val="center"/>
            </w:pPr>
          </w:p>
        </w:tc>
      </w:tr>
      <w:tr w14:paraId="51C74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7A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C9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F6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CCC5">
            <w:pPr>
              <w:jc w:val="center"/>
            </w:pPr>
            <w:r>
              <w:rPr>
                <w:rFonts w:ascii="宋体" w:hAnsi="宋体" w:eastAsia="宋体"/>
                <w:sz w:val="16"/>
              </w:rPr>
              <w:t>增强企业家投资生产信心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4DA2">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9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D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A7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D5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DE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917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2FD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9C6A">
            <w:pPr>
              <w:jc w:val="center"/>
            </w:pPr>
            <w:r>
              <w:rPr>
                <w:rFonts w:ascii="宋体" w:hAnsi="宋体" w:eastAsia="宋体"/>
                <w:sz w:val="16"/>
              </w:rPr>
              <w:t>偏差原因为培训项目未及时开展，导致资金使用率偏低。改进措施：加强项目监管力度，确保资金使用到位。</w:t>
            </w:r>
          </w:p>
        </w:tc>
      </w:tr>
      <w:tr w14:paraId="6E2EA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5A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4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DC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97B1">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61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8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AE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D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2B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0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8A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DF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2F45">
            <w:pPr>
              <w:jc w:val="center"/>
            </w:pPr>
            <w:r>
              <w:rPr>
                <w:rFonts w:ascii="宋体" w:hAnsi="宋体" w:eastAsia="宋体"/>
                <w:sz w:val="16"/>
              </w:rPr>
              <w:t>培训人数覆盖面较小且人数偏低。</w:t>
            </w:r>
          </w:p>
        </w:tc>
      </w:tr>
      <w:tr w14:paraId="5575B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22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ED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5CE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DAAE51">
            <w:pPr>
              <w:jc w:val="center"/>
            </w:pPr>
            <w:r>
              <w:rPr>
                <w:rFonts w:ascii="宋体" w:hAnsi="宋体" w:eastAsia="宋体"/>
                <w:sz w:val="16"/>
              </w:rPr>
              <w:t>72分</w:t>
            </w:r>
          </w:p>
        </w:tc>
      </w:tr>
    </w:tbl>
    <w:p w14:paraId="5186A2C3">
      <w:r>
        <w:br w:type="page"/>
      </w:r>
    </w:p>
    <w:p w14:paraId="66F21DC6">
      <w:pPr>
        <w:spacing w:line="640" w:lineRule="exact"/>
        <w:ind w:firstLine="640"/>
        <w:jc w:val="both"/>
        <w:outlineLvl w:val="2"/>
      </w:pPr>
      <w:r>
        <w:rPr>
          <w:rFonts w:ascii="黑体" w:hAnsi="黑体" w:eastAsia="黑体"/>
          <w:sz w:val="32"/>
        </w:rPr>
        <w:t>十二、其他需说明的事项</w:t>
      </w:r>
    </w:p>
    <w:p w14:paraId="209678EA">
      <w:pPr>
        <w:spacing w:line="580" w:lineRule="exact"/>
        <w:ind w:firstLine="640"/>
        <w:jc w:val="both"/>
      </w:pPr>
      <w:r>
        <w:rPr>
          <w:rFonts w:ascii="仿宋_GB2312" w:hAnsi="仿宋_GB2312" w:eastAsia="仿宋_GB2312"/>
          <w:b w:val="0"/>
          <w:sz w:val="32"/>
        </w:rPr>
        <w:t>本单位无其他需说明的事项。</w:t>
      </w:r>
    </w:p>
    <w:p w14:paraId="363F9B7D">
      <w:r>
        <w:br w:type="page"/>
      </w:r>
    </w:p>
    <w:p w14:paraId="4AD60F65">
      <w:pPr>
        <w:spacing w:line="240" w:lineRule="auto"/>
        <w:jc w:val="center"/>
        <w:outlineLvl w:val="1"/>
      </w:pPr>
      <w:r>
        <w:rPr>
          <w:rFonts w:ascii="黑体" w:hAnsi="黑体" w:eastAsia="黑体"/>
          <w:sz w:val="32"/>
        </w:rPr>
        <w:t>第三部分 专业名词解释</w:t>
      </w:r>
    </w:p>
    <w:p w14:paraId="5B97017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6D2FA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B43E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4B499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1D198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1441F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1389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8E4CB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FBC5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7FBFB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2C95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F8C7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FF320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CD8A4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8648B4">
      <w:r>
        <w:br w:type="page"/>
      </w:r>
    </w:p>
    <w:p w14:paraId="33453E32">
      <w:pPr>
        <w:spacing w:line="240" w:lineRule="auto"/>
        <w:jc w:val="center"/>
        <w:outlineLvl w:val="1"/>
      </w:pPr>
      <w:r>
        <w:rPr>
          <w:rFonts w:ascii="黑体" w:hAnsi="黑体" w:eastAsia="黑体"/>
          <w:sz w:val="32"/>
        </w:rPr>
        <w:t>第四部分 部门决算报表（见附表）</w:t>
      </w:r>
    </w:p>
    <w:p w14:paraId="6FF2EC44">
      <w:pPr>
        <w:spacing w:line="240" w:lineRule="auto"/>
        <w:ind w:firstLine="640"/>
        <w:jc w:val="both"/>
      </w:pPr>
      <w:r>
        <w:rPr>
          <w:rFonts w:ascii="仿宋_GB2312" w:hAnsi="仿宋_GB2312" w:eastAsia="仿宋_GB2312"/>
          <w:b w:val="0"/>
          <w:sz w:val="32"/>
        </w:rPr>
        <w:t>一、《收入支出决算总表》</w:t>
      </w:r>
    </w:p>
    <w:p w14:paraId="2BCFE0EA">
      <w:pPr>
        <w:spacing w:line="240" w:lineRule="auto"/>
        <w:ind w:firstLine="640"/>
        <w:jc w:val="both"/>
      </w:pPr>
      <w:r>
        <w:rPr>
          <w:rFonts w:ascii="仿宋_GB2312" w:hAnsi="仿宋_GB2312" w:eastAsia="仿宋_GB2312"/>
          <w:b w:val="0"/>
          <w:sz w:val="32"/>
        </w:rPr>
        <w:t>二、《收入决算表》</w:t>
      </w:r>
    </w:p>
    <w:p w14:paraId="3AB95BBC">
      <w:pPr>
        <w:spacing w:line="240" w:lineRule="auto"/>
        <w:ind w:firstLine="640"/>
        <w:jc w:val="both"/>
      </w:pPr>
      <w:r>
        <w:rPr>
          <w:rFonts w:ascii="仿宋_GB2312" w:hAnsi="仿宋_GB2312" w:eastAsia="仿宋_GB2312"/>
          <w:b w:val="0"/>
          <w:sz w:val="32"/>
        </w:rPr>
        <w:t>三、《支出决算表》</w:t>
      </w:r>
    </w:p>
    <w:p w14:paraId="3A2DD77A">
      <w:pPr>
        <w:spacing w:line="240" w:lineRule="auto"/>
        <w:ind w:firstLine="640"/>
        <w:jc w:val="both"/>
      </w:pPr>
      <w:r>
        <w:rPr>
          <w:rFonts w:ascii="仿宋_GB2312" w:hAnsi="仿宋_GB2312" w:eastAsia="仿宋_GB2312"/>
          <w:b w:val="0"/>
          <w:sz w:val="32"/>
        </w:rPr>
        <w:t>四、《财政拨款收入支出决算总表》</w:t>
      </w:r>
    </w:p>
    <w:p w14:paraId="6D44C826">
      <w:pPr>
        <w:spacing w:line="240" w:lineRule="auto"/>
        <w:ind w:firstLine="640"/>
        <w:jc w:val="both"/>
      </w:pPr>
      <w:r>
        <w:rPr>
          <w:rFonts w:ascii="仿宋_GB2312" w:hAnsi="仿宋_GB2312" w:eastAsia="仿宋_GB2312"/>
          <w:b w:val="0"/>
          <w:sz w:val="32"/>
        </w:rPr>
        <w:t>五、《一般公共预算财政拨款支出决算表》</w:t>
      </w:r>
    </w:p>
    <w:p w14:paraId="3A5026FB">
      <w:pPr>
        <w:spacing w:line="240" w:lineRule="auto"/>
        <w:ind w:firstLine="640"/>
        <w:jc w:val="both"/>
      </w:pPr>
      <w:r>
        <w:rPr>
          <w:rFonts w:ascii="仿宋_GB2312" w:hAnsi="仿宋_GB2312" w:eastAsia="仿宋_GB2312"/>
          <w:b w:val="0"/>
          <w:sz w:val="32"/>
        </w:rPr>
        <w:t>六、《一般公共预算财政拨款基本支出决算表》</w:t>
      </w:r>
    </w:p>
    <w:p w14:paraId="06F7748D">
      <w:pPr>
        <w:spacing w:line="240" w:lineRule="auto"/>
        <w:ind w:firstLine="640"/>
        <w:jc w:val="both"/>
      </w:pPr>
      <w:r>
        <w:rPr>
          <w:rFonts w:ascii="仿宋_GB2312" w:hAnsi="仿宋_GB2312" w:eastAsia="仿宋_GB2312"/>
          <w:b w:val="0"/>
          <w:sz w:val="32"/>
        </w:rPr>
        <w:t>七、《政府性基金预算财政拨款收入支出决算表》</w:t>
      </w:r>
    </w:p>
    <w:p w14:paraId="16880800">
      <w:pPr>
        <w:spacing w:line="240" w:lineRule="auto"/>
        <w:ind w:firstLine="640"/>
        <w:jc w:val="both"/>
      </w:pPr>
      <w:r>
        <w:rPr>
          <w:rFonts w:ascii="仿宋_GB2312" w:hAnsi="仿宋_GB2312" w:eastAsia="仿宋_GB2312"/>
          <w:b w:val="0"/>
          <w:sz w:val="32"/>
        </w:rPr>
        <w:t>八、《国有资本经营预算财政拨款收入支出决算表》</w:t>
      </w:r>
    </w:p>
    <w:p w14:paraId="66CA8B74">
      <w:pPr>
        <w:spacing w:line="240" w:lineRule="auto"/>
        <w:ind w:firstLine="640"/>
        <w:jc w:val="both"/>
      </w:pPr>
      <w:r>
        <w:rPr>
          <w:rFonts w:ascii="仿宋_GB2312" w:hAnsi="仿宋_GB2312" w:eastAsia="仿宋_GB2312"/>
          <w:b w:val="0"/>
          <w:sz w:val="32"/>
        </w:rPr>
        <w:t>九、《财政拨款“三公”经费支出决算表》</w:t>
      </w:r>
    </w:p>
    <w:p w14:paraId="2BD9BBA5">
      <w:pPr>
        <w:spacing w:line="240" w:lineRule="auto"/>
        <w:ind w:firstLine="640"/>
        <w:jc w:val="both"/>
      </w:pPr>
    </w:p>
    <w:p w14:paraId="766CC72C">
      <w:pPr>
        <w:spacing w:line="240" w:lineRule="auto"/>
        <w:ind w:firstLine="640"/>
        <w:jc w:val="both"/>
      </w:pPr>
    </w:p>
    <w:p w14:paraId="57600825">
      <w:pPr>
        <w:spacing w:line="240" w:lineRule="auto"/>
        <w:ind w:firstLine="640"/>
        <w:jc w:val="both"/>
      </w:pPr>
    </w:p>
    <w:p w14:paraId="162836BF">
      <w:pPr>
        <w:spacing w:line="240" w:lineRule="auto"/>
        <w:ind w:firstLine="640"/>
        <w:jc w:val="both"/>
      </w:pPr>
    </w:p>
    <w:p w14:paraId="52FCDE3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5F883F-1044-4CE2-B40E-B319C151FF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AC6956-0537-4D31-A60C-58ECAE38DEFA}"/>
  </w:font>
  <w:font w:name="仿宋_GB2312">
    <w:panose1 w:val="02010609030101010101"/>
    <w:charset w:val="86"/>
    <w:family w:val="modern"/>
    <w:pitch w:val="default"/>
    <w:sig w:usb0="00000001" w:usb1="080E0000" w:usb2="00000000" w:usb3="00000000" w:csb0="00040000" w:csb1="00000000"/>
    <w:embedRegular r:id="rId3" w:fontKey="{9A647A6F-D408-452F-9864-6873524459C8}"/>
  </w:font>
  <w:font w:name="楷体_GB2312">
    <w:panose1 w:val="02010609030101010101"/>
    <w:charset w:val="86"/>
    <w:family w:val="auto"/>
    <w:pitch w:val="default"/>
    <w:sig w:usb0="00000001" w:usb1="080E0000" w:usb2="00000000" w:usb3="00000000" w:csb0="00040000" w:csb1="00000000"/>
    <w:embedRegular r:id="rId4" w:fontKey="{9B90BBB5-8E39-415F-94DC-85589D39AA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EA04C2"/>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8E4DC3"/>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51224F"/>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624D5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BD2B74"/>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5254</Words>
  <Characters>5965</Characters>
  <Lines>0</Lines>
  <Paragraphs>0</Paragraphs>
  <TotalTime>22</TotalTime>
  <ScaleCrop>false</ScaleCrop>
  <LinksUpToDate>false</LinksUpToDate>
  <CharactersWithSpaces>5979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2025-09-02T03:37:22Z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