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C950E1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克孜勒苏柯尔克孜自治州美术馆2024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CAC6262">
      <w:r>
        <w:br w:type="page"/>
      </w:r>
    </w:p>
    <w:p w14:paraId="1185F9DB">
      <w:pPr>
        <w:spacing w:line="640" w:lineRule="exact"/>
        <w:jc w:val="center"/>
        <w:outlineLvl w:val="1"/>
      </w:pPr>
      <w:r>
        <w:rPr>
          <w:rFonts w:ascii="黑体" w:hAnsi="黑体" w:eastAsia="黑体"/>
          <w:sz w:val="32"/>
        </w:rPr>
        <w:t>第一部分 单位概况</w:t>
      </w:r>
    </w:p>
    <w:p w14:paraId="25777469">
      <w:pPr>
        <w:spacing w:line="640" w:lineRule="exact"/>
        <w:ind w:firstLine="640"/>
        <w:jc w:val="both"/>
        <w:outlineLvl w:val="2"/>
      </w:pPr>
      <w:r>
        <w:rPr>
          <w:rFonts w:ascii="黑体" w:hAnsi="黑体" w:eastAsia="黑体"/>
          <w:sz w:val="32"/>
        </w:rPr>
        <w:t>一、主要职能</w:t>
      </w:r>
    </w:p>
    <w:p w14:paraId="7B857059">
      <w:pPr>
        <w:spacing w:line="580" w:lineRule="exact"/>
        <w:ind w:firstLine="640"/>
        <w:jc w:val="both"/>
      </w:pPr>
      <w:r>
        <w:rPr>
          <w:rFonts w:ascii="仿宋_GB2312" w:hAnsi="仿宋_GB2312" w:eastAsia="仿宋_GB2312"/>
          <w:sz w:val="32"/>
        </w:rPr>
        <w:t>宣传展览经济社会发展成就发扬爱国主义教育，文物展览，艺术作品展览组织，教育宣传品展示展览</w:t>
      </w:r>
      <w:r>
        <w:rPr>
          <w:rFonts w:hint="eastAsia" w:ascii="仿宋_GB2312" w:hAnsi="仿宋_GB2312" w:eastAsia="仿宋_GB2312"/>
          <w:sz w:val="32"/>
          <w:lang w:eastAsia="zh-CN"/>
        </w:rPr>
        <w:t>，</w:t>
      </w:r>
      <w:r>
        <w:rPr>
          <w:rFonts w:ascii="仿宋_GB2312" w:hAnsi="仿宋_GB2312" w:eastAsia="仿宋_GB2312"/>
          <w:sz w:val="32"/>
        </w:rPr>
        <w:t>承办各类展览活动。</w:t>
      </w:r>
    </w:p>
    <w:p w14:paraId="30A316ED">
      <w:pPr>
        <w:spacing w:line="640" w:lineRule="exact"/>
        <w:ind w:firstLine="640"/>
        <w:jc w:val="both"/>
        <w:outlineLvl w:val="2"/>
      </w:pPr>
      <w:r>
        <w:rPr>
          <w:rFonts w:ascii="黑体" w:hAnsi="黑体" w:eastAsia="黑体"/>
          <w:sz w:val="32"/>
        </w:rPr>
        <w:t>二、机构设置及人员情况</w:t>
      </w:r>
    </w:p>
    <w:p w14:paraId="2ED1CDA0">
      <w:pPr>
        <w:spacing w:line="580" w:lineRule="exact"/>
        <w:ind w:firstLine="640"/>
        <w:jc w:val="both"/>
      </w:pPr>
      <w:r>
        <w:rPr>
          <w:rFonts w:ascii="仿宋_GB2312" w:hAnsi="仿宋_GB2312" w:eastAsia="仿宋_GB2312"/>
          <w:sz w:val="32"/>
        </w:rPr>
        <w:t>克孜勒苏柯尔克孜自治州美术馆2024年度，实有人数9人，其中：在职人员8人，增加0人；离休人员0人，增加0人；退休人员1人,增加0人。</w:t>
      </w:r>
    </w:p>
    <w:p w14:paraId="6D798A2D">
      <w:pPr>
        <w:spacing w:line="580" w:lineRule="exact"/>
        <w:ind w:firstLine="640"/>
        <w:jc w:val="both"/>
      </w:pPr>
      <w:r>
        <w:rPr>
          <w:rFonts w:ascii="仿宋_GB2312" w:hAnsi="仿宋_GB2312" w:eastAsia="仿宋_GB2312"/>
          <w:sz w:val="32"/>
        </w:rPr>
        <w:t>克孜勒苏柯尔克孜自治州美术馆无下属预算单位，下设1个科室，分别是：办公室。</w:t>
      </w:r>
    </w:p>
    <w:p w14:paraId="2F1C1DE1">
      <w:r>
        <w:br w:type="page"/>
      </w:r>
    </w:p>
    <w:p w14:paraId="71A0CDC1">
      <w:pPr>
        <w:spacing w:line="240" w:lineRule="auto"/>
        <w:jc w:val="center"/>
        <w:outlineLvl w:val="1"/>
      </w:pPr>
      <w:r>
        <w:rPr>
          <w:rFonts w:ascii="黑体" w:hAnsi="黑体" w:eastAsia="黑体"/>
          <w:sz w:val="32"/>
        </w:rPr>
        <w:t>第二部分 部门决算情况说明</w:t>
      </w:r>
    </w:p>
    <w:p w14:paraId="7F7EE516">
      <w:pPr>
        <w:spacing w:line="640" w:lineRule="exact"/>
        <w:ind w:firstLine="640"/>
        <w:jc w:val="both"/>
        <w:outlineLvl w:val="2"/>
      </w:pPr>
      <w:r>
        <w:rPr>
          <w:rFonts w:ascii="黑体" w:hAnsi="黑体" w:eastAsia="黑体"/>
          <w:sz w:val="32"/>
        </w:rPr>
        <w:t>一、收入支出决算总体情况说明</w:t>
      </w:r>
    </w:p>
    <w:p w14:paraId="4EF4C80C">
      <w:pPr>
        <w:spacing w:line="580" w:lineRule="exact"/>
        <w:ind w:firstLine="640"/>
        <w:jc w:val="both"/>
      </w:pPr>
      <w:r>
        <w:rPr>
          <w:rFonts w:ascii="仿宋_GB2312" w:hAnsi="仿宋_GB2312" w:eastAsia="仿宋_GB2312"/>
          <w:b/>
          <w:sz w:val="32"/>
        </w:rPr>
        <w:t>2024年度收入总计196.99万元，</w:t>
      </w:r>
      <w:r>
        <w:rPr>
          <w:rFonts w:ascii="仿宋_GB2312" w:hAnsi="仿宋_GB2312" w:eastAsia="仿宋_GB2312"/>
          <w:b w:val="0"/>
          <w:sz w:val="32"/>
        </w:rPr>
        <w:t>其中：本年收入合计196.69万元，使用非财政拨款结余（含专用结余）0.00万元，年初结转和结余0.30万元。</w:t>
      </w:r>
    </w:p>
    <w:p w14:paraId="4377BEA5">
      <w:pPr>
        <w:spacing w:line="580" w:lineRule="exact"/>
        <w:ind w:firstLine="640"/>
        <w:jc w:val="both"/>
      </w:pPr>
      <w:r>
        <w:rPr>
          <w:rFonts w:ascii="仿宋_GB2312" w:hAnsi="仿宋_GB2312" w:eastAsia="仿宋_GB2312"/>
          <w:b/>
          <w:sz w:val="32"/>
        </w:rPr>
        <w:t>2024年度支出总计196.99万元，</w:t>
      </w:r>
      <w:r>
        <w:rPr>
          <w:rFonts w:ascii="仿宋_GB2312" w:hAnsi="仿宋_GB2312" w:eastAsia="仿宋_GB2312"/>
          <w:b w:val="0"/>
          <w:sz w:val="32"/>
        </w:rPr>
        <w:t>其中：本年支出合计196.69万元，结余分配0.00万元，年末结转和结余0.30万元。</w:t>
      </w:r>
    </w:p>
    <w:p w14:paraId="2C124BCD">
      <w:pPr>
        <w:spacing w:line="580" w:lineRule="exact"/>
        <w:ind w:firstLine="640"/>
        <w:jc w:val="both"/>
      </w:pPr>
      <w:r>
        <w:rPr>
          <w:rFonts w:ascii="仿宋_GB2312" w:hAnsi="仿宋_GB2312" w:eastAsia="仿宋_GB2312"/>
          <w:b w:val="0"/>
          <w:sz w:val="32"/>
        </w:rPr>
        <w:t>收入支出总体与上年相比，减少42.04万元，下降17.59%，主要原因是：本年减少风情园项目资金。</w:t>
      </w:r>
    </w:p>
    <w:p w14:paraId="2EB1B746">
      <w:pPr>
        <w:spacing w:line="640" w:lineRule="exact"/>
        <w:ind w:firstLine="640"/>
        <w:jc w:val="both"/>
        <w:outlineLvl w:val="2"/>
      </w:pPr>
      <w:r>
        <w:rPr>
          <w:rFonts w:ascii="黑体" w:hAnsi="黑体" w:eastAsia="黑体"/>
          <w:sz w:val="32"/>
        </w:rPr>
        <w:t>二、收入决算情况说明</w:t>
      </w:r>
    </w:p>
    <w:p w14:paraId="4920BEF5">
      <w:pPr>
        <w:spacing w:line="580" w:lineRule="exact"/>
        <w:ind w:firstLine="640"/>
        <w:jc w:val="both"/>
      </w:pPr>
      <w:r>
        <w:rPr>
          <w:rFonts w:ascii="仿宋_GB2312" w:hAnsi="仿宋_GB2312" w:eastAsia="仿宋_GB2312"/>
          <w:b/>
          <w:sz w:val="32"/>
        </w:rPr>
        <w:t>本年收入196.69万元，</w:t>
      </w:r>
      <w:r>
        <w:rPr>
          <w:rFonts w:ascii="仿宋_GB2312" w:hAnsi="仿宋_GB2312" w:eastAsia="仿宋_GB2312"/>
          <w:b w:val="0"/>
          <w:sz w:val="32"/>
        </w:rPr>
        <w:t>其中：财政拨款收入196.69万元，占100.00%；上级补助收入0.00万元，占0.00%；事业收入0.00万元，占0.00%；经营收入0.00万元，占0.00%；附属单位上缴收入0.00万元，占0.00%；其他收入0.00万元，占0.00%。</w:t>
      </w:r>
    </w:p>
    <w:p w14:paraId="1B4093DE">
      <w:pPr>
        <w:spacing w:line="640" w:lineRule="exact"/>
        <w:ind w:firstLine="640"/>
        <w:jc w:val="both"/>
        <w:outlineLvl w:val="2"/>
      </w:pPr>
      <w:r>
        <w:rPr>
          <w:rFonts w:ascii="黑体" w:hAnsi="黑体" w:eastAsia="黑体"/>
          <w:sz w:val="32"/>
        </w:rPr>
        <w:t>三、支出决算情况说明</w:t>
      </w:r>
    </w:p>
    <w:p w14:paraId="68C436E2">
      <w:pPr>
        <w:spacing w:line="580" w:lineRule="exact"/>
        <w:ind w:firstLine="640"/>
        <w:jc w:val="both"/>
      </w:pPr>
      <w:r>
        <w:rPr>
          <w:rFonts w:ascii="仿宋_GB2312" w:hAnsi="仿宋_GB2312" w:eastAsia="仿宋_GB2312"/>
          <w:b/>
          <w:sz w:val="32"/>
        </w:rPr>
        <w:t>本年支出196.69万元，</w:t>
      </w:r>
      <w:r>
        <w:rPr>
          <w:rFonts w:ascii="仿宋_GB2312" w:hAnsi="仿宋_GB2312" w:eastAsia="仿宋_GB2312"/>
          <w:b w:val="0"/>
          <w:sz w:val="32"/>
        </w:rPr>
        <w:t>其中：基本支出137.49万元，占69.90%；项目支出59.20万元，占30.10%；上缴上级支出0.00万元，占0.00%；经营支出0.00万元，占0.00%；对附属单位补助支出0.00万元，占0.00%。</w:t>
      </w:r>
    </w:p>
    <w:p w14:paraId="51B1B7EE">
      <w:pPr>
        <w:spacing w:line="640" w:lineRule="exact"/>
        <w:ind w:firstLine="640"/>
        <w:jc w:val="both"/>
        <w:outlineLvl w:val="2"/>
      </w:pPr>
      <w:r>
        <w:rPr>
          <w:rFonts w:ascii="黑体" w:hAnsi="黑体" w:eastAsia="黑体"/>
          <w:sz w:val="32"/>
        </w:rPr>
        <w:t>四、财政拨款收入支出决算总体情况说明</w:t>
      </w:r>
    </w:p>
    <w:p w14:paraId="2174B201">
      <w:pPr>
        <w:spacing w:line="580" w:lineRule="exact"/>
        <w:ind w:firstLine="640"/>
        <w:jc w:val="both"/>
      </w:pPr>
      <w:r>
        <w:rPr>
          <w:rFonts w:ascii="仿宋_GB2312" w:hAnsi="仿宋_GB2312" w:eastAsia="仿宋_GB2312"/>
          <w:b/>
          <w:sz w:val="32"/>
        </w:rPr>
        <w:t>2024年度财政拨款收入总计196.69万元，</w:t>
      </w:r>
      <w:r>
        <w:rPr>
          <w:rFonts w:ascii="仿宋_GB2312" w:hAnsi="仿宋_GB2312" w:eastAsia="仿宋_GB2312"/>
          <w:b w:val="0"/>
          <w:sz w:val="32"/>
        </w:rPr>
        <w:t>其中：年初财政拨款结转和结余0.00万元，本年财政拨款收入196.69万元。</w:t>
      </w:r>
      <w:r>
        <w:rPr>
          <w:rFonts w:ascii="仿宋_GB2312" w:hAnsi="仿宋_GB2312" w:eastAsia="仿宋_GB2312"/>
          <w:b/>
          <w:sz w:val="32"/>
        </w:rPr>
        <w:t>财政拨款支出总计196.69万元，</w:t>
      </w:r>
      <w:r>
        <w:rPr>
          <w:rFonts w:ascii="仿宋_GB2312" w:hAnsi="仿宋_GB2312" w:eastAsia="仿宋_GB2312"/>
          <w:b w:val="0"/>
          <w:sz w:val="32"/>
        </w:rPr>
        <w:t>其中：年末财政拨款结转和结余0.00万元，本年财政拨款支出196.69万元。</w:t>
      </w:r>
    </w:p>
    <w:p w14:paraId="3BF4055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减少36.07万元，下降15.50%，主要原因是：本年减少风情园项目资金。</w:t>
      </w:r>
      <w:r>
        <w:rPr>
          <w:rFonts w:ascii="仿宋_GB2312" w:hAnsi="仿宋_GB2312" w:eastAsia="仿宋_GB2312"/>
          <w:b/>
          <w:sz w:val="32"/>
        </w:rPr>
        <w:t>与年初预算相比，</w:t>
      </w:r>
      <w:r>
        <w:rPr>
          <w:rFonts w:ascii="仿宋_GB2312" w:hAnsi="仿宋_GB2312" w:eastAsia="仿宋_GB2312"/>
          <w:b w:val="0"/>
          <w:sz w:val="32"/>
        </w:rPr>
        <w:t>年初预算数190.89万元，决算数196.69万元，预决算差异率3.04%，主要原因是：年中追加人员工资、社保、公积金基数调增部分资金，导致预决算存在差异。</w:t>
      </w:r>
    </w:p>
    <w:p w14:paraId="42F04AC5">
      <w:pPr>
        <w:spacing w:line="640" w:lineRule="exact"/>
        <w:ind w:firstLine="640"/>
        <w:jc w:val="both"/>
        <w:outlineLvl w:val="2"/>
      </w:pPr>
      <w:r>
        <w:rPr>
          <w:rFonts w:ascii="黑体" w:hAnsi="黑体" w:eastAsia="黑体"/>
          <w:sz w:val="32"/>
        </w:rPr>
        <w:t>五、一般公共预算财政拨款支出决算情况说明</w:t>
      </w:r>
    </w:p>
    <w:p w14:paraId="2C22B089">
      <w:pPr>
        <w:spacing w:line="640" w:lineRule="exact"/>
        <w:ind w:firstLine="640"/>
        <w:jc w:val="both"/>
        <w:outlineLvl w:val="3"/>
      </w:pPr>
      <w:r>
        <w:rPr>
          <w:rFonts w:ascii="楷体_GB2312" w:hAnsi="楷体_GB2312" w:eastAsia="楷体_GB2312"/>
          <w:b/>
          <w:sz w:val="32"/>
        </w:rPr>
        <w:t>（一）一般公共预算财政拨款支出决算总体情况</w:t>
      </w:r>
    </w:p>
    <w:p w14:paraId="3BD91F1E">
      <w:pPr>
        <w:spacing w:line="580" w:lineRule="exact"/>
        <w:ind w:firstLine="640"/>
        <w:jc w:val="both"/>
      </w:pPr>
      <w:r>
        <w:rPr>
          <w:rFonts w:ascii="仿宋_GB2312" w:hAnsi="仿宋_GB2312" w:eastAsia="仿宋_GB2312"/>
          <w:b/>
          <w:sz w:val="32"/>
        </w:rPr>
        <w:t>2024年度一般公共预算财政拨款支出196.25万元，</w:t>
      </w:r>
      <w:r>
        <w:rPr>
          <w:rFonts w:ascii="仿宋_GB2312" w:hAnsi="仿宋_GB2312" w:eastAsia="仿宋_GB2312"/>
          <w:b w:val="0"/>
          <w:sz w:val="32"/>
        </w:rPr>
        <w:t>占本年支出合计的99.78%。</w:t>
      </w:r>
      <w:r>
        <w:rPr>
          <w:rFonts w:ascii="仿宋_GB2312" w:hAnsi="仿宋_GB2312" w:eastAsia="仿宋_GB2312"/>
          <w:b/>
          <w:sz w:val="32"/>
        </w:rPr>
        <w:t>与上年相比，</w:t>
      </w:r>
      <w:r>
        <w:rPr>
          <w:rFonts w:ascii="仿宋_GB2312" w:hAnsi="仿宋_GB2312" w:eastAsia="仿宋_GB2312"/>
          <w:b w:val="0"/>
          <w:sz w:val="32"/>
        </w:rPr>
        <w:t>减少36.51万元，下降15.69%，主要原因是：本年减少风情园项目资金。</w:t>
      </w:r>
      <w:r>
        <w:rPr>
          <w:rFonts w:ascii="仿宋_GB2312" w:hAnsi="仿宋_GB2312" w:eastAsia="仿宋_GB2312"/>
          <w:b/>
          <w:sz w:val="32"/>
        </w:rPr>
        <w:t>与年初预算相比,</w:t>
      </w:r>
      <w:r>
        <w:rPr>
          <w:rFonts w:ascii="仿宋_GB2312" w:hAnsi="仿宋_GB2312" w:eastAsia="仿宋_GB2312"/>
          <w:b w:val="0"/>
          <w:sz w:val="32"/>
        </w:rPr>
        <w:t>年初预算数190.89万元，决算数196.25万元，预决算差异率2.81%，主要原因是：年中追加人员工资、社保、公积金基数调增部分资金，导致预决算存在差异。</w:t>
      </w:r>
    </w:p>
    <w:p w14:paraId="5CA1EC04">
      <w:pPr>
        <w:spacing w:line="640" w:lineRule="exact"/>
        <w:ind w:firstLine="640"/>
        <w:jc w:val="both"/>
        <w:outlineLvl w:val="3"/>
      </w:pPr>
      <w:r>
        <w:rPr>
          <w:rFonts w:ascii="楷体_GB2312" w:hAnsi="楷体_GB2312" w:eastAsia="楷体_GB2312"/>
          <w:b/>
          <w:sz w:val="32"/>
        </w:rPr>
        <w:t>（二）一般公共预算财政拨款支出决算结构情况</w:t>
      </w:r>
    </w:p>
    <w:p w14:paraId="5688D95C">
      <w:pPr>
        <w:spacing w:line="580" w:lineRule="exact"/>
        <w:ind w:firstLine="640"/>
        <w:jc w:val="both"/>
      </w:pPr>
      <w:r>
        <w:rPr>
          <w:rFonts w:ascii="仿宋_GB2312" w:hAnsi="仿宋_GB2312" w:eastAsia="仿宋_GB2312"/>
          <w:b w:val="0"/>
          <w:sz w:val="32"/>
        </w:rPr>
        <w:t>1.文化旅游体育与传媒支出(类)181.73万元,占92.60%。</w:t>
      </w:r>
    </w:p>
    <w:p w14:paraId="069BC432">
      <w:pPr>
        <w:spacing w:line="580" w:lineRule="exact"/>
        <w:ind w:firstLine="640"/>
        <w:jc w:val="both"/>
      </w:pPr>
      <w:r>
        <w:rPr>
          <w:rFonts w:ascii="仿宋_GB2312" w:hAnsi="仿宋_GB2312" w:eastAsia="仿宋_GB2312"/>
          <w:b w:val="0"/>
          <w:sz w:val="32"/>
        </w:rPr>
        <w:t>2.社会保障和就业支出(类)14.52万元,占7.40%。</w:t>
      </w:r>
    </w:p>
    <w:p w14:paraId="0D05E584">
      <w:pPr>
        <w:spacing w:line="640" w:lineRule="exact"/>
        <w:ind w:firstLine="640"/>
        <w:jc w:val="both"/>
        <w:outlineLvl w:val="3"/>
      </w:pPr>
      <w:r>
        <w:rPr>
          <w:rFonts w:ascii="楷体_GB2312" w:hAnsi="楷体_GB2312" w:eastAsia="楷体_GB2312"/>
          <w:b/>
          <w:sz w:val="32"/>
        </w:rPr>
        <w:t>（三）一般公共预算财政拨款支出决算具体情况</w:t>
      </w:r>
    </w:p>
    <w:p w14:paraId="39B985C0">
      <w:pPr>
        <w:spacing w:line="580" w:lineRule="exact"/>
        <w:ind w:firstLine="640"/>
        <w:jc w:val="both"/>
      </w:pPr>
      <w:r>
        <w:rPr>
          <w:rFonts w:ascii="仿宋_GB2312" w:hAnsi="仿宋_GB2312" w:eastAsia="仿宋_GB2312"/>
          <w:b w:val="0"/>
          <w:sz w:val="32"/>
        </w:rPr>
        <w:t>1.文化旅游体育与传媒支出(类)文化和旅游(款)文化展示及纪念机构(项):支出决算数为127.28万元，比上年决算减少54.60万元，下降30.02%,主要原因是：本年减少风情园项目资金，相关支出减少。</w:t>
      </w:r>
    </w:p>
    <w:p w14:paraId="6333FB4D">
      <w:pPr>
        <w:spacing w:line="580" w:lineRule="exact"/>
        <w:ind w:firstLine="640"/>
        <w:jc w:val="both"/>
      </w:pPr>
      <w:r>
        <w:rPr>
          <w:rFonts w:ascii="仿宋_GB2312" w:hAnsi="仿宋_GB2312" w:eastAsia="仿宋_GB2312"/>
          <w:b w:val="0"/>
          <w:sz w:val="32"/>
        </w:rPr>
        <w:t>2.文化旅游体育与传媒支出(类)文化和旅游(款)其他文化和旅游支出(项):支出决算数为54.45万元，比上年决算增加15.99万元，增长41.58%,主要原因是：本年增加2024年中央免费开放项目资金。</w:t>
      </w:r>
    </w:p>
    <w:p w14:paraId="5A568543">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13.38万元，比上年决算增加1.28万元，增长10.58%,主要原因是：本年在职人员工资基数调增，养老缴费基数上涨，相应支出增加。</w:t>
      </w:r>
    </w:p>
    <w:p w14:paraId="3E4DB52D">
      <w:pPr>
        <w:spacing w:line="580" w:lineRule="exact"/>
        <w:ind w:firstLine="640"/>
        <w:jc w:val="both"/>
      </w:pPr>
      <w:r>
        <w:rPr>
          <w:rFonts w:ascii="仿宋_GB2312" w:hAnsi="仿宋_GB2312" w:eastAsia="仿宋_GB2312"/>
          <w:b w:val="0"/>
          <w:sz w:val="32"/>
        </w:rPr>
        <w:t>4.社会保障和就业支出(类)就业补助(款)就业见习补贴(项):支出决算数为1.14万元，比上年决算增加0.81万元，增长245.45%,主要原因是：本年见习生人数增加，导致见习生补助经费相应增加。</w:t>
      </w:r>
    </w:p>
    <w:p w14:paraId="79F11010">
      <w:pPr>
        <w:spacing w:line="640" w:lineRule="exact"/>
        <w:ind w:firstLine="640"/>
        <w:jc w:val="both"/>
        <w:outlineLvl w:val="2"/>
      </w:pPr>
      <w:r>
        <w:rPr>
          <w:rFonts w:ascii="黑体" w:hAnsi="黑体" w:eastAsia="黑体"/>
          <w:sz w:val="32"/>
        </w:rPr>
        <w:t>六、一般公共预算财政拨款基本支出决算情况说明</w:t>
      </w:r>
    </w:p>
    <w:p w14:paraId="01228790">
      <w:pPr>
        <w:spacing w:line="580" w:lineRule="exact"/>
        <w:ind w:firstLine="640"/>
        <w:jc w:val="both"/>
      </w:pPr>
      <w:r>
        <w:rPr>
          <w:rFonts w:ascii="仿宋_GB2312" w:hAnsi="仿宋_GB2312" w:eastAsia="仿宋_GB2312"/>
          <w:b w:val="0"/>
          <w:sz w:val="32"/>
        </w:rPr>
        <w:t>2024年度一般公共预算财政拨款基本支出137.49万元，其中：</w:t>
      </w:r>
      <w:r>
        <w:rPr>
          <w:rFonts w:ascii="仿宋_GB2312" w:hAnsi="仿宋_GB2312" w:eastAsia="仿宋_GB2312"/>
          <w:b/>
          <w:sz w:val="32"/>
        </w:rPr>
        <w:t>人员经费135.36万元，</w:t>
      </w:r>
      <w:r>
        <w:rPr>
          <w:rFonts w:ascii="仿宋_GB2312" w:hAnsi="仿宋_GB2312" w:eastAsia="仿宋_GB2312"/>
          <w:b w:val="0"/>
          <w:sz w:val="32"/>
        </w:rPr>
        <w:t>包括：基本工资、津贴补贴、奖金、机关事业单位基本养老保险缴费、职工基本医疗保险缴费、其他社会保障缴费、住房公积金、退休费、奖励金。</w:t>
      </w:r>
    </w:p>
    <w:p w14:paraId="731F7919">
      <w:pPr>
        <w:spacing w:line="580" w:lineRule="exact"/>
        <w:ind w:firstLine="640"/>
        <w:jc w:val="both"/>
      </w:pPr>
      <w:r>
        <w:rPr>
          <w:rFonts w:ascii="仿宋_GB2312" w:hAnsi="仿宋_GB2312" w:eastAsia="仿宋_GB2312"/>
          <w:b/>
          <w:sz w:val="32"/>
        </w:rPr>
        <w:t>公用经费2.13万元，</w:t>
      </w:r>
      <w:r>
        <w:rPr>
          <w:rFonts w:ascii="仿宋_GB2312" w:hAnsi="仿宋_GB2312" w:eastAsia="仿宋_GB2312"/>
          <w:b w:val="0"/>
          <w:sz w:val="32"/>
        </w:rPr>
        <w:t>包括：办公费、工会经费、福利费、其他商品和服务支出。</w:t>
      </w:r>
    </w:p>
    <w:p w14:paraId="16F33595">
      <w:pPr>
        <w:spacing w:line="640" w:lineRule="exact"/>
        <w:ind w:firstLine="640"/>
        <w:jc w:val="both"/>
        <w:outlineLvl w:val="2"/>
      </w:pPr>
      <w:r>
        <w:rPr>
          <w:rFonts w:ascii="黑体" w:hAnsi="黑体" w:eastAsia="黑体"/>
          <w:sz w:val="32"/>
        </w:rPr>
        <w:t>七、政府性基金预算财政拨款收入支出决算情况说明</w:t>
      </w:r>
    </w:p>
    <w:p w14:paraId="5A9A032F">
      <w:pPr>
        <w:spacing w:line="580" w:lineRule="exact"/>
        <w:ind w:firstLine="640"/>
        <w:jc w:val="both"/>
      </w:pPr>
      <w:r>
        <w:rPr>
          <w:rFonts w:ascii="仿宋_GB2312" w:hAnsi="仿宋_GB2312" w:eastAsia="仿宋_GB2312"/>
          <w:b/>
          <w:sz w:val="32"/>
        </w:rPr>
        <w:t>2024年度政府性基金预算财政拨款收入总计0.44万元，</w:t>
      </w:r>
      <w:r>
        <w:rPr>
          <w:rFonts w:ascii="仿宋_GB2312" w:hAnsi="仿宋_GB2312" w:eastAsia="仿宋_GB2312"/>
          <w:b w:val="0"/>
          <w:sz w:val="32"/>
        </w:rPr>
        <w:t>其中：年初结转和结余0.00万元，本年收入0.44万元。</w:t>
      </w:r>
      <w:r>
        <w:rPr>
          <w:rFonts w:ascii="仿宋_GB2312" w:hAnsi="仿宋_GB2312" w:eastAsia="仿宋_GB2312"/>
          <w:b/>
          <w:sz w:val="32"/>
        </w:rPr>
        <w:t>政府性基金预算财政拨款支出总计0.44万元，</w:t>
      </w:r>
      <w:r>
        <w:rPr>
          <w:rFonts w:ascii="仿宋_GB2312" w:hAnsi="仿宋_GB2312" w:eastAsia="仿宋_GB2312"/>
          <w:b w:val="0"/>
          <w:sz w:val="32"/>
        </w:rPr>
        <w:t>其中：年末结转和结余0.00万元，本年支出0.44万元。</w:t>
      </w:r>
    </w:p>
    <w:p w14:paraId="36B425C4">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增加0.44万元，增长100.00%，主要原因是：本年增加2024年文化和旅游志愿者服务项目。</w:t>
      </w:r>
      <w:r>
        <w:rPr>
          <w:rFonts w:ascii="仿宋_GB2312" w:hAnsi="仿宋_GB2312" w:eastAsia="仿宋_GB2312"/>
          <w:b/>
          <w:sz w:val="32"/>
        </w:rPr>
        <w:t>与年初预算相比，</w:t>
      </w:r>
      <w:r>
        <w:rPr>
          <w:rFonts w:ascii="仿宋_GB2312" w:hAnsi="仿宋_GB2312" w:eastAsia="仿宋_GB2312"/>
          <w:b w:val="0"/>
          <w:sz w:val="32"/>
        </w:rPr>
        <w:t>年初预算数0.00万元，决算数0.44万元，预决算差异率100.00%，主要原因是：年中追加2024年文化和旅游志愿者服务项目，导致预决算存在差异。</w:t>
      </w:r>
    </w:p>
    <w:p w14:paraId="2060B572">
      <w:pPr>
        <w:spacing w:line="580" w:lineRule="exact"/>
        <w:ind w:firstLine="640"/>
        <w:jc w:val="both"/>
      </w:pPr>
      <w:r>
        <w:rPr>
          <w:rFonts w:ascii="仿宋_GB2312" w:hAnsi="仿宋_GB2312" w:eastAsia="仿宋_GB2312"/>
          <w:b w:val="0"/>
          <w:sz w:val="32"/>
        </w:rPr>
        <w:t>政府性基金预算财政拨款支出0.44万元。</w:t>
      </w:r>
    </w:p>
    <w:p w14:paraId="7088ACEA">
      <w:pPr>
        <w:spacing w:line="580" w:lineRule="exact"/>
        <w:ind w:firstLine="640"/>
        <w:jc w:val="both"/>
      </w:pPr>
      <w:r>
        <w:rPr>
          <w:rFonts w:ascii="仿宋_GB2312" w:hAnsi="仿宋_GB2312" w:eastAsia="仿宋_GB2312"/>
          <w:b w:val="0"/>
          <w:sz w:val="32"/>
        </w:rPr>
        <w:t>1.其他支出(类)彩票公益金安排的支出(款)用于文化事业的彩票公益金支出(项):支出决算数为0.44万元，比上年决算增加0.44万元，增长100.00%,主要原因是：本年增加2024年文化和旅游志愿者服务项目。</w:t>
      </w:r>
    </w:p>
    <w:p w14:paraId="39F80378">
      <w:pPr>
        <w:spacing w:line="640" w:lineRule="exact"/>
        <w:ind w:firstLine="640"/>
        <w:jc w:val="both"/>
        <w:outlineLvl w:val="2"/>
      </w:pPr>
      <w:r>
        <w:rPr>
          <w:rFonts w:ascii="黑体" w:hAnsi="黑体" w:eastAsia="黑体"/>
          <w:sz w:val="32"/>
        </w:rPr>
        <w:t>八、国有资本经营预算财政拨款收入支出决算情况说明</w:t>
      </w:r>
    </w:p>
    <w:p w14:paraId="68CCF11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91B7E00">
      <w:pPr>
        <w:spacing w:line="640" w:lineRule="exact"/>
        <w:ind w:firstLine="640"/>
        <w:jc w:val="both"/>
        <w:outlineLvl w:val="2"/>
      </w:pPr>
      <w:r>
        <w:rPr>
          <w:rFonts w:ascii="黑体" w:hAnsi="黑体" w:eastAsia="黑体"/>
          <w:sz w:val="32"/>
        </w:rPr>
        <w:t>九、财政拨款“三公”经费支出决算情况说明</w:t>
      </w:r>
    </w:p>
    <w:p w14:paraId="1085F0B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0626593">
      <w:pPr>
        <w:spacing w:line="580" w:lineRule="exact"/>
        <w:ind w:firstLine="640"/>
        <w:jc w:val="both"/>
      </w:pPr>
      <w:r>
        <w:rPr>
          <w:rFonts w:ascii="仿宋_GB2312" w:hAnsi="仿宋_GB2312" w:eastAsia="仿宋_GB2312"/>
          <w:b/>
          <w:sz w:val="32"/>
        </w:rPr>
        <w:t>具体情况如下：</w:t>
      </w:r>
    </w:p>
    <w:p w14:paraId="70B2879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847CF0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CFAD63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B11E0F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2553425">
      <w:pPr>
        <w:spacing w:line="640" w:lineRule="exact"/>
        <w:ind w:firstLine="640"/>
        <w:jc w:val="both"/>
        <w:outlineLvl w:val="2"/>
      </w:pPr>
      <w:r>
        <w:rPr>
          <w:rFonts w:ascii="黑体" w:hAnsi="黑体" w:eastAsia="黑体"/>
          <w:sz w:val="32"/>
        </w:rPr>
        <w:t>十、其他重要事项的情况说明</w:t>
      </w:r>
    </w:p>
    <w:p w14:paraId="583BA65C">
      <w:pPr>
        <w:spacing w:line="640" w:lineRule="exact"/>
        <w:ind w:firstLine="640"/>
        <w:jc w:val="both"/>
        <w:outlineLvl w:val="3"/>
      </w:pPr>
      <w:r>
        <w:rPr>
          <w:rFonts w:ascii="楷体_GB2312" w:hAnsi="楷体_GB2312" w:eastAsia="楷体_GB2312"/>
          <w:b/>
          <w:sz w:val="32"/>
        </w:rPr>
        <w:t>（一）机关运行经费及公用经费支出情况</w:t>
      </w:r>
    </w:p>
    <w:p w14:paraId="35119851">
      <w:pPr>
        <w:spacing w:line="580" w:lineRule="exact"/>
        <w:ind w:firstLine="640"/>
        <w:jc w:val="both"/>
      </w:pPr>
      <w:r>
        <w:rPr>
          <w:rFonts w:ascii="仿宋_GB2312" w:hAnsi="仿宋_GB2312" w:eastAsia="仿宋_GB2312"/>
          <w:b w:val="0"/>
          <w:sz w:val="32"/>
        </w:rPr>
        <w:t>2024年度克孜勒苏柯尔克孜自治州美术馆（事业单位）公用经费支出2.13万元，比上年增加0.67万元，增长45.89%，主要原因是：本年更新、维护补充办公用品，导致公用经费较上年增加。</w:t>
      </w:r>
    </w:p>
    <w:p w14:paraId="42352DEE">
      <w:pPr>
        <w:spacing w:line="640" w:lineRule="exact"/>
        <w:ind w:firstLine="640"/>
        <w:jc w:val="both"/>
        <w:outlineLvl w:val="3"/>
      </w:pPr>
      <w:r>
        <w:rPr>
          <w:rFonts w:ascii="楷体_GB2312" w:hAnsi="楷体_GB2312" w:eastAsia="楷体_GB2312"/>
          <w:b/>
          <w:sz w:val="32"/>
        </w:rPr>
        <w:t>（二）政府采购情况</w:t>
      </w:r>
    </w:p>
    <w:p w14:paraId="71FC79D8">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2749EC82">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50723C8B">
      <w:pPr>
        <w:spacing w:line="640" w:lineRule="exact"/>
        <w:ind w:firstLine="640"/>
        <w:jc w:val="both"/>
        <w:outlineLvl w:val="3"/>
      </w:pPr>
      <w:r>
        <w:rPr>
          <w:rFonts w:ascii="楷体_GB2312" w:hAnsi="楷体_GB2312" w:eastAsia="楷体_GB2312"/>
          <w:b/>
          <w:sz w:val="32"/>
        </w:rPr>
        <w:t>（三）国有资产占用情况说明</w:t>
      </w:r>
    </w:p>
    <w:p w14:paraId="6B8E0074">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6CDAD9D">
      <w:pPr>
        <w:spacing w:line="640" w:lineRule="exact"/>
        <w:ind w:firstLine="640"/>
        <w:jc w:val="both"/>
        <w:outlineLvl w:val="2"/>
      </w:pPr>
      <w:r>
        <w:rPr>
          <w:rFonts w:ascii="黑体" w:hAnsi="黑体" w:eastAsia="黑体"/>
          <w:sz w:val="32"/>
        </w:rPr>
        <w:t>十一、预算绩效的情况说明</w:t>
      </w:r>
    </w:p>
    <w:p w14:paraId="6BA1A98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197.00万元，实际执行总额196.69万元；预算绩效评价项目3个，全年预算数61.35万元，全年执行数58.06万元。预算绩效管理取得的成效：一是本项目能够严格按照《项目实施方案》执行，项目执行情况较好。二是加强组织领导，本项目绩效评价工作，</w:t>
      </w:r>
      <w:r>
        <w:rPr>
          <w:rFonts w:hint="eastAsia" w:ascii="仿宋_GB2312" w:hAnsi="仿宋_GB2312" w:eastAsia="仿宋_GB2312"/>
          <w:b w:val="0"/>
          <w:sz w:val="32"/>
          <w:lang w:eastAsia="zh-CN"/>
        </w:rPr>
        <w:t>由</w:t>
      </w:r>
      <w:r>
        <w:rPr>
          <w:rFonts w:ascii="仿宋_GB2312" w:hAnsi="仿宋_GB2312" w:eastAsia="仿宋_GB2312"/>
          <w:b w:val="0"/>
          <w:sz w:val="32"/>
        </w:rPr>
        <w:t>县政府主要领导亲自挂帅，分管县领导具体负责，从项目到资金，均</w:t>
      </w:r>
      <w:r>
        <w:rPr>
          <w:rFonts w:hint="eastAsia" w:ascii="仿宋_GB2312" w:hAnsi="仿宋_GB2312" w:eastAsia="仿宋_GB2312"/>
          <w:b w:val="0"/>
          <w:sz w:val="32"/>
          <w:lang w:eastAsia="zh-CN"/>
        </w:rPr>
        <w:t>能够</w:t>
      </w:r>
      <w:r>
        <w:rPr>
          <w:rFonts w:ascii="仿宋_GB2312" w:hAnsi="仿宋_GB2312" w:eastAsia="仿宋_GB2312"/>
          <w:b w:val="0"/>
          <w:sz w:val="32"/>
        </w:rPr>
        <w:t>很好</w:t>
      </w:r>
      <w:r>
        <w:rPr>
          <w:rFonts w:hint="eastAsia" w:ascii="仿宋_GB2312" w:hAnsi="仿宋_GB2312" w:eastAsia="仿宋_GB2312"/>
          <w:b w:val="0"/>
          <w:sz w:val="32"/>
          <w:lang w:eastAsia="zh-CN"/>
        </w:rPr>
        <w:t>地</w:t>
      </w:r>
      <w:r>
        <w:rPr>
          <w:rFonts w:ascii="仿宋_GB2312" w:hAnsi="仿宋_GB2312" w:eastAsia="仿宋_GB2312"/>
          <w:b w:val="0"/>
          <w:sz w:val="32"/>
        </w:rPr>
        <w:t>执行。三是加强沟通协调，</w:t>
      </w:r>
      <w:r>
        <w:rPr>
          <w:rFonts w:hint="eastAsia" w:ascii="仿宋_GB2312" w:hAnsi="仿宋_GB2312" w:eastAsia="仿宋_GB2312"/>
          <w:b w:val="0"/>
          <w:sz w:val="32"/>
          <w:lang w:eastAsia="zh-CN"/>
        </w:rPr>
        <w:t>本单位</w:t>
      </w:r>
      <w:r>
        <w:rPr>
          <w:rFonts w:ascii="仿宋_GB2312" w:hAnsi="仿宋_GB2312" w:eastAsia="仿宋_GB2312"/>
          <w:b w:val="0"/>
          <w:sz w:val="32"/>
        </w:rPr>
        <w:t>及时向县领导汇报项目建设进度，加强与实施单位的沟通，确保项目按期完工。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具体附整体支出绩效自评表，项目支出绩效自评表和评价报告。</w:t>
      </w:r>
    </w:p>
    <w:p w14:paraId="28C14D6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70E95E4">
        <w:tblPrEx>
          <w:tblCellMar>
            <w:top w:w="0" w:type="dxa"/>
            <w:left w:w="108" w:type="dxa"/>
            <w:bottom w:w="0" w:type="dxa"/>
            <w:right w:w="108" w:type="dxa"/>
          </w:tblCellMar>
        </w:tblPrEx>
        <w:tc>
          <w:tcPr>
            <w:tcW w:w="8840" w:type="dxa"/>
            <w:gridSpan w:val="8"/>
            <w:vAlign w:val="center"/>
          </w:tcPr>
          <w:p w14:paraId="7DEB96B9">
            <w:pPr>
              <w:jc w:val="center"/>
            </w:pPr>
            <w:r>
              <w:rPr>
                <w:rFonts w:ascii="宋体" w:hAnsi="宋体" w:eastAsia="宋体"/>
                <w:sz w:val="24"/>
              </w:rPr>
              <w:t>单位整体支出绩效自评表</w:t>
            </w:r>
          </w:p>
        </w:tc>
      </w:tr>
      <w:tr w14:paraId="5949AC87">
        <w:tblPrEx>
          <w:tblCellMar>
            <w:top w:w="0" w:type="dxa"/>
            <w:left w:w="108" w:type="dxa"/>
            <w:bottom w:w="0" w:type="dxa"/>
            <w:right w:w="108" w:type="dxa"/>
          </w:tblCellMar>
        </w:tblPrEx>
        <w:tc>
          <w:tcPr>
            <w:tcW w:w="8840" w:type="dxa"/>
            <w:gridSpan w:val="8"/>
            <w:vAlign w:val="center"/>
          </w:tcPr>
          <w:p w14:paraId="5ED80670">
            <w:pPr>
              <w:jc w:val="center"/>
            </w:pPr>
            <w:r>
              <w:rPr>
                <w:rFonts w:ascii="宋体" w:hAnsi="宋体" w:eastAsia="宋体"/>
                <w:sz w:val="24"/>
              </w:rPr>
              <w:t>（2024年度）</w:t>
            </w:r>
          </w:p>
        </w:tc>
      </w:tr>
      <w:tr w14:paraId="02DF841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7D8929">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390935">
            <w:pPr>
              <w:jc w:val="center"/>
            </w:pPr>
            <w:r>
              <w:rPr>
                <w:rFonts w:ascii="宋体" w:hAnsi="宋体" w:eastAsia="宋体"/>
                <w:sz w:val="16"/>
              </w:rPr>
              <w:t>克孜勒苏柯尔克孜自治州美术馆</w:t>
            </w:r>
          </w:p>
        </w:tc>
      </w:tr>
      <w:tr w14:paraId="697F5C8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2C571">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E9BB52">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4BB80D">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62CE4E">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C37788">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44A91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D066E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7100E5">
            <w:pPr>
              <w:jc w:val="center"/>
            </w:pPr>
            <w:r>
              <w:rPr>
                <w:rFonts w:ascii="宋体" w:hAnsi="宋体" w:eastAsia="宋体"/>
                <w:sz w:val="16"/>
              </w:rPr>
              <w:t>得分</w:t>
            </w:r>
          </w:p>
        </w:tc>
      </w:tr>
      <w:tr w14:paraId="088831B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694E4A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69BF01">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6FFCFF">
            <w:pPr>
              <w:jc w:val="center"/>
            </w:pPr>
            <w:r>
              <w:rPr>
                <w:rFonts w:ascii="宋体" w:hAnsi="宋体" w:eastAsia="宋体"/>
                <w:sz w:val="16"/>
              </w:rPr>
              <w:t>190.89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6F7967">
            <w:pPr>
              <w:jc w:val="center"/>
            </w:pPr>
            <w:r>
              <w:rPr>
                <w:rFonts w:ascii="宋体" w:hAnsi="宋体" w:eastAsia="宋体"/>
                <w:sz w:val="16"/>
              </w:rPr>
              <w:t>197.00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6CD1A8">
            <w:pPr>
              <w:jc w:val="center"/>
            </w:pPr>
            <w:r>
              <w:rPr>
                <w:rFonts w:ascii="宋体" w:hAnsi="宋体" w:eastAsia="宋体"/>
                <w:sz w:val="16"/>
              </w:rPr>
              <w:t>196.69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1CE77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50383D">
            <w:pPr>
              <w:jc w:val="center"/>
            </w:pPr>
            <w:r>
              <w:rPr>
                <w:rFonts w:ascii="宋体" w:hAnsi="宋体" w:eastAsia="宋体"/>
                <w:sz w:val="16"/>
              </w:rPr>
              <w:t>99.84%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ABC676">
            <w:pPr>
              <w:jc w:val="center"/>
              <w:rPr>
                <w:rFonts w:hint="eastAsia" w:eastAsia="宋体"/>
                <w:lang w:val="en-US" w:eastAsia="zh-CN"/>
              </w:rPr>
            </w:pPr>
            <w:r>
              <w:rPr>
                <w:rFonts w:ascii="宋体" w:hAnsi="宋体" w:eastAsia="宋体"/>
                <w:sz w:val="16"/>
              </w:rPr>
              <w:t>9</w:t>
            </w:r>
            <w:r>
              <w:rPr>
                <w:rFonts w:hint="eastAsia" w:ascii="宋体" w:hAnsi="宋体"/>
                <w:sz w:val="16"/>
                <w:lang w:eastAsia="zh-CN"/>
              </w:rPr>
              <w:t>.</w:t>
            </w:r>
            <w:bookmarkStart w:id="0" w:name="_GoBack"/>
            <w:bookmarkEnd w:id="0"/>
            <w:r>
              <w:rPr>
                <w:rFonts w:ascii="宋体" w:hAnsi="宋体" w:eastAsia="宋体"/>
                <w:sz w:val="16"/>
              </w:rPr>
              <w:t>98</w:t>
            </w:r>
            <w:r>
              <w:rPr>
                <w:rFonts w:hint="eastAsia" w:ascii="宋体" w:hAnsi="宋体"/>
                <w:sz w:val="16"/>
                <w:lang w:val="en-US" w:eastAsia="zh-CN"/>
              </w:rPr>
              <w:t>分</w:t>
            </w:r>
          </w:p>
        </w:tc>
      </w:tr>
      <w:tr w14:paraId="48573BF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18504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9E46C0">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F2AC7D">
            <w:pPr>
              <w:jc w:val="center"/>
            </w:pPr>
            <w:r>
              <w:rPr>
                <w:rFonts w:ascii="宋体" w:hAnsi="宋体" w:eastAsia="宋体"/>
                <w:sz w:val="16"/>
              </w:rPr>
              <w:t>60.85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1B4448">
            <w:pPr>
              <w:jc w:val="center"/>
            </w:pPr>
            <w:r>
              <w:rPr>
                <w:rFonts w:ascii="宋体" w:hAnsi="宋体" w:eastAsia="宋体"/>
                <w:sz w:val="16"/>
              </w:rPr>
              <w:t>58.37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07CA17">
            <w:pPr>
              <w:jc w:val="center"/>
            </w:pPr>
            <w:r>
              <w:rPr>
                <w:rFonts w:ascii="宋体" w:hAnsi="宋体" w:eastAsia="宋体"/>
                <w:sz w:val="16"/>
              </w:rPr>
              <w:t>58.06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C59FF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E8A27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7B49DD">
            <w:pPr>
              <w:jc w:val="center"/>
            </w:pPr>
            <w:r>
              <w:rPr>
                <w:rFonts w:ascii="宋体" w:hAnsi="宋体" w:eastAsia="宋体"/>
                <w:sz w:val="16"/>
              </w:rPr>
              <w:t>—</w:t>
            </w:r>
          </w:p>
        </w:tc>
      </w:tr>
      <w:tr w14:paraId="6ECBBB5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F283C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A60FF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11A626">
            <w:pPr>
              <w:jc w:val="center"/>
            </w:pPr>
            <w:r>
              <w:rPr>
                <w:rFonts w:ascii="宋体" w:hAnsi="宋体" w:eastAsia="宋体"/>
                <w:sz w:val="16"/>
              </w:rPr>
              <w:t>130.04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EE8839">
            <w:pPr>
              <w:jc w:val="center"/>
            </w:pPr>
            <w:r>
              <w:rPr>
                <w:rFonts w:ascii="宋体" w:hAnsi="宋体" w:eastAsia="宋体"/>
                <w:sz w:val="16"/>
              </w:rPr>
              <w:t>138.63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E6DC77">
            <w:pPr>
              <w:jc w:val="center"/>
            </w:pPr>
            <w:r>
              <w:rPr>
                <w:rFonts w:ascii="宋体" w:hAnsi="宋体" w:eastAsia="宋体"/>
                <w:sz w:val="16"/>
              </w:rPr>
              <w:t>138.63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B9BFB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E8BC3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2202C6">
            <w:pPr>
              <w:jc w:val="center"/>
            </w:pPr>
            <w:r>
              <w:rPr>
                <w:rFonts w:ascii="宋体" w:hAnsi="宋体" w:eastAsia="宋体"/>
                <w:sz w:val="16"/>
              </w:rPr>
              <w:t>—</w:t>
            </w:r>
          </w:p>
        </w:tc>
      </w:tr>
      <w:tr w14:paraId="0CB208D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71CAFC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6CC40D">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F6A79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3A12F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1077E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81670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C7EE5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9EDC7D">
            <w:pPr>
              <w:jc w:val="center"/>
            </w:pPr>
            <w:r>
              <w:rPr>
                <w:rFonts w:ascii="宋体" w:hAnsi="宋体" w:eastAsia="宋体"/>
                <w:sz w:val="16"/>
              </w:rPr>
              <w:t>—</w:t>
            </w:r>
          </w:p>
        </w:tc>
      </w:tr>
      <w:tr w14:paraId="40E8F91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D5C33">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421A5E">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9392A5">
            <w:pPr>
              <w:jc w:val="center"/>
            </w:pPr>
            <w:r>
              <w:rPr>
                <w:rFonts w:ascii="宋体" w:hAnsi="宋体" w:eastAsia="宋体"/>
                <w:sz w:val="16"/>
              </w:rPr>
              <w:t>实际完成情况</w:t>
            </w:r>
          </w:p>
        </w:tc>
      </w:tr>
      <w:tr w14:paraId="463C0D6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E0AB6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22A9EE">
            <w:pPr>
              <w:jc w:val="both"/>
            </w:pPr>
            <w:r>
              <w:rPr>
                <w:rFonts w:ascii="宋体" w:hAnsi="宋体" w:eastAsia="宋体"/>
                <w:sz w:val="16"/>
              </w:rPr>
              <w:t>在克州宣传部、克州文旅局的正确引导下，深入贯彻落实文化工作，</w:t>
            </w:r>
            <w:r>
              <w:rPr>
                <w:rFonts w:hint="eastAsia" w:ascii="宋体" w:hAnsi="宋体"/>
                <w:sz w:val="16"/>
                <w:lang w:eastAsia="zh-CN"/>
              </w:rPr>
              <w:t>紧围绕</w:t>
            </w:r>
            <w:r>
              <w:rPr>
                <w:rFonts w:ascii="宋体" w:hAnsi="宋体" w:eastAsia="宋体"/>
                <w:sz w:val="16"/>
              </w:rPr>
              <w:t>自治区、州政府提出的工作思路和年初制定的各项工作目标，全力抓好各项工作，以夯实综合美术馆服务基层的各项能力、丰富广大人民群众的业余文化生活为目标，扎实求进，大力开展全民艺术普及培训，保障公民基本文化权益，满足群众文化需求，进一步完善县乡村公共文化服务体系。</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8746B5">
            <w:pPr>
              <w:jc w:val="both"/>
            </w:pPr>
            <w:r>
              <w:rPr>
                <w:rFonts w:ascii="宋体" w:hAnsi="宋体" w:eastAsia="宋体"/>
                <w:sz w:val="16"/>
              </w:rPr>
              <w:t>组织“金龙瑞气迎新春 翰墨联心颂党恩”—克州首届楹联展1次;为克孜勒苏柯尔克孜自治州成立70周年营造氛围，组织雕塑展1次；做好公益培训班3次;做好“第三届雏鹰新啼”学生作品征集评选活动1次；结合“春节”、“三·八”妇女节、“六·一”儿童节、端午节、国庆节等重要节庆组织免费开放活动10次。</w:t>
            </w:r>
          </w:p>
        </w:tc>
      </w:tr>
      <w:tr w14:paraId="3470DFA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01BD26">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DBB5C5">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5A95B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D46AD8">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C344A0">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4A1CF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28FEAB">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903506">
            <w:pPr>
              <w:jc w:val="center"/>
            </w:pPr>
            <w:r>
              <w:rPr>
                <w:rFonts w:ascii="宋体" w:hAnsi="宋体" w:eastAsia="宋体"/>
                <w:sz w:val="16"/>
              </w:rPr>
              <w:t>得分</w:t>
            </w:r>
          </w:p>
        </w:tc>
      </w:tr>
      <w:tr w14:paraId="0B1A65E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E19DC">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189D9">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D47C00">
            <w:pPr>
              <w:jc w:val="center"/>
            </w:pPr>
            <w:r>
              <w:rPr>
                <w:rFonts w:ascii="宋体" w:hAnsi="宋体" w:eastAsia="宋体"/>
                <w:sz w:val="16"/>
              </w:rPr>
              <w:t>组织“金龙瑞气迎新春翰墨联心颂党恩”—克州首届楹联展（次））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A2CD16">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12F303">
            <w:pPr>
              <w:jc w:val="center"/>
            </w:pPr>
            <w:r>
              <w:rPr>
                <w:rFonts w:ascii="宋体" w:hAnsi="宋体" w:eastAsia="宋体"/>
                <w:sz w:val="16"/>
              </w:rPr>
              <w:t>2024年工作计划安排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7210CD">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69B83A">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C3BB1A">
            <w:pPr>
              <w:jc w:val="center"/>
            </w:pPr>
            <w:r>
              <w:rPr>
                <w:rFonts w:ascii="宋体" w:hAnsi="宋体" w:eastAsia="宋体"/>
                <w:sz w:val="16"/>
              </w:rPr>
              <w:t>18</w:t>
            </w:r>
          </w:p>
        </w:tc>
      </w:tr>
      <w:tr w14:paraId="124181D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9AC34A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075CE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2FE335">
            <w:pPr>
              <w:jc w:val="center"/>
            </w:pPr>
            <w:r>
              <w:rPr>
                <w:rFonts w:ascii="宋体" w:hAnsi="宋体" w:eastAsia="宋体"/>
                <w:sz w:val="16"/>
              </w:rPr>
              <w:t>为克孜勒苏柯尔克孜自治州成立70周年营造氛围，组织雕塑展（次）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BD036F">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7A554D">
            <w:pPr>
              <w:jc w:val="center"/>
            </w:pPr>
            <w:r>
              <w:rPr>
                <w:rFonts w:ascii="宋体" w:hAnsi="宋体" w:eastAsia="宋体"/>
                <w:sz w:val="16"/>
              </w:rPr>
              <w:t>2024年工作计划安排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561DF6">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315E5D">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5F5EA6">
            <w:pPr>
              <w:jc w:val="center"/>
            </w:pPr>
            <w:r>
              <w:rPr>
                <w:rFonts w:ascii="宋体" w:hAnsi="宋体" w:eastAsia="宋体"/>
                <w:sz w:val="16"/>
              </w:rPr>
              <w:t>18</w:t>
            </w:r>
          </w:p>
        </w:tc>
      </w:tr>
      <w:tr w14:paraId="5B115A7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52DBD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C2113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D6DF43">
            <w:pPr>
              <w:jc w:val="center"/>
            </w:pPr>
            <w:r>
              <w:rPr>
                <w:rFonts w:ascii="宋体" w:hAnsi="宋体" w:eastAsia="宋体"/>
                <w:sz w:val="16"/>
              </w:rPr>
              <w:t>做好公益培训班（次）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B9E605">
            <w:pPr>
              <w:jc w:val="center"/>
            </w:pPr>
            <w:r>
              <w:rPr>
                <w:rFonts w:ascii="宋体" w:hAnsi="宋体" w:eastAsia="宋体"/>
                <w:sz w:val="16"/>
              </w:rPr>
              <w:t>&gt;=3次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63732B">
            <w:pPr>
              <w:jc w:val="center"/>
            </w:pPr>
            <w:r>
              <w:rPr>
                <w:rFonts w:ascii="宋体" w:hAnsi="宋体" w:eastAsia="宋体"/>
                <w:sz w:val="16"/>
              </w:rPr>
              <w:t>2024年工作计划安排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A75890">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1A3FEC">
            <w:pPr>
              <w:jc w:val="center"/>
            </w:pPr>
            <w:r>
              <w:rPr>
                <w:rFonts w:ascii="宋体" w:hAnsi="宋体" w:eastAsia="宋体"/>
                <w:sz w:val="16"/>
              </w:rPr>
              <w: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D77E00">
            <w:pPr>
              <w:jc w:val="center"/>
            </w:pPr>
            <w:r>
              <w:rPr>
                <w:rFonts w:ascii="宋体" w:hAnsi="宋体" w:eastAsia="宋体"/>
                <w:sz w:val="16"/>
              </w:rPr>
              <w:t>18</w:t>
            </w:r>
          </w:p>
        </w:tc>
      </w:tr>
      <w:tr w14:paraId="072C8D4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19141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4DD02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FA644D">
            <w:pPr>
              <w:jc w:val="center"/>
            </w:pPr>
            <w:r>
              <w:rPr>
                <w:rFonts w:ascii="宋体" w:hAnsi="宋体" w:eastAsia="宋体"/>
                <w:sz w:val="16"/>
              </w:rPr>
              <w:t>做好“第三届雏鹰新啼”学生作品征集评选活动（次））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A800DE">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2B94B6">
            <w:pPr>
              <w:jc w:val="center"/>
            </w:pPr>
            <w:r>
              <w:rPr>
                <w:rFonts w:ascii="宋体" w:hAnsi="宋体" w:eastAsia="宋体"/>
                <w:sz w:val="16"/>
              </w:rPr>
              <w:t>2024年工作计划安排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884D96">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E03DD9">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7FBCE4">
            <w:pPr>
              <w:jc w:val="center"/>
            </w:pPr>
            <w:r>
              <w:rPr>
                <w:rFonts w:ascii="宋体" w:hAnsi="宋体" w:eastAsia="宋体"/>
                <w:sz w:val="16"/>
              </w:rPr>
              <w:t>18</w:t>
            </w:r>
          </w:p>
        </w:tc>
      </w:tr>
      <w:tr w14:paraId="485B505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27E7B2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5E3B8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90758D">
            <w:pPr>
              <w:jc w:val="center"/>
            </w:pPr>
            <w:r>
              <w:rPr>
                <w:rFonts w:ascii="宋体" w:hAnsi="宋体" w:eastAsia="宋体"/>
                <w:sz w:val="16"/>
              </w:rPr>
              <w:t>结合“春节”、“三·八”妇女节、“六·一”儿童节、端午节、国庆节等重要节庆组织免费开放活动（次））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772714">
            <w:pPr>
              <w:jc w:val="center"/>
            </w:pPr>
            <w:r>
              <w:rPr>
                <w:rFonts w:ascii="宋体" w:hAnsi="宋体" w:eastAsia="宋体"/>
                <w:sz w:val="16"/>
              </w:rPr>
              <w:t>&gt;=10次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73B41B">
            <w:pPr>
              <w:jc w:val="center"/>
            </w:pPr>
            <w:r>
              <w:rPr>
                <w:rFonts w:ascii="宋体" w:hAnsi="宋体" w:eastAsia="宋体"/>
                <w:sz w:val="16"/>
              </w:rPr>
              <w:t>2024年工作计划安排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AEC900">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3AA6B8">
            <w:pPr>
              <w:jc w:val="center"/>
            </w:pPr>
            <w:r>
              <w:rPr>
                <w:rFonts w:ascii="宋体" w:hAnsi="宋体" w:eastAsia="宋体"/>
                <w:sz w:val="16"/>
              </w:rPr>
              <w: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F35049">
            <w:pPr>
              <w:jc w:val="center"/>
            </w:pPr>
            <w:r>
              <w:rPr>
                <w:rFonts w:ascii="宋体" w:hAnsi="宋体" w:eastAsia="宋体"/>
                <w:sz w:val="16"/>
              </w:rPr>
              <w:t>18</w:t>
            </w:r>
          </w:p>
        </w:tc>
      </w:tr>
    </w:tbl>
    <w:p w14:paraId="24ED1DCF">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7"/>
        <w:gridCol w:w="627"/>
        <w:gridCol w:w="618"/>
        <w:gridCol w:w="618"/>
        <w:gridCol w:w="618"/>
        <w:gridCol w:w="776"/>
        <w:gridCol w:w="630"/>
        <w:gridCol w:w="597"/>
        <w:gridCol w:w="627"/>
      </w:tblGrid>
      <w:tr w14:paraId="055AF27D">
        <w:tblPrEx>
          <w:tblCellMar>
            <w:top w:w="0" w:type="dxa"/>
            <w:left w:w="108" w:type="dxa"/>
            <w:bottom w:w="0" w:type="dxa"/>
            <w:right w:w="108" w:type="dxa"/>
          </w:tblCellMar>
        </w:tblPrEx>
        <w:tc>
          <w:tcPr>
            <w:tcW w:w="8848" w:type="dxa"/>
            <w:gridSpan w:val="14"/>
            <w:vAlign w:val="center"/>
          </w:tcPr>
          <w:p w14:paraId="3F1CD19B">
            <w:pPr>
              <w:jc w:val="center"/>
            </w:pPr>
            <w:r>
              <w:rPr>
                <w:rFonts w:ascii="宋体" w:hAnsi="宋体" w:eastAsia="宋体"/>
                <w:sz w:val="24"/>
              </w:rPr>
              <w:t>项目支出绩效自评表</w:t>
            </w:r>
          </w:p>
        </w:tc>
      </w:tr>
      <w:tr w14:paraId="700136DC">
        <w:tblPrEx>
          <w:tblCellMar>
            <w:top w:w="0" w:type="dxa"/>
            <w:left w:w="108" w:type="dxa"/>
            <w:bottom w:w="0" w:type="dxa"/>
            <w:right w:w="108" w:type="dxa"/>
          </w:tblCellMar>
        </w:tblPrEx>
        <w:tc>
          <w:tcPr>
            <w:tcW w:w="8848" w:type="dxa"/>
            <w:gridSpan w:val="14"/>
            <w:vAlign w:val="center"/>
          </w:tcPr>
          <w:p w14:paraId="2DA6B0F3">
            <w:pPr>
              <w:jc w:val="center"/>
            </w:pPr>
            <w:r>
              <w:rPr>
                <w:rFonts w:ascii="宋体" w:hAnsi="宋体" w:eastAsia="宋体"/>
                <w:sz w:val="24"/>
              </w:rPr>
              <w:t>(2024年度)</w:t>
            </w:r>
          </w:p>
        </w:tc>
      </w:tr>
      <w:tr w14:paraId="41C9FB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885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15CC52">
            <w:pPr>
              <w:jc w:val="center"/>
            </w:pPr>
            <w:r>
              <w:rPr>
                <w:rFonts w:ascii="宋体" w:hAnsi="宋体" w:eastAsia="宋体"/>
                <w:sz w:val="16"/>
              </w:rPr>
              <w:t>2024年中央免费开放资金</w:t>
            </w:r>
          </w:p>
        </w:tc>
      </w:tr>
      <w:tr w14:paraId="70D9A3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8E2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8D0205">
            <w:pPr>
              <w:jc w:val="center"/>
            </w:pPr>
            <w:r>
              <w:rPr>
                <w:rFonts w:ascii="宋体" w:hAnsi="宋体" w:eastAsia="宋体"/>
                <w:sz w:val="16"/>
              </w:rPr>
              <w:t>克孜勒苏柯尔克孜自治州美术馆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2F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954538">
            <w:pPr>
              <w:jc w:val="center"/>
            </w:pPr>
            <w:r>
              <w:rPr>
                <w:rFonts w:ascii="宋体" w:hAnsi="宋体" w:eastAsia="宋体"/>
                <w:sz w:val="16"/>
              </w:rPr>
              <w:t>克孜勒苏柯尔克孜自治州美术馆</w:t>
            </w:r>
          </w:p>
        </w:tc>
      </w:tr>
      <w:tr w14:paraId="7118E2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69B7A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2EAA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116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E6E3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B89A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1150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858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0A40E">
            <w:pPr>
              <w:jc w:val="center"/>
            </w:pPr>
            <w:r>
              <w:rPr>
                <w:rFonts w:ascii="宋体" w:hAnsi="宋体" w:eastAsia="宋体"/>
                <w:sz w:val="16"/>
              </w:rPr>
              <w:t>得分</w:t>
            </w:r>
          </w:p>
        </w:tc>
      </w:tr>
      <w:tr w14:paraId="7BDD5F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0C3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454F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1DEAD">
            <w:pPr>
              <w:jc w:val="center"/>
            </w:pPr>
            <w:r>
              <w:rPr>
                <w:rFonts w:ascii="宋体" w:hAnsi="宋体" w:eastAsia="宋体"/>
                <w:sz w:val="16"/>
              </w:rPr>
              <w:t>57.54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20878">
            <w:pPr>
              <w:jc w:val="center"/>
            </w:pPr>
            <w:r>
              <w:rPr>
                <w:rFonts w:ascii="宋体" w:hAnsi="宋体" w:eastAsia="宋体"/>
                <w:sz w:val="16"/>
              </w:rPr>
              <w:t>57.54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AFAC9">
            <w:pPr>
              <w:jc w:val="center"/>
            </w:pPr>
            <w:r>
              <w:rPr>
                <w:rFonts w:ascii="宋体" w:hAnsi="宋体" w:eastAsia="宋体"/>
                <w:sz w:val="16"/>
              </w:rPr>
              <w:t>54.45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777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88E67">
            <w:pPr>
              <w:jc w:val="center"/>
            </w:pPr>
            <w:r>
              <w:rPr>
                <w:rFonts w:ascii="宋体" w:hAnsi="宋体" w:eastAsia="宋体"/>
                <w:sz w:val="16"/>
              </w:rPr>
              <w:t>94.6%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3D7C">
            <w:pPr>
              <w:jc w:val="center"/>
            </w:pPr>
            <w:r>
              <w:rPr>
                <w:rFonts w:ascii="宋体" w:hAnsi="宋体" w:eastAsia="宋体"/>
                <w:sz w:val="16"/>
              </w:rPr>
              <w:t>8.66分</w:t>
            </w:r>
          </w:p>
        </w:tc>
      </w:tr>
      <w:tr w14:paraId="499DB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E22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7AB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2D696">
            <w:pPr>
              <w:jc w:val="center"/>
            </w:pPr>
            <w:r>
              <w:rPr>
                <w:rFonts w:ascii="宋体" w:hAnsi="宋体" w:eastAsia="宋体"/>
                <w:sz w:val="16"/>
              </w:rPr>
              <w:t>57.54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BFC36">
            <w:pPr>
              <w:jc w:val="center"/>
            </w:pPr>
            <w:r>
              <w:rPr>
                <w:rFonts w:ascii="宋体" w:hAnsi="宋体" w:eastAsia="宋体"/>
                <w:sz w:val="16"/>
              </w:rPr>
              <w:t>57.54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4B48F">
            <w:pPr>
              <w:jc w:val="center"/>
            </w:pPr>
            <w:r>
              <w:rPr>
                <w:rFonts w:ascii="宋体" w:hAnsi="宋体" w:eastAsia="宋体"/>
                <w:sz w:val="16"/>
              </w:rPr>
              <w:t>54.45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53C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444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76B42">
            <w:pPr>
              <w:jc w:val="center"/>
            </w:pPr>
            <w:r>
              <w:rPr>
                <w:rFonts w:ascii="宋体" w:hAnsi="宋体" w:eastAsia="宋体"/>
                <w:sz w:val="16"/>
              </w:rPr>
              <w:t>—</w:t>
            </w:r>
          </w:p>
        </w:tc>
      </w:tr>
      <w:tr w14:paraId="191BB1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D93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E9D5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278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132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BAD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442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797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312C0">
            <w:pPr>
              <w:jc w:val="center"/>
            </w:pPr>
            <w:r>
              <w:rPr>
                <w:rFonts w:ascii="宋体" w:hAnsi="宋体" w:eastAsia="宋体"/>
                <w:sz w:val="16"/>
              </w:rPr>
              <w:t>—</w:t>
            </w:r>
          </w:p>
        </w:tc>
      </w:tr>
      <w:tr w14:paraId="7BD387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7EC2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24335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7E8428">
            <w:pPr>
              <w:jc w:val="center"/>
            </w:pPr>
            <w:r>
              <w:rPr>
                <w:rFonts w:ascii="宋体" w:hAnsi="宋体" w:eastAsia="宋体"/>
                <w:sz w:val="16"/>
              </w:rPr>
              <w:t>实际完成情况</w:t>
            </w:r>
          </w:p>
        </w:tc>
      </w:tr>
      <w:tr w14:paraId="76335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2AF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7C9DF7">
            <w:pPr>
              <w:jc w:val="both"/>
            </w:pPr>
            <w:r>
              <w:rPr>
                <w:rFonts w:ascii="宋体" w:hAnsi="宋体" w:eastAsia="宋体"/>
                <w:sz w:val="16"/>
              </w:rPr>
              <w:t>1.免费开放补助经费类：项目资金本年46万元，上年结转11.54万元，用于开展展览2次、免费开放宣传活动10次、培训班3个，达到丰富各族群众精神文化生活。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297536">
            <w:pPr>
              <w:jc w:val="both"/>
            </w:pPr>
            <w:r>
              <w:rPr>
                <w:rFonts w:hint="eastAsia" w:ascii="宋体" w:hAnsi="宋体"/>
                <w:sz w:val="16"/>
                <w:lang w:eastAsia="zh-CN"/>
              </w:rPr>
              <w:t>截至2024</w:t>
            </w:r>
            <w:r>
              <w:rPr>
                <w:rFonts w:ascii="宋体" w:hAnsi="宋体" w:eastAsia="宋体"/>
                <w:sz w:val="16"/>
              </w:rPr>
              <w:t>年12月31日止，主要用于：开展展览2次、免费开放宣传活动10次、培训班3个，达到丰富各族群众精神文化生活。</w:t>
            </w:r>
          </w:p>
        </w:tc>
      </w:tr>
      <w:tr w14:paraId="3C91F5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4A0E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EAF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B7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88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479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E0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CCB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485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11B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BC9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39D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C78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56BDC">
            <w:pPr>
              <w:jc w:val="center"/>
            </w:pPr>
            <w:r>
              <w:rPr>
                <w:rFonts w:ascii="宋体" w:hAnsi="宋体" w:eastAsia="宋体"/>
                <w:sz w:val="16"/>
              </w:rPr>
              <w:t>偏差原因分析及改进措施</w:t>
            </w:r>
          </w:p>
        </w:tc>
      </w:tr>
      <w:tr w14:paraId="74DC58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6A05F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7565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90BD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6D7B5">
            <w:pPr>
              <w:jc w:val="center"/>
            </w:pPr>
            <w:r>
              <w:rPr>
                <w:rFonts w:ascii="宋体" w:hAnsi="宋体" w:eastAsia="宋体"/>
                <w:sz w:val="16"/>
              </w:rPr>
              <w:t>免费开放培训（班）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C8EE">
            <w:pPr>
              <w:jc w:val="center"/>
            </w:pPr>
            <w:r>
              <w:rPr>
                <w:rFonts w:ascii="宋体" w:hAnsi="宋体" w:eastAsia="宋体"/>
                <w:sz w:val="16"/>
              </w:rPr>
              <w:t>&gt;=3班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38F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7C188">
            <w:pPr>
              <w:jc w:val="center"/>
            </w:pPr>
            <w:r>
              <w:rPr>
                <w:rFonts w:ascii="宋体" w:hAnsi="宋体" w:eastAsia="宋体"/>
                <w:sz w:val="16"/>
              </w:rPr>
              <w:t>3班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9BC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18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B1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8705">
            <w:pPr>
              <w:jc w:val="center"/>
            </w:pPr>
            <w:r>
              <w:rPr>
                <w:rFonts w:ascii="宋体" w:hAnsi="宋体" w:eastAsia="宋体"/>
                <w:sz w:val="16"/>
              </w:rPr>
              <w:t>=3班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600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C4EAE">
            <w:pPr>
              <w:jc w:val="center"/>
            </w:pPr>
          </w:p>
        </w:tc>
      </w:tr>
      <w:tr w14:paraId="4134FF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6FD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C6B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488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3640">
            <w:pPr>
              <w:jc w:val="center"/>
            </w:pPr>
            <w:r>
              <w:rPr>
                <w:rFonts w:ascii="宋体" w:hAnsi="宋体" w:eastAsia="宋体"/>
                <w:sz w:val="16"/>
              </w:rPr>
              <w:t>免费开放书画展（次）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D72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B6F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837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2C5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6A8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FE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140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794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EAEDF">
            <w:pPr>
              <w:jc w:val="center"/>
            </w:pPr>
          </w:p>
        </w:tc>
      </w:tr>
      <w:tr w14:paraId="765409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A58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062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925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DED6">
            <w:pPr>
              <w:jc w:val="center"/>
            </w:pPr>
            <w:r>
              <w:rPr>
                <w:rFonts w:ascii="宋体" w:hAnsi="宋体" w:eastAsia="宋体"/>
                <w:sz w:val="16"/>
              </w:rPr>
              <w:t>免费开放活动（次）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58D6">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ED7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72F5">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F55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1B0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15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6C8C">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044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42D80">
            <w:pPr>
              <w:jc w:val="center"/>
            </w:pPr>
          </w:p>
        </w:tc>
      </w:tr>
      <w:tr w14:paraId="34CD2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C9C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133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B1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166A">
            <w:pPr>
              <w:jc w:val="center"/>
            </w:pPr>
            <w:r>
              <w:rPr>
                <w:rFonts w:ascii="宋体" w:hAnsi="宋体" w:eastAsia="宋体"/>
                <w:sz w:val="16"/>
              </w:rPr>
              <w:t>缴纳水、电费（次）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D73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F6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AE82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8C7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E3E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54D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8FC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53B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120A7">
            <w:pPr>
              <w:jc w:val="center"/>
            </w:pPr>
          </w:p>
        </w:tc>
      </w:tr>
      <w:tr w14:paraId="48D7D5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75C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1C6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8C2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0C2A">
            <w:pPr>
              <w:jc w:val="center"/>
            </w:pPr>
            <w:r>
              <w:rPr>
                <w:rFonts w:ascii="宋体" w:hAnsi="宋体" w:eastAsia="宋体"/>
                <w:sz w:val="16"/>
              </w:rPr>
              <w:t>缴纳物业管理费（次）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3DC6">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CB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666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EB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0E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1C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962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751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33C9D">
            <w:pPr>
              <w:jc w:val="center"/>
            </w:pPr>
          </w:p>
        </w:tc>
      </w:tr>
      <w:tr w14:paraId="12F1BB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0B3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7E5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7722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D5C1">
            <w:pPr>
              <w:jc w:val="center"/>
            </w:pPr>
            <w:r>
              <w:rPr>
                <w:rFonts w:ascii="宋体" w:hAnsi="宋体" w:eastAsia="宋体"/>
                <w:sz w:val="16"/>
              </w:rPr>
              <w:t>培训执行率（%）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DA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26D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73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34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D9A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A5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4F6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379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5E682">
            <w:pPr>
              <w:jc w:val="center"/>
            </w:pPr>
          </w:p>
        </w:tc>
      </w:tr>
      <w:tr w14:paraId="2D912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04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CC5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7A4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4276">
            <w:pPr>
              <w:jc w:val="center"/>
            </w:pPr>
            <w:r>
              <w:rPr>
                <w:rFonts w:ascii="宋体" w:hAnsi="宋体" w:eastAsia="宋体"/>
                <w:sz w:val="16"/>
              </w:rPr>
              <w:t>免费开放绩效考评率（%）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2A4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CDE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100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B15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B3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BC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B4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9B5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E5A83">
            <w:pPr>
              <w:jc w:val="center"/>
            </w:pPr>
          </w:p>
        </w:tc>
      </w:tr>
      <w:tr w14:paraId="453F7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6CF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913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B366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B714">
            <w:pPr>
              <w:jc w:val="center"/>
            </w:pPr>
            <w:r>
              <w:rPr>
                <w:rFonts w:ascii="宋体" w:hAnsi="宋体" w:eastAsia="宋体"/>
                <w:sz w:val="16"/>
              </w:rPr>
              <w:t>免费开放及时率（%）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82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32E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47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45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BE5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D6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940D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35F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47E5D">
            <w:pPr>
              <w:jc w:val="center"/>
            </w:pPr>
          </w:p>
        </w:tc>
      </w:tr>
      <w:tr w14:paraId="397E04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E79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FF54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BFDF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69CEB">
            <w:pPr>
              <w:jc w:val="center"/>
            </w:pPr>
            <w:r>
              <w:rPr>
                <w:rFonts w:ascii="宋体" w:hAnsi="宋体" w:eastAsia="宋体"/>
                <w:sz w:val="16"/>
              </w:rPr>
              <w:t>免费开放培训班（万元）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4836D">
            <w:pPr>
              <w:jc w:val="center"/>
            </w:pPr>
            <w:r>
              <w:rPr>
                <w:rFonts w:ascii="宋体" w:hAnsi="宋体" w:eastAsia="宋体"/>
                <w:sz w:val="16"/>
              </w:rPr>
              <w:t>&lt;=10.80万元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ED9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6FF9">
            <w:pPr>
              <w:jc w:val="center"/>
            </w:pPr>
            <w:r>
              <w:rPr>
                <w:rFonts w:ascii="宋体" w:hAnsi="宋体" w:eastAsia="宋体"/>
                <w:sz w:val="16"/>
              </w:rPr>
              <w: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2F3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6C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F76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9A13C">
            <w:pPr>
              <w:jc w:val="center"/>
            </w:pPr>
            <w:r>
              <w:rPr>
                <w:rFonts w:ascii="宋体" w:hAnsi="宋体" w:eastAsia="宋体"/>
                <w:sz w:val="16"/>
              </w:rPr>
              <w: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98EB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59EC9">
            <w:pPr>
              <w:jc w:val="center"/>
            </w:pPr>
          </w:p>
        </w:tc>
      </w:tr>
      <w:tr w14:paraId="6E9DBD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171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BEB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E15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317B">
            <w:pPr>
              <w:jc w:val="center"/>
            </w:pPr>
            <w:r>
              <w:rPr>
                <w:rFonts w:ascii="宋体" w:hAnsi="宋体" w:eastAsia="宋体"/>
                <w:sz w:val="16"/>
              </w:rPr>
              <w:t>免费开放书画展（万元）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9C80">
            <w:pPr>
              <w:jc w:val="center"/>
            </w:pPr>
            <w:r>
              <w:rPr>
                <w:rFonts w:ascii="宋体" w:hAnsi="宋体" w:eastAsia="宋体"/>
                <w:sz w:val="16"/>
              </w:rPr>
              <w:t>&lt;=9万元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B9F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5690">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B1B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B4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6C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1B8F">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954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3EDEA">
            <w:pPr>
              <w:jc w:val="center"/>
            </w:pPr>
          </w:p>
        </w:tc>
      </w:tr>
      <w:tr w14:paraId="2B2700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8C4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F42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D61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B724">
            <w:pPr>
              <w:jc w:val="center"/>
            </w:pPr>
            <w:r>
              <w:rPr>
                <w:rFonts w:ascii="宋体" w:hAnsi="宋体" w:eastAsia="宋体"/>
                <w:sz w:val="16"/>
              </w:rPr>
              <w:t>免费开放活动(万元）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73051">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1D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92FE">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0E8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A1C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9B1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20D1">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2768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7B76C">
            <w:pPr>
              <w:jc w:val="center"/>
            </w:pPr>
          </w:p>
        </w:tc>
      </w:tr>
      <w:tr w14:paraId="1F2B93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8CB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434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18B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45EE8">
            <w:pPr>
              <w:jc w:val="center"/>
            </w:pPr>
            <w:r>
              <w:rPr>
                <w:rFonts w:ascii="宋体" w:hAnsi="宋体" w:eastAsia="宋体"/>
                <w:sz w:val="16"/>
              </w:rPr>
              <w:t>水、电费（万元）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B72E">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B089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656B">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7D3A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4C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C91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B7F89">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83A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ED00D">
            <w:pPr>
              <w:jc w:val="center"/>
            </w:pPr>
          </w:p>
        </w:tc>
      </w:tr>
      <w:tr w14:paraId="3F5C8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08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CD5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7C7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7135">
            <w:pPr>
              <w:jc w:val="center"/>
            </w:pPr>
            <w:r>
              <w:rPr>
                <w:rFonts w:ascii="宋体" w:hAnsi="宋体" w:eastAsia="宋体"/>
                <w:sz w:val="16"/>
              </w:rPr>
              <w:t>物业管理费（万元）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CDCAE">
            <w:pPr>
              <w:jc w:val="center"/>
            </w:pPr>
            <w:r>
              <w:rPr>
                <w:rFonts w:ascii="宋体" w:hAnsi="宋体" w:eastAsia="宋体"/>
                <w:sz w:val="16"/>
              </w:rPr>
              <w:t>&lt;=28.74万元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8B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FAD1">
            <w:pPr>
              <w:jc w:val="center"/>
            </w:pPr>
            <w:r>
              <w:rPr>
                <w:rFonts w:ascii="宋体" w:hAnsi="宋体" w:eastAsia="宋体"/>
                <w:sz w:val="16"/>
              </w:rPr>
              <w:t>17.2万元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24B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3C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D6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3EB5">
            <w:pPr>
              <w:jc w:val="center"/>
            </w:pPr>
            <w:r>
              <w:rPr>
                <w:rFonts w:ascii="宋体" w:hAnsi="宋体" w:eastAsia="宋体"/>
                <w:sz w:val="16"/>
              </w:rPr>
              <w:t>=25.649万元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3792">
            <w:pPr>
              <w:jc w:val="center"/>
            </w:pPr>
            <w:r>
              <w:rPr>
                <w:rFonts w:ascii="宋体" w:hAnsi="宋体" w:eastAsia="宋体"/>
                <w:sz w:val="16"/>
              </w:rPr>
              <w:t>2.92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BC823">
            <w:pPr>
              <w:jc w:val="center"/>
            </w:pPr>
            <w:r>
              <w:rPr>
                <w:rFonts w:ascii="宋体" w:hAnsi="宋体" w:eastAsia="宋体"/>
                <w:sz w:val="16"/>
              </w:rPr>
              <w:t>偏差原因：票据未收齐全，改进措施：以后项目加快票据收集。</w:t>
            </w:r>
          </w:p>
        </w:tc>
      </w:tr>
      <w:tr w14:paraId="01DFA6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ED0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61C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850D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4597">
            <w:pPr>
              <w:jc w:val="center"/>
            </w:pPr>
            <w:r>
              <w:rPr>
                <w:rFonts w:ascii="宋体" w:hAnsi="宋体" w:eastAsia="宋体"/>
                <w:sz w:val="16"/>
              </w:rPr>
              <w:t>充分发挥克州美术馆宣传教育和社会服务阵地作用，丰富人民群众的精神文化生活，保障各族群众基本权益，促进社会和谐稳定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8ABBC">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91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AD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85D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3A5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49B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6715">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7EB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F6B97">
            <w:pPr>
              <w:jc w:val="center"/>
            </w:pPr>
          </w:p>
        </w:tc>
      </w:tr>
      <w:tr w14:paraId="3C7B10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7C4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1C40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A23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2030">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5F2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EAB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C93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36C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D4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12F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194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E30B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18B19">
            <w:pPr>
              <w:jc w:val="center"/>
            </w:pPr>
            <w:r>
              <w:rPr>
                <w:rFonts w:ascii="宋体" w:hAnsi="宋体" w:eastAsia="宋体"/>
                <w:sz w:val="16"/>
              </w:rPr>
              <w:t>偏差原因：培训氛围好，培训人员学习快速，改进措施：以后项目开展培训活动继续保持。</w:t>
            </w:r>
          </w:p>
        </w:tc>
      </w:tr>
      <w:tr w14:paraId="49A83D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0B4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D0F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77A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A19EA">
            <w:pPr>
              <w:jc w:val="center"/>
            </w:pPr>
            <w:r>
              <w:rPr>
                <w:rFonts w:ascii="宋体" w:hAnsi="宋体" w:eastAsia="宋体"/>
                <w:sz w:val="16"/>
              </w:rPr>
              <w:t>社会公众对克州美术馆公共文化服务满意度（%）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AE817">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BBE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4157B">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CFA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DC3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939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24E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A6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376D6">
            <w:pPr>
              <w:jc w:val="center"/>
            </w:pPr>
            <w:r>
              <w:rPr>
                <w:rFonts w:ascii="宋体" w:hAnsi="宋体" w:eastAsia="宋体"/>
                <w:sz w:val="16"/>
              </w:rPr>
              <w:t>偏差原因：该活动部分未按期开展，导致满意度未达到预期指标值，改进措施：按期开展活动</w:t>
            </w:r>
          </w:p>
        </w:tc>
      </w:tr>
      <w:tr w14:paraId="38F674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51BC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6BBD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23E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D7F328">
            <w:pPr>
              <w:jc w:val="center"/>
            </w:pPr>
            <w:r>
              <w:rPr>
                <w:rFonts w:ascii="宋体" w:hAnsi="宋体" w:eastAsia="宋体"/>
                <w:sz w:val="16"/>
              </w:rPr>
              <w:t>97.58分</w:t>
            </w:r>
          </w:p>
        </w:tc>
      </w:tr>
    </w:tbl>
    <w:p w14:paraId="41242EB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7845B669">
        <w:tblPrEx>
          <w:tblCellMar>
            <w:top w:w="0" w:type="dxa"/>
            <w:left w:w="108" w:type="dxa"/>
            <w:bottom w:w="0" w:type="dxa"/>
            <w:right w:w="108" w:type="dxa"/>
          </w:tblCellMar>
        </w:tblPrEx>
        <w:tc>
          <w:tcPr>
            <w:tcW w:w="8848" w:type="dxa"/>
            <w:gridSpan w:val="14"/>
            <w:vAlign w:val="center"/>
          </w:tcPr>
          <w:p w14:paraId="5DD14D65">
            <w:pPr>
              <w:jc w:val="center"/>
            </w:pPr>
            <w:r>
              <w:rPr>
                <w:rFonts w:ascii="宋体" w:hAnsi="宋体" w:eastAsia="宋体"/>
                <w:sz w:val="24"/>
              </w:rPr>
              <w:t>项目支出绩效自评表</w:t>
            </w:r>
          </w:p>
        </w:tc>
      </w:tr>
      <w:tr w14:paraId="16C02569">
        <w:tblPrEx>
          <w:tblCellMar>
            <w:top w:w="0" w:type="dxa"/>
            <w:left w:w="108" w:type="dxa"/>
            <w:bottom w:w="0" w:type="dxa"/>
            <w:right w:w="108" w:type="dxa"/>
          </w:tblCellMar>
        </w:tblPrEx>
        <w:tc>
          <w:tcPr>
            <w:tcW w:w="8848" w:type="dxa"/>
            <w:gridSpan w:val="14"/>
            <w:vAlign w:val="center"/>
          </w:tcPr>
          <w:p w14:paraId="39D8B722">
            <w:pPr>
              <w:jc w:val="center"/>
            </w:pPr>
            <w:r>
              <w:rPr>
                <w:rFonts w:ascii="宋体" w:hAnsi="宋体" w:eastAsia="宋体"/>
                <w:sz w:val="24"/>
              </w:rPr>
              <w:t>(2024年度)</w:t>
            </w:r>
          </w:p>
        </w:tc>
      </w:tr>
      <w:tr w14:paraId="31E73D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F26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D3DD49">
            <w:pPr>
              <w:jc w:val="center"/>
            </w:pPr>
            <w:r>
              <w:rPr>
                <w:rFonts w:ascii="宋体" w:hAnsi="宋体" w:eastAsia="宋体"/>
                <w:sz w:val="16"/>
              </w:rPr>
              <w:t>2024年文化和旅游志愿者服务项目</w:t>
            </w:r>
          </w:p>
        </w:tc>
      </w:tr>
      <w:tr w14:paraId="558FD2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7C6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62018D">
            <w:pPr>
              <w:jc w:val="center"/>
            </w:pPr>
            <w:r>
              <w:rPr>
                <w:rFonts w:ascii="宋体" w:hAnsi="宋体" w:eastAsia="宋体"/>
                <w:sz w:val="16"/>
              </w:rPr>
              <w:t>克孜勒苏柯尔克孜自治州美术馆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E20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978985">
            <w:pPr>
              <w:jc w:val="center"/>
            </w:pPr>
            <w:r>
              <w:rPr>
                <w:rFonts w:ascii="宋体" w:hAnsi="宋体" w:eastAsia="宋体"/>
                <w:sz w:val="16"/>
              </w:rPr>
              <w:t>克孜勒苏柯尔克孜自治州美术馆</w:t>
            </w:r>
          </w:p>
        </w:tc>
      </w:tr>
      <w:tr w14:paraId="4F2AEF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7EEB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EBDA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5FC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A21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78D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3BB8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9753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B963">
            <w:pPr>
              <w:jc w:val="center"/>
            </w:pPr>
            <w:r>
              <w:rPr>
                <w:rFonts w:ascii="宋体" w:hAnsi="宋体" w:eastAsia="宋体"/>
                <w:sz w:val="16"/>
              </w:rPr>
              <w:t>得分</w:t>
            </w:r>
          </w:p>
        </w:tc>
      </w:tr>
      <w:tr w14:paraId="5AA11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90A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2F84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33163">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1A835">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2BAD0">
            <w:pPr>
              <w:jc w:val="center"/>
            </w:pPr>
            <w:r>
              <w:rPr>
                <w:rFonts w:ascii="宋体" w:hAnsi="宋体" w:eastAsia="宋体"/>
                <w:sz w:val="16"/>
              </w:rPr>
              <w:t>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E91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7E540">
            <w:pPr>
              <w:jc w:val="center"/>
            </w:pPr>
            <w:r>
              <w:rPr>
                <w:rFonts w:ascii="宋体" w:hAnsi="宋体" w:eastAsia="宋体"/>
                <w:sz w:val="16"/>
              </w:rPr>
              <w:t>88.0%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891FB">
            <w:pPr>
              <w:jc w:val="center"/>
            </w:pPr>
            <w:r>
              <w:rPr>
                <w:rFonts w:ascii="宋体" w:hAnsi="宋体" w:eastAsia="宋体"/>
                <w:sz w:val="16"/>
              </w:rPr>
              <w:t>7.00分</w:t>
            </w:r>
          </w:p>
        </w:tc>
      </w:tr>
      <w:tr w14:paraId="5B0164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0BD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BEF9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3687A">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CF516">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F909A">
            <w:pPr>
              <w:jc w:val="center"/>
            </w:pPr>
            <w:r>
              <w:rPr>
                <w:rFonts w:ascii="宋体" w:hAnsi="宋体" w:eastAsia="宋体"/>
                <w:sz w:val="16"/>
              </w:rPr>
              <w:t>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92B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D2D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8778">
            <w:pPr>
              <w:jc w:val="center"/>
            </w:pPr>
            <w:r>
              <w:rPr>
                <w:rFonts w:ascii="宋体" w:hAnsi="宋体" w:eastAsia="宋体"/>
                <w:sz w:val="16"/>
              </w:rPr>
              <w:t>—</w:t>
            </w:r>
          </w:p>
        </w:tc>
      </w:tr>
      <w:tr w14:paraId="204C4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EED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0E9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1D4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663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3F2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85E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645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BBCE">
            <w:pPr>
              <w:jc w:val="center"/>
            </w:pPr>
            <w:r>
              <w:rPr>
                <w:rFonts w:ascii="宋体" w:hAnsi="宋体" w:eastAsia="宋体"/>
                <w:sz w:val="16"/>
              </w:rPr>
              <w:t>—</w:t>
            </w:r>
          </w:p>
        </w:tc>
      </w:tr>
      <w:tr w14:paraId="3D4445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70DC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0FAEC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3A8A44">
            <w:pPr>
              <w:jc w:val="center"/>
            </w:pPr>
            <w:r>
              <w:rPr>
                <w:rFonts w:ascii="宋体" w:hAnsi="宋体" w:eastAsia="宋体"/>
                <w:sz w:val="16"/>
              </w:rPr>
              <w:t>实际完成情况</w:t>
            </w:r>
          </w:p>
        </w:tc>
      </w:tr>
      <w:tr w14:paraId="72E253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E4E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CA2EFE">
            <w:pPr>
              <w:jc w:val="both"/>
            </w:pPr>
            <w:r>
              <w:rPr>
                <w:rFonts w:ascii="宋体" w:hAnsi="宋体" w:eastAsia="宋体"/>
                <w:sz w:val="16"/>
              </w:rPr>
              <w:t>关于拨付 2024年自治区彩票公益金支持文化和旅游志愿者服务项目克财教(2024)1号，2024年拨付0.5万元资金，用于开展文化和旅游志愿者服务工作，促进文化事</w:t>
            </w:r>
            <w:r>
              <w:rPr>
                <w:rFonts w:hint="eastAsia" w:ascii="宋体" w:hAnsi="宋体"/>
                <w:sz w:val="16"/>
                <w:lang w:eastAsia="zh-CN"/>
              </w:rPr>
              <w:t>业和</w:t>
            </w:r>
            <w:r>
              <w:rPr>
                <w:rFonts w:ascii="宋体" w:hAnsi="宋体" w:eastAsia="宋体"/>
                <w:sz w:val="16"/>
              </w:rPr>
              <w:t>旅游业健康发展。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10C7F9">
            <w:pPr>
              <w:jc w:val="both"/>
            </w:pPr>
            <w:r>
              <w:rPr>
                <w:rFonts w:hint="eastAsia" w:ascii="宋体" w:hAnsi="宋体"/>
                <w:sz w:val="16"/>
                <w:lang w:eastAsia="zh-CN"/>
              </w:rPr>
              <w:t>截至2024</w:t>
            </w:r>
            <w:r>
              <w:rPr>
                <w:rFonts w:ascii="宋体" w:hAnsi="宋体" w:eastAsia="宋体"/>
                <w:sz w:val="16"/>
              </w:rPr>
              <w:t>年12月31日止，已完成：开展志愿者服务:用于开展志愿者服务次3次，开展志愿者服务次数2次，参与志愿者服务实施该项目促进文化事业旅游业健康发展。</w:t>
            </w:r>
          </w:p>
        </w:tc>
      </w:tr>
      <w:tr w14:paraId="3899D6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D04A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6E5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0A3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E53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995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79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342B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16B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29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DD5B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CE8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731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6FA6D">
            <w:pPr>
              <w:jc w:val="center"/>
            </w:pPr>
            <w:r>
              <w:rPr>
                <w:rFonts w:ascii="宋体" w:hAnsi="宋体" w:eastAsia="宋体"/>
                <w:sz w:val="16"/>
              </w:rPr>
              <w:t>偏差原因分析及改进措施</w:t>
            </w:r>
          </w:p>
        </w:tc>
      </w:tr>
      <w:tr w14:paraId="742AC7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275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9E5F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5D37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95F87">
            <w:pPr>
              <w:jc w:val="center"/>
            </w:pPr>
            <w:r>
              <w:rPr>
                <w:rFonts w:ascii="宋体" w:hAnsi="宋体" w:eastAsia="宋体"/>
                <w:sz w:val="16"/>
              </w:rPr>
              <w:t>开展志愿者服务次数(次）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FDBC">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28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1F4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1D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77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000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C848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F57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DF0A2">
            <w:pPr>
              <w:jc w:val="center"/>
            </w:pPr>
          </w:p>
        </w:tc>
      </w:tr>
      <w:tr w14:paraId="28255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FFC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37E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D71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C66F6">
            <w:pPr>
              <w:jc w:val="center"/>
            </w:pPr>
            <w:r>
              <w:rPr>
                <w:rFonts w:ascii="宋体" w:hAnsi="宋体" w:eastAsia="宋体"/>
                <w:sz w:val="16"/>
              </w:rPr>
              <w:t>参与志愿者服务人次(人次)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4DF0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12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D8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A7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E1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00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094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AC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0D256">
            <w:pPr>
              <w:jc w:val="center"/>
            </w:pPr>
          </w:p>
        </w:tc>
      </w:tr>
      <w:tr w14:paraId="2FB4E9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13E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155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2ED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128B">
            <w:pPr>
              <w:jc w:val="center"/>
            </w:pPr>
            <w:r>
              <w:rPr>
                <w:rFonts w:ascii="宋体" w:hAnsi="宋体" w:eastAsia="宋体"/>
                <w:sz w:val="16"/>
              </w:rPr>
              <w:t>志愿者服务规范执行率(%)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52F1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9E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38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1A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8D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6C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8B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DC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2AB87">
            <w:pPr>
              <w:jc w:val="center"/>
            </w:pPr>
          </w:p>
        </w:tc>
      </w:tr>
      <w:tr w14:paraId="1B6E4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C97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836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D6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4DFBE">
            <w:pPr>
              <w:jc w:val="center"/>
            </w:pPr>
            <w:r>
              <w:rPr>
                <w:rFonts w:ascii="宋体" w:hAnsi="宋体" w:eastAsia="宋体"/>
                <w:sz w:val="16"/>
              </w:rPr>
              <w:t>志愿者服务及时响应率(%)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8E96D">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848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B9F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68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54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7A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22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4C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B57EA">
            <w:pPr>
              <w:jc w:val="center"/>
            </w:pPr>
          </w:p>
        </w:tc>
      </w:tr>
      <w:tr w14:paraId="78323D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472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4FFF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CE94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C7C12">
            <w:pPr>
              <w:jc w:val="center"/>
            </w:pPr>
            <w:r>
              <w:rPr>
                <w:rFonts w:ascii="宋体" w:hAnsi="宋体" w:eastAsia="宋体"/>
                <w:sz w:val="16"/>
              </w:rPr>
              <w:t>开展志愿者服务经费(万元)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E035">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56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397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08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DE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E5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90F62">
            <w:pPr>
              <w:jc w:val="center"/>
            </w:pPr>
            <w:r>
              <w:rPr>
                <w:rFonts w:ascii="宋体" w:hAnsi="宋体" w:eastAsia="宋体"/>
                <w:sz w:val="16"/>
              </w:rPr>
              <w:t>=0.436万元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90A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146F6">
            <w:pPr>
              <w:jc w:val="center"/>
            </w:pPr>
            <w:r>
              <w:rPr>
                <w:rFonts w:ascii="宋体" w:hAnsi="宋体" w:eastAsia="宋体"/>
                <w:sz w:val="16"/>
              </w:rPr>
              <w:t>偏差原因：该项目2024年年底，有些资金没按时付完，但工作已完成。改进措施按时支付资金，压实责任</w:t>
            </w:r>
          </w:p>
        </w:tc>
      </w:tr>
      <w:tr w14:paraId="6ABA66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CE1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045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F7D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C38D">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625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20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A43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1C9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5C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D2E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03C22">
            <w:pPr>
              <w:jc w:val="center"/>
            </w:pPr>
            <w:r>
              <w:rPr>
                <w:rFonts w:ascii="宋体" w:hAnsi="宋体" w:eastAsia="宋体"/>
                <w:sz w:val="16"/>
              </w:rPr>
              <w:t>=88%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729F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487CD">
            <w:pPr>
              <w:jc w:val="center"/>
            </w:pPr>
            <w:r>
              <w:rPr>
                <w:rFonts w:ascii="宋体" w:hAnsi="宋体" w:eastAsia="宋体"/>
                <w:sz w:val="16"/>
              </w:rPr>
              <w:t>偏差原因：该项目2024年年底，有些资金没按时付完，但工作已完成。改进措施按时支付资金，压实责任</w:t>
            </w:r>
          </w:p>
        </w:tc>
      </w:tr>
      <w:tr w14:paraId="1B2A2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347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5E8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3E4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4795">
            <w:pPr>
              <w:jc w:val="center"/>
            </w:pPr>
            <w:r>
              <w:rPr>
                <w:rFonts w:ascii="宋体" w:hAnsi="宋体" w:eastAsia="宋体"/>
                <w:sz w:val="16"/>
              </w:rPr>
              <w:t>促进文化事</w:t>
            </w:r>
            <w:r>
              <w:rPr>
                <w:rFonts w:hint="eastAsia" w:ascii="宋体" w:hAnsi="宋体"/>
                <w:sz w:val="16"/>
                <w:lang w:eastAsia="zh-CN"/>
              </w:rPr>
              <w:t>业和</w:t>
            </w:r>
            <w:r>
              <w:rPr>
                <w:rFonts w:ascii="宋体" w:hAnsi="宋体" w:eastAsia="宋体"/>
                <w:sz w:val="16"/>
              </w:rPr>
              <w:t>旅游业健康发展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CAA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AA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2F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9F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B32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2DF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450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043E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AA7DA">
            <w:pPr>
              <w:jc w:val="center"/>
            </w:pPr>
          </w:p>
        </w:tc>
      </w:tr>
      <w:tr w14:paraId="40CE2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335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3D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90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B13B">
            <w:pPr>
              <w:jc w:val="center"/>
            </w:pPr>
            <w:r>
              <w:rPr>
                <w:rFonts w:ascii="宋体" w:hAnsi="宋体" w:eastAsia="宋体"/>
                <w:sz w:val="16"/>
              </w:rPr>
              <w:t>旅游人才服务满意度(%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E2F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7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6E0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0E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78C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1D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8D7E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B1C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E8748">
            <w:pPr>
              <w:jc w:val="center"/>
            </w:pPr>
            <w:r>
              <w:rPr>
                <w:rFonts w:ascii="宋体" w:hAnsi="宋体" w:eastAsia="宋体"/>
                <w:sz w:val="16"/>
              </w:rPr>
              <w:t>偏差原因：该项目2024年年底，有些资金没按时付完，但工作已完成。改进措施按时支付资金，压实责任</w:t>
            </w:r>
          </w:p>
        </w:tc>
      </w:tr>
      <w:tr w14:paraId="4215E8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9384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FE9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4CE0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034D59">
            <w:pPr>
              <w:jc w:val="center"/>
            </w:pPr>
            <w:r>
              <w:rPr>
                <w:rFonts w:ascii="宋体" w:hAnsi="宋体" w:eastAsia="宋体"/>
                <w:sz w:val="16"/>
              </w:rPr>
              <w:t>91分</w:t>
            </w:r>
          </w:p>
        </w:tc>
      </w:tr>
    </w:tbl>
    <w:p w14:paraId="1C959C6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74CCEEF9">
        <w:tblPrEx>
          <w:tblCellMar>
            <w:top w:w="0" w:type="dxa"/>
            <w:left w:w="108" w:type="dxa"/>
            <w:bottom w:w="0" w:type="dxa"/>
            <w:right w:w="108" w:type="dxa"/>
          </w:tblCellMar>
        </w:tblPrEx>
        <w:tc>
          <w:tcPr>
            <w:tcW w:w="8848" w:type="dxa"/>
            <w:gridSpan w:val="14"/>
            <w:vAlign w:val="center"/>
          </w:tcPr>
          <w:p w14:paraId="3B2DA53B">
            <w:pPr>
              <w:jc w:val="center"/>
            </w:pPr>
            <w:r>
              <w:rPr>
                <w:rFonts w:ascii="宋体" w:hAnsi="宋体" w:eastAsia="宋体"/>
                <w:sz w:val="24"/>
              </w:rPr>
              <w:t>项目支出绩效自评表</w:t>
            </w:r>
          </w:p>
        </w:tc>
      </w:tr>
      <w:tr w14:paraId="057AE6D4">
        <w:tblPrEx>
          <w:tblCellMar>
            <w:top w:w="0" w:type="dxa"/>
            <w:left w:w="108" w:type="dxa"/>
            <w:bottom w:w="0" w:type="dxa"/>
            <w:right w:w="108" w:type="dxa"/>
          </w:tblCellMar>
        </w:tblPrEx>
        <w:tc>
          <w:tcPr>
            <w:tcW w:w="8848" w:type="dxa"/>
            <w:gridSpan w:val="14"/>
            <w:vAlign w:val="center"/>
          </w:tcPr>
          <w:p w14:paraId="0D035F11">
            <w:pPr>
              <w:jc w:val="center"/>
            </w:pPr>
            <w:r>
              <w:rPr>
                <w:rFonts w:ascii="宋体" w:hAnsi="宋体" w:eastAsia="宋体"/>
                <w:sz w:val="24"/>
              </w:rPr>
              <w:t>(2024年度)</w:t>
            </w:r>
          </w:p>
        </w:tc>
      </w:tr>
      <w:tr w14:paraId="1C2241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B5E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E32157">
            <w:pPr>
              <w:jc w:val="center"/>
            </w:pPr>
            <w:r>
              <w:rPr>
                <w:rFonts w:ascii="宋体" w:hAnsi="宋体" w:eastAsia="宋体"/>
                <w:sz w:val="16"/>
              </w:rPr>
              <w:t>民俗馆建设费</w:t>
            </w:r>
          </w:p>
        </w:tc>
      </w:tr>
      <w:tr w14:paraId="10420A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751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7C8173">
            <w:pPr>
              <w:jc w:val="center"/>
            </w:pPr>
            <w:r>
              <w:rPr>
                <w:rFonts w:ascii="宋体" w:hAnsi="宋体" w:eastAsia="宋体"/>
                <w:sz w:val="16"/>
              </w:rPr>
              <w:t>克孜勒苏柯尔克孜自治州美术馆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0BD5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1ED550">
            <w:pPr>
              <w:jc w:val="center"/>
            </w:pPr>
            <w:r>
              <w:rPr>
                <w:rFonts w:ascii="宋体" w:hAnsi="宋体" w:eastAsia="宋体"/>
                <w:sz w:val="16"/>
              </w:rPr>
              <w:t>克孜勒苏柯尔克孜自治州美术馆</w:t>
            </w:r>
          </w:p>
        </w:tc>
      </w:tr>
      <w:tr w14:paraId="0A8C8F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B27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3498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678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14F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8BE3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5E59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B6D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842A3">
            <w:pPr>
              <w:jc w:val="center"/>
            </w:pPr>
            <w:r>
              <w:rPr>
                <w:rFonts w:ascii="宋体" w:hAnsi="宋体" w:eastAsia="宋体"/>
                <w:sz w:val="16"/>
              </w:rPr>
              <w:t>得分</w:t>
            </w:r>
          </w:p>
        </w:tc>
      </w:tr>
      <w:tr w14:paraId="2F7034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A2E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583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8FCB5">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962A8">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973A2">
            <w:pPr>
              <w:jc w:val="center"/>
            </w:pPr>
            <w:r>
              <w:rPr>
                <w:rFonts w:ascii="宋体" w:hAnsi="宋体" w:eastAsia="宋体"/>
                <w:sz w:val="16"/>
              </w:rPr>
              <w:t>3.17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738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44C81">
            <w:pPr>
              <w:jc w:val="center"/>
            </w:pPr>
            <w:r>
              <w:rPr>
                <w:rFonts w:ascii="宋体" w:hAnsi="宋体" w:eastAsia="宋体"/>
                <w:sz w:val="16"/>
              </w:rPr>
              <w:t>95.8%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6FDA5">
            <w:pPr>
              <w:jc w:val="center"/>
            </w:pPr>
            <w:r>
              <w:rPr>
                <w:rFonts w:ascii="宋体" w:hAnsi="宋体" w:eastAsia="宋体"/>
                <w:sz w:val="16"/>
              </w:rPr>
              <w:t>8.94分</w:t>
            </w:r>
          </w:p>
        </w:tc>
      </w:tr>
      <w:tr w14:paraId="21579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0C2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5877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DAD65">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2BD59">
            <w:pPr>
              <w:jc w:val="center"/>
            </w:pPr>
            <w:r>
              <w:rPr>
                <w:rFonts w:ascii="宋体" w:hAnsi="宋体" w:eastAsia="宋体"/>
                <w:sz w:val="16"/>
              </w:rPr>
              <w:t>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E61D7">
            <w:pPr>
              <w:jc w:val="center"/>
            </w:pPr>
            <w:r>
              <w:rPr>
                <w:rFonts w:ascii="宋体" w:hAnsi="宋体" w:eastAsia="宋体"/>
                <w:sz w:val="16"/>
              </w:rPr>
              <w:t>3.17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8E8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C82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EBD83">
            <w:pPr>
              <w:jc w:val="center"/>
            </w:pPr>
            <w:r>
              <w:rPr>
                <w:rFonts w:ascii="宋体" w:hAnsi="宋体" w:eastAsia="宋体"/>
                <w:sz w:val="16"/>
              </w:rPr>
              <w:t>—</w:t>
            </w:r>
          </w:p>
        </w:tc>
      </w:tr>
      <w:tr w14:paraId="1DC64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970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4357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73E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687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B8F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8BF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469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749B1">
            <w:pPr>
              <w:jc w:val="center"/>
            </w:pPr>
            <w:r>
              <w:rPr>
                <w:rFonts w:ascii="宋体" w:hAnsi="宋体" w:eastAsia="宋体"/>
                <w:sz w:val="16"/>
              </w:rPr>
              <w:t>—</w:t>
            </w:r>
          </w:p>
        </w:tc>
      </w:tr>
      <w:tr w14:paraId="6B1B29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C981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D206C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A0A39B">
            <w:pPr>
              <w:jc w:val="center"/>
            </w:pPr>
            <w:r>
              <w:rPr>
                <w:rFonts w:ascii="宋体" w:hAnsi="宋体" w:eastAsia="宋体"/>
                <w:sz w:val="16"/>
              </w:rPr>
              <w:t>实际完成情况</w:t>
            </w:r>
          </w:p>
        </w:tc>
      </w:tr>
      <w:tr w14:paraId="599249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917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8EFF91">
            <w:pPr>
              <w:jc w:val="both"/>
            </w:pPr>
            <w:r>
              <w:rPr>
                <w:rFonts w:ascii="宋体" w:hAnsi="宋体" w:eastAsia="宋体"/>
                <w:sz w:val="16"/>
              </w:rPr>
              <w:t>总体描述申请项目预算资金数额、用途和效果。</w:t>
            </w:r>
            <w:r>
              <w:rPr>
                <w:rFonts w:ascii="宋体" w:hAnsi="宋体" w:eastAsia="宋体"/>
                <w:sz w:val="16"/>
              </w:rPr>
              <w:br w:type="textWrapping"/>
            </w:r>
            <w:r>
              <w:rPr>
                <w:rFonts w:ascii="宋体" w:hAnsi="宋体" w:eastAsia="宋体"/>
                <w:sz w:val="16"/>
              </w:rPr>
              <w:t xml:space="preserve">    1.购买民俗馆民俗文化产品3.31元。</w:t>
            </w:r>
            <w:r>
              <w:rPr>
                <w:rFonts w:ascii="宋体" w:hAnsi="宋体" w:eastAsia="宋体"/>
                <w:sz w:val="16"/>
              </w:rPr>
              <w:br w:type="textWrapping"/>
            </w:r>
            <w:r>
              <w:rPr>
                <w:rFonts w:ascii="宋体" w:hAnsi="宋体" w:eastAsia="宋体"/>
                <w:sz w:val="16"/>
              </w:rPr>
              <w:t xml:space="preserve">    为进一步深入预算绩效管理理念，提高财政资金使用效益，确保本年度预算项目顺利完成、资金合规使用，发挥财政资金预期效益。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149BCF">
            <w:pPr>
              <w:jc w:val="both"/>
            </w:pPr>
            <w:r>
              <w:rPr>
                <w:rFonts w:hint="eastAsia" w:ascii="宋体" w:hAnsi="宋体"/>
                <w:sz w:val="16"/>
                <w:lang w:eastAsia="zh-CN"/>
              </w:rPr>
              <w:t>截至2023年</w:t>
            </w:r>
            <w:r>
              <w:rPr>
                <w:rFonts w:ascii="宋体" w:hAnsi="宋体" w:eastAsia="宋体"/>
                <w:sz w:val="16"/>
              </w:rPr>
              <w:t>12月31日止，总执行数为3.17万元，主要用于: 保护自治区民俗非遗展示区级代表性项目 为进一步深入预算绩效管理理念，提高财政资金使用效益，确保本年度预算项目顺利完成、资金合规使用，发挥财政资金预期效益。</w:t>
            </w:r>
          </w:p>
        </w:tc>
      </w:tr>
      <w:tr w14:paraId="424950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4382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E6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BB5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C8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618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F8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C01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CB3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3B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7A0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2FA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26A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53FF4">
            <w:pPr>
              <w:jc w:val="center"/>
            </w:pPr>
            <w:r>
              <w:rPr>
                <w:rFonts w:ascii="宋体" w:hAnsi="宋体" w:eastAsia="宋体"/>
                <w:sz w:val="16"/>
              </w:rPr>
              <w:t>偏差原因分析及改进措施</w:t>
            </w:r>
          </w:p>
        </w:tc>
      </w:tr>
      <w:tr w14:paraId="5503B8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6067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808DC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3B22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2DF0">
            <w:pPr>
              <w:jc w:val="center"/>
            </w:pPr>
            <w:r>
              <w:rPr>
                <w:rFonts w:ascii="宋体" w:hAnsi="宋体" w:eastAsia="宋体"/>
                <w:sz w:val="16"/>
              </w:rPr>
              <w:t>保护自治区民俗非遗展示区级代表性项目数量(个）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18D41">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AD2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2314">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F7FE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35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2A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FF2B2">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6684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D6266">
            <w:pPr>
              <w:jc w:val="center"/>
            </w:pPr>
          </w:p>
        </w:tc>
      </w:tr>
      <w:tr w14:paraId="644975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1B5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831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16A8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8C7C">
            <w:pPr>
              <w:jc w:val="center"/>
            </w:pPr>
            <w:r>
              <w:rPr>
                <w:rFonts w:ascii="宋体" w:hAnsi="宋体" w:eastAsia="宋体"/>
                <w:sz w:val="16"/>
              </w:rPr>
              <w:t>绩效考评率（%）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D962">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B2C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96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DF3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32A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98E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21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109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4C30F">
            <w:pPr>
              <w:jc w:val="center"/>
            </w:pPr>
          </w:p>
        </w:tc>
      </w:tr>
      <w:tr w14:paraId="0389AA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9AE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0F7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1B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4B00">
            <w:pPr>
              <w:jc w:val="center"/>
            </w:pPr>
            <w:r>
              <w:rPr>
                <w:rFonts w:ascii="宋体" w:hAnsi="宋体" w:eastAsia="宋体"/>
                <w:sz w:val="16"/>
              </w:rPr>
              <w:t>民俗非遗展品保护活动及时开展率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A23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90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E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03A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99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4A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F5C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932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5EF0F">
            <w:pPr>
              <w:jc w:val="center"/>
            </w:pPr>
          </w:p>
        </w:tc>
      </w:tr>
      <w:tr w14:paraId="5B2DEB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963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5F50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1FA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47C58">
            <w:pPr>
              <w:jc w:val="center"/>
            </w:pPr>
            <w:r>
              <w:rPr>
                <w:rFonts w:ascii="宋体" w:hAnsi="宋体" w:eastAsia="宋体"/>
                <w:sz w:val="16"/>
              </w:rPr>
              <w:t>自治区级代表性项目补助费（万元）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D91BF">
            <w:pPr>
              <w:jc w:val="center"/>
            </w:pPr>
            <w:r>
              <w:rPr>
                <w:rFonts w:ascii="宋体" w:hAnsi="宋体" w:eastAsia="宋体"/>
                <w:sz w:val="16"/>
              </w:rPr>
              <w:t>&lt;=3.31万元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91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89B1">
            <w:pPr>
              <w:jc w:val="center"/>
            </w:pPr>
            <w:r>
              <w:rPr>
                <w:rFonts w:ascii="宋体" w:hAnsi="宋体" w:eastAsia="宋体"/>
                <w:sz w:val="16"/>
              </w:rPr>
              <w:t>3.31万元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267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2E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7E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D237">
            <w:pPr>
              <w:jc w:val="center"/>
            </w:pPr>
            <w:r>
              <w:rPr>
                <w:rFonts w:ascii="宋体" w:hAnsi="宋体" w:eastAsia="宋体"/>
                <w:sz w:val="16"/>
              </w:rPr>
              <w:t>=3.17万元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C4F9">
            <w:pPr>
              <w:jc w:val="center"/>
            </w:pPr>
            <w:r>
              <w:rPr>
                <w:rFonts w:ascii="宋体" w:hAnsi="宋体" w:eastAsia="宋体"/>
                <w:sz w:val="16"/>
              </w:rPr>
              <w:t>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DA77B">
            <w:pPr>
              <w:jc w:val="center"/>
            </w:pPr>
            <w:r>
              <w:rPr>
                <w:rFonts w:ascii="宋体" w:hAnsi="宋体" w:eastAsia="宋体"/>
                <w:sz w:val="16"/>
              </w:rPr>
              <w:t>偏差原因：该项目2024年年底，资金没使用完成，但工作已完成。改进措施按时</w:t>
            </w:r>
          </w:p>
        </w:tc>
      </w:tr>
      <w:tr w14:paraId="1E476B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092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A5D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D8C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39A0">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CA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9F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73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53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98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F6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0BC8C">
            <w:pPr>
              <w:jc w:val="center"/>
            </w:pPr>
            <w:r>
              <w:rPr>
                <w:rFonts w:ascii="宋体" w:hAnsi="宋体" w:eastAsia="宋体"/>
                <w:sz w:val="16"/>
              </w:rPr>
              <w:t>=95.8%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0D8CB">
            <w:pPr>
              <w:jc w:val="center"/>
            </w:pPr>
            <w:r>
              <w:rPr>
                <w:rFonts w:ascii="宋体" w:hAnsi="宋体" w:eastAsia="宋体"/>
                <w:sz w:val="16"/>
              </w:rPr>
              <w:t>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3135B">
            <w:pPr>
              <w:jc w:val="center"/>
            </w:pPr>
            <w:r>
              <w:rPr>
                <w:rFonts w:ascii="宋体" w:hAnsi="宋体" w:eastAsia="宋体"/>
                <w:sz w:val="16"/>
              </w:rPr>
              <w:t>偏差原因：该项目2024年年底，资金没使用完成，但工作已完成。改进措施按时</w:t>
            </w:r>
          </w:p>
        </w:tc>
      </w:tr>
      <w:tr w14:paraId="1784B8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CED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0D6F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61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3332">
            <w:pPr>
              <w:jc w:val="center"/>
            </w:pPr>
            <w:r>
              <w:rPr>
                <w:rFonts w:ascii="宋体" w:hAnsi="宋体" w:eastAsia="宋体"/>
                <w:sz w:val="16"/>
              </w:rPr>
              <w:t>非遗传承人群增长率（%）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560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6B7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27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22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AC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C112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5A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AACD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9E5E0">
            <w:pPr>
              <w:jc w:val="center"/>
            </w:pPr>
          </w:p>
        </w:tc>
      </w:tr>
      <w:tr w14:paraId="14C981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6D8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83908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A63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57A44">
            <w:pPr>
              <w:jc w:val="center"/>
            </w:pPr>
            <w:r>
              <w:rPr>
                <w:rFonts w:ascii="宋体" w:hAnsi="宋体" w:eastAsia="宋体"/>
                <w:sz w:val="16"/>
              </w:rPr>
              <w:t>非遗保护与传承活动受益公众满意率（%)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B7E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DE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EB8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DB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413A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89F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628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C96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7CBD6">
            <w:pPr>
              <w:jc w:val="center"/>
            </w:pPr>
            <w:r>
              <w:rPr>
                <w:rFonts w:ascii="宋体" w:hAnsi="宋体" w:eastAsia="宋体"/>
                <w:sz w:val="16"/>
              </w:rPr>
              <w:t>偏差原因：该项目2024年年底，资金没使用完成，但工作已完成。改进措施按时</w:t>
            </w:r>
          </w:p>
        </w:tc>
      </w:tr>
      <w:tr w14:paraId="0433F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565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00D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EB3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0AEAA">
            <w:pPr>
              <w:jc w:val="center"/>
            </w:pPr>
            <w:r>
              <w:rPr>
                <w:rFonts w:ascii="宋体" w:hAnsi="宋体" w:eastAsia="宋体"/>
                <w:sz w:val="16"/>
              </w:rPr>
              <w:t>自治区级非遗代表性传承人满意度（%）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6A67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1D6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BDE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21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597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8A7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CA0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3F0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54E55">
            <w:pPr>
              <w:jc w:val="center"/>
            </w:pPr>
            <w:r>
              <w:rPr>
                <w:rFonts w:ascii="宋体" w:hAnsi="宋体" w:eastAsia="宋体"/>
                <w:sz w:val="16"/>
              </w:rPr>
              <w:t>偏差原因：该项目2024年年底，资金没使用完成，但工作已完成。改进措施按时</w:t>
            </w:r>
          </w:p>
        </w:tc>
      </w:tr>
      <w:tr w14:paraId="266278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5CE3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14F0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BFA7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288774">
            <w:pPr>
              <w:jc w:val="center"/>
            </w:pPr>
            <w:r>
              <w:rPr>
                <w:rFonts w:ascii="宋体" w:hAnsi="宋体" w:eastAsia="宋体"/>
                <w:sz w:val="16"/>
              </w:rPr>
              <w:t>96.84分</w:t>
            </w:r>
          </w:p>
        </w:tc>
      </w:tr>
    </w:tbl>
    <w:p w14:paraId="2C12B099">
      <w:r>
        <w:br w:type="page"/>
      </w:r>
    </w:p>
    <w:p w14:paraId="0BA27020">
      <w:pPr>
        <w:spacing w:line="640" w:lineRule="exact"/>
        <w:ind w:firstLine="640"/>
        <w:jc w:val="both"/>
        <w:outlineLvl w:val="2"/>
      </w:pPr>
      <w:r>
        <w:rPr>
          <w:rFonts w:ascii="黑体" w:hAnsi="黑体" w:eastAsia="黑体"/>
          <w:sz w:val="32"/>
        </w:rPr>
        <w:t>十二、其他需说明的事项</w:t>
      </w:r>
    </w:p>
    <w:p w14:paraId="508AADEB">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58951F03">
      <w:r>
        <w:br w:type="page"/>
      </w:r>
    </w:p>
    <w:p w14:paraId="254CAD5C">
      <w:pPr>
        <w:spacing w:line="240" w:lineRule="auto"/>
        <w:jc w:val="center"/>
        <w:outlineLvl w:val="1"/>
      </w:pPr>
      <w:r>
        <w:rPr>
          <w:rFonts w:ascii="黑体" w:hAnsi="黑体" w:eastAsia="黑体"/>
          <w:sz w:val="32"/>
        </w:rPr>
        <w:t>第三部分 专业名词解释</w:t>
      </w:r>
    </w:p>
    <w:p w14:paraId="3E0C773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F01A81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30B21B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2AF804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3B0C1E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0709ED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567917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DFB1C0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16BF4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FB1B09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5242D3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624301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1389A5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C18CDF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24EA09B">
      <w:r>
        <w:br w:type="page"/>
      </w:r>
    </w:p>
    <w:p w14:paraId="6A83C15C">
      <w:pPr>
        <w:spacing w:line="240" w:lineRule="auto"/>
        <w:jc w:val="center"/>
        <w:outlineLvl w:val="1"/>
      </w:pPr>
      <w:r>
        <w:rPr>
          <w:rFonts w:ascii="黑体" w:hAnsi="黑体" w:eastAsia="黑体"/>
          <w:sz w:val="32"/>
        </w:rPr>
        <w:t>第四部分 部门决算报表（见附表）</w:t>
      </w:r>
    </w:p>
    <w:p w14:paraId="5C3F2ABC">
      <w:pPr>
        <w:spacing w:line="240" w:lineRule="auto"/>
        <w:ind w:firstLine="640"/>
        <w:jc w:val="both"/>
      </w:pPr>
      <w:r>
        <w:rPr>
          <w:rFonts w:ascii="仿宋_GB2312" w:hAnsi="仿宋_GB2312" w:eastAsia="仿宋_GB2312"/>
          <w:b w:val="0"/>
          <w:sz w:val="32"/>
        </w:rPr>
        <w:t>一、《收入支出决算总表》</w:t>
      </w:r>
    </w:p>
    <w:p w14:paraId="5A369F7E">
      <w:pPr>
        <w:spacing w:line="240" w:lineRule="auto"/>
        <w:ind w:firstLine="640"/>
        <w:jc w:val="both"/>
      </w:pPr>
      <w:r>
        <w:rPr>
          <w:rFonts w:ascii="仿宋_GB2312" w:hAnsi="仿宋_GB2312" w:eastAsia="仿宋_GB2312"/>
          <w:b w:val="0"/>
          <w:sz w:val="32"/>
        </w:rPr>
        <w:t>二、《收入决算表》</w:t>
      </w:r>
    </w:p>
    <w:p w14:paraId="7ECABA0A">
      <w:pPr>
        <w:spacing w:line="240" w:lineRule="auto"/>
        <w:ind w:firstLine="640"/>
        <w:jc w:val="both"/>
      </w:pPr>
      <w:r>
        <w:rPr>
          <w:rFonts w:ascii="仿宋_GB2312" w:hAnsi="仿宋_GB2312" w:eastAsia="仿宋_GB2312"/>
          <w:b w:val="0"/>
          <w:sz w:val="32"/>
        </w:rPr>
        <w:t>三、《支出决算表》</w:t>
      </w:r>
    </w:p>
    <w:p w14:paraId="4A02EAAE">
      <w:pPr>
        <w:spacing w:line="240" w:lineRule="auto"/>
        <w:ind w:firstLine="640"/>
        <w:jc w:val="both"/>
      </w:pPr>
      <w:r>
        <w:rPr>
          <w:rFonts w:ascii="仿宋_GB2312" w:hAnsi="仿宋_GB2312" w:eastAsia="仿宋_GB2312"/>
          <w:b w:val="0"/>
          <w:sz w:val="32"/>
        </w:rPr>
        <w:t>四、《财政拨款收入支出决算总表》</w:t>
      </w:r>
    </w:p>
    <w:p w14:paraId="3DB7C9D0">
      <w:pPr>
        <w:spacing w:line="240" w:lineRule="auto"/>
        <w:ind w:firstLine="640"/>
        <w:jc w:val="both"/>
      </w:pPr>
      <w:r>
        <w:rPr>
          <w:rFonts w:ascii="仿宋_GB2312" w:hAnsi="仿宋_GB2312" w:eastAsia="仿宋_GB2312"/>
          <w:b w:val="0"/>
          <w:sz w:val="32"/>
        </w:rPr>
        <w:t>五、《一般公共预算财政拨款支出决算表》</w:t>
      </w:r>
    </w:p>
    <w:p w14:paraId="7BBE10A4">
      <w:pPr>
        <w:spacing w:line="240" w:lineRule="auto"/>
        <w:ind w:firstLine="640"/>
        <w:jc w:val="both"/>
      </w:pPr>
      <w:r>
        <w:rPr>
          <w:rFonts w:ascii="仿宋_GB2312" w:hAnsi="仿宋_GB2312" w:eastAsia="仿宋_GB2312"/>
          <w:b w:val="0"/>
          <w:sz w:val="32"/>
        </w:rPr>
        <w:t>六、《一般公共预算财政拨款基本支出决算表》</w:t>
      </w:r>
    </w:p>
    <w:p w14:paraId="2A257D45">
      <w:pPr>
        <w:spacing w:line="240" w:lineRule="auto"/>
        <w:ind w:firstLine="640"/>
        <w:jc w:val="both"/>
      </w:pPr>
      <w:r>
        <w:rPr>
          <w:rFonts w:ascii="仿宋_GB2312" w:hAnsi="仿宋_GB2312" w:eastAsia="仿宋_GB2312"/>
          <w:b w:val="0"/>
          <w:sz w:val="32"/>
        </w:rPr>
        <w:t>七、《政府性基金预算财政拨款收入支出决算表》</w:t>
      </w:r>
    </w:p>
    <w:p w14:paraId="4704B5F9">
      <w:pPr>
        <w:spacing w:line="240" w:lineRule="auto"/>
        <w:ind w:firstLine="640"/>
        <w:jc w:val="both"/>
      </w:pPr>
      <w:r>
        <w:rPr>
          <w:rFonts w:ascii="仿宋_GB2312" w:hAnsi="仿宋_GB2312" w:eastAsia="仿宋_GB2312"/>
          <w:b w:val="0"/>
          <w:sz w:val="32"/>
        </w:rPr>
        <w:t>八、《国有资本经营预算财政拨款收入支出决算表》</w:t>
      </w:r>
    </w:p>
    <w:p w14:paraId="76EBC105">
      <w:pPr>
        <w:spacing w:line="240" w:lineRule="auto"/>
        <w:ind w:firstLine="640"/>
        <w:jc w:val="both"/>
      </w:pPr>
      <w:r>
        <w:rPr>
          <w:rFonts w:ascii="仿宋_GB2312" w:hAnsi="仿宋_GB2312" w:eastAsia="仿宋_GB2312"/>
          <w:b w:val="0"/>
          <w:sz w:val="32"/>
        </w:rPr>
        <w:t>九、《财政拨款“三公”经费支出决算表》</w:t>
      </w:r>
    </w:p>
    <w:p w14:paraId="2A946FF2">
      <w:pPr>
        <w:spacing w:line="240" w:lineRule="auto"/>
        <w:ind w:firstLine="640"/>
        <w:jc w:val="both"/>
      </w:pPr>
    </w:p>
    <w:p w14:paraId="76163348">
      <w:pPr>
        <w:spacing w:line="240" w:lineRule="auto"/>
        <w:ind w:firstLine="640"/>
        <w:jc w:val="both"/>
      </w:pPr>
    </w:p>
    <w:p w14:paraId="64ECC663">
      <w:pPr>
        <w:spacing w:line="240" w:lineRule="auto"/>
        <w:ind w:firstLine="640"/>
        <w:jc w:val="both"/>
      </w:pPr>
    </w:p>
    <w:p w14:paraId="01A5EC5A">
      <w:pPr>
        <w:spacing w:line="240" w:lineRule="auto"/>
        <w:ind w:firstLine="640"/>
        <w:jc w:val="both"/>
      </w:pPr>
    </w:p>
    <w:p w14:paraId="5F85392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82729C5-BB6E-4A9F-9DFA-01547DD6A65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A607322-91E2-489D-A26F-861A413C186E}"/>
  </w:font>
  <w:font w:name="仿宋_GB2312">
    <w:altName w:val="仿宋"/>
    <w:panose1 w:val="02010609030101010101"/>
    <w:charset w:val="86"/>
    <w:family w:val="modern"/>
    <w:pitch w:val="default"/>
    <w:sig w:usb0="00000000" w:usb1="00000000" w:usb2="00000000" w:usb3="00000000" w:csb0="00040000" w:csb1="00000000"/>
    <w:embedRegular r:id="rId3" w:fontKey="{A1609E21-51D7-4211-BE4E-91915CFE2FA2}"/>
  </w:font>
  <w:font w:name="楷体_GB2312">
    <w:altName w:val="楷体"/>
    <w:panose1 w:val="00000000000000000000"/>
    <w:charset w:val="00"/>
    <w:family w:val="auto"/>
    <w:pitch w:val="default"/>
    <w:sig w:usb0="00000000" w:usb1="00000000" w:usb2="00000000" w:usb3="00000000" w:csb0="00000000" w:csb1="00000000"/>
    <w:embedRegular r:id="rId4" w:fontKey="{96AF2CBA-F9B5-4E24-A76A-90CE51C052F4}"/>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681C1E"/>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0C7F41"/>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96E1086"/>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4178</Words>
  <Characters>4815</Characters>
  <Lines>0</Lines>
  <Paragraphs>0</Paragraphs>
  <TotalTime>7</TotalTime>
  <ScaleCrop>false</ScaleCrop>
  <LinksUpToDate>false</LinksUpToDate>
  <CharactersWithSpaces>4823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2025-09-02T03:54:54Z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eyJoZGlkIjoiZjZjY2YzNDY3YWM4YThjNjdkZTk2MDAwYjE2OGQzNDQiLCJ1c2VySWQiOiIyNTk4NTcxMjUifQ==</vt:lpwstr>
  </property>
</Properties>
</file>