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01E7A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克孜勒苏柯尔克孜自治州信访局2024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5368C3">
      <w:r>
        <w:br w:type="page"/>
      </w:r>
    </w:p>
    <w:p w14:paraId="19439332">
      <w:pPr>
        <w:spacing w:line="640" w:lineRule="exact"/>
        <w:jc w:val="center"/>
        <w:outlineLvl w:val="1"/>
      </w:pPr>
      <w:r>
        <w:rPr>
          <w:rFonts w:ascii="黑体" w:hAnsi="黑体" w:eastAsia="黑体"/>
          <w:sz w:val="32"/>
        </w:rPr>
        <w:t>第一部分 单位概况</w:t>
      </w:r>
    </w:p>
    <w:p w14:paraId="0D7E5C9B">
      <w:pPr>
        <w:spacing w:line="640" w:lineRule="exact"/>
        <w:ind w:firstLine="640"/>
        <w:jc w:val="both"/>
        <w:outlineLvl w:val="2"/>
      </w:pPr>
      <w:r>
        <w:rPr>
          <w:rFonts w:ascii="黑体" w:hAnsi="黑体" w:eastAsia="黑体"/>
          <w:sz w:val="32"/>
        </w:rPr>
        <w:t>一、主要职能</w:t>
      </w:r>
    </w:p>
    <w:p w14:paraId="28524FA3">
      <w:pPr>
        <w:spacing w:line="580" w:lineRule="exact"/>
        <w:ind w:firstLine="640"/>
        <w:jc w:val="both"/>
      </w:pPr>
      <w:r>
        <w:rPr>
          <w:rFonts w:ascii="仿宋_GB2312" w:hAnsi="仿宋_GB2312" w:eastAsia="仿宋_GB2312"/>
          <w:sz w:val="32"/>
        </w:rPr>
        <w:t>（1）贯彻落实自治区、自治州党委、政府及上级主管部门（单位）关于信访工作的方针、政策和法规，指导自治州信访工作。</w:t>
      </w:r>
    </w:p>
    <w:p w14:paraId="31FF59AB">
      <w:pPr>
        <w:spacing w:line="580" w:lineRule="exact"/>
        <w:ind w:firstLine="640"/>
        <w:jc w:val="both"/>
      </w:pPr>
      <w:r>
        <w:rPr>
          <w:rFonts w:ascii="仿宋_GB2312" w:hAnsi="仿宋_GB2312" w:eastAsia="仿宋_GB2312"/>
          <w:sz w:val="32"/>
        </w:rPr>
        <w:t>（2）根据自治区</w:t>
      </w:r>
      <w:r>
        <w:rPr>
          <w:rFonts w:hint="eastAsia" w:ascii="仿宋_GB2312" w:hAnsi="仿宋_GB2312" w:eastAsia="仿宋_GB2312"/>
          <w:sz w:val="32"/>
          <w:lang w:eastAsia="zh-CN"/>
        </w:rPr>
        <w:t>有关</w:t>
      </w:r>
      <w:r>
        <w:rPr>
          <w:rFonts w:ascii="仿宋_GB2312" w:hAnsi="仿宋_GB2312" w:eastAsia="仿宋_GB2312"/>
          <w:sz w:val="32"/>
        </w:rPr>
        <w:t>信访工作的方针、政策和法规，结合自治州信访工作实际,研究制定贯彻、宣传、落实的措施、办法并组织实施。深入各县(市)、乡(镇)调查研究,总结推广好的做法、经验,提出改进和加强信访工作的意见和建议。代表自治州党委、人民政府受理人民群众给自治州党委、人民政府及其主要领导人的来信，为来信来访群众提供有关法律、法规和政策咨询服务,向自治州党委、人民政府反映来信来访提出的重要建议、意见和问题。负责“州长信箱”的日常受理、处理、</w:t>
      </w:r>
      <w:r>
        <w:rPr>
          <w:rFonts w:hint="eastAsia" w:ascii="仿宋_GB2312" w:hAnsi="仿宋_GB2312" w:eastAsia="仿宋_GB2312"/>
          <w:sz w:val="32"/>
          <w:lang w:eastAsia="zh-CN"/>
        </w:rPr>
        <w:t>查</w:t>
      </w:r>
      <w:r>
        <w:rPr>
          <w:rFonts w:ascii="仿宋_GB2312" w:hAnsi="仿宋_GB2312" w:eastAsia="仿宋_GB2312"/>
          <w:sz w:val="32"/>
        </w:rPr>
        <w:t>办工作。</w:t>
      </w:r>
    </w:p>
    <w:p w14:paraId="7BCB4C72">
      <w:pPr>
        <w:spacing w:line="580" w:lineRule="exact"/>
        <w:ind w:firstLine="640"/>
        <w:jc w:val="both"/>
      </w:pPr>
      <w:r>
        <w:rPr>
          <w:rFonts w:ascii="仿宋_GB2312" w:hAnsi="仿宋_GB2312" w:eastAsia="仿宋_GB2312"/>
          <w:sz w:val="32"/>
        </w:rPr>
        <w:t>（3）综合分析研判信访形势,开展调</w:t>
      </w:r>
      <w:r>
        <w:rPr>
          <w:rFonts w:hint="eastAsia" w:ascii="仿宋_GB2312" w:hAnsi="仿宋_GB2312" w:eastAsia="仿宋_GB2312"/>
          <w:sz w:val="32"/>
          <w:lang w:eastAsia="zh-CN"/>
        </w:rPr>
        <w:t>查</w:t>
      </w:r>
      <w:r>
        <w:rPr>
          <w:rFonts w:ascii="仿宋_GB2312" w:hAnsi="仿宋_GB2312" w:eastAsia="仿宋_GB2312"/>
          <w:sz w:val="32"/>
        </w:rPr>
        <w:t>研究,征集群众建议,及时向自治州党委、政府提供信访信息。</w:t>
      </w:r>
    </w:p>
    <w:p w14:paraId="11DCE795">
      <w:pPr>
        <w:spacing w:line="580" w:lineRule="exact"/>
        <w:ind w:firstLine="640"/>
        <w:jc w:val="both"/>
      </w:pPr>
      <w:r>
        <w:rPr>
          <w:rFonts w:ascii="仿宋_GB2312" w:hAnsi="仿宋_GB2312" w:eastAsia="仿宋_GB2312"/>
          <w:sz w:val="32"/>
        </w:rPr>
        <w:t>（4）承办上级领导机关、自治州党委和自治州人民政府领导交办的信访事项,督促检查领导批示件落实情况;向有关单位交办信访事项;督促、</w:t>
      </w:r>
      <w:r>
        <w:rPr>
          <w:rFonts w:hint="eastAsia" w:ascii="仿宋_GB2312" w:hAnsi="仿宋_GB2312" w:eastAsia="仿宋_GB2312"/>
          <w:sz w:val="32"/>
          <w:lang w:eastAsia="zh-CN"/>
        </w:rPr>
        <w:t>检查</w:t>
      </w:r>
      <w:r>
        <w:rPr>
          <w:rFonts w:ascii="仿宋_GB2312" w:hAnsi="仿宋_GB2312" w:eastAsia="仿宋_GB2312"/>
          <w:sz w:val="32"/>
        </w:rPr>
        <w:t>和反馈重要信访事项的处理和落实情况。</w:t>
      </w:r>
    </w:p>
    <w:p w14:paraId="61E1B9C2">
      <w:pPr>
        <w:spacing w:line="580" w:lineRule="exact"/>
        <w:ind w:firstLine="640"/>
        <w:jc w:val="both"/>
      </w:pPr>
      <w:r>
        <w:rPr>
          <w:rFonts w:ascii="仿宋_GB2312" w:hAnsi="仿宋_GB2312" w:eastAsia="仿宋_GB2312"/>
          <w:sz w:val="32"/>
        </w:rPr>
        <w:t>（5）协调处理跨县(市)、跨部门（单位）信访事项、群众集体上访和突发上访事件;检查、协调指导自治州党、政、军各部门（单位）的信访工作和各县(市)机关的信访工作。</w:t>
      </w:r>
    </w:p>
    <w:p w14:paraId="12C997DF">
      <w:pPr>
        <w:spacing w:line="580" w:lineRule="exact"/>
        <w:ind w:firstLine="640"/>
        <w:jc w:val="both"/>
      </w:pPr>
      <w:r>
        <w:rPr>
          <w:rFonts w:ascii="仿宋_GB2312" w:hAnsi="仿宋_GB2312" w:eastAsia="仿宋_GB2312"/>
          <w:sz w:val="32"/>
        </w:rPr>
        <w:t>（6）宣传和贯彻落实《信访条例》，了解掌握信访工作队伍建设情况,组织信访干部的培训,加强指导信访部门（单位）信息化建设。</w:t>
      </w:r>
    </w:p>
    <w:p w14:paraId="22B92C3F">
      <w:pPr>
        <w:spacing w:line="580" w:lineRule="exact"/>
        <w:ind w:firstLine="640"/>
        <w:jc w:val="both"/>
      </w:pPr>
      <w:r>
        <w:rPr>
          <w:rFonts w:ascii="仿宋_GB2312" w:hAnsi="仿宋_GB2312" w:eastAsia="仿宋_GB2312"/>
          <w:sz w:val="32"/>
        </w:rPr>
        <w:t>（7）完成自治州党委、自治州人民政府交办的其他任务。</w:t>
      </w:r>
    </w:p>
    <w:p w14:paraId="0DBBBB04">
      <w:pPr>
        <w:spacing w:line="640" w:lineRule="exact"/>
        <w:ind w:firstLine="640"/>
        <w:jc w:val="both"/>
        <w:outlineLvl w:val="2"/>
      </w:pPr>
      <w:r>
        <w:rPr>
          <w:rFonts w:ascii="黑体" w:hAnsi="黑体" w:eastAsia="黑体"/>
          <w:sz w:val="32"/>
        </w:rPr>
        <w:t>二、机构设置及人员情况</w:t>
      </w:r>
    </w:p>
    <w:p w14:paraId="0EC6010D">
      <w:pPr>
        <w:spacing w:line="580" w:lineRule="exact"/>
        <w:ind w:firstLine="640"/>
        <w:jc w:val="both"/>
      </w:pPr>
      <w:r>
        <w:rPr>
          <w:rFonts w:ascii="仿宋_GB2312" w:hAnsi="仿宋_GB2312" w:eastAsia="仿宋_GB2312"/>
          <w:sz w:val="32"/>
        </w:rPr>
        <w:t>克孜勒苏柯尔克孜自治州信访局2024年度，实有人数19人，其中：在职人员13人，减少2人；离休人员0人，增加0人；退休人员6人,增加1人。</w:t>
      </w:r>
    </w:p>
    <w:p w14:paraId="38FD98F5">
      <w:pPr>
        <w:spacing w:line="580" w:lineRule="exact"/>
        <w:ind w:firstLine="640"/>
        <w:jc w:val="both"/>
      </w:pPr>
      <w:r>
        <w:rPr>
          <w:rFonts w:ascii="仿宋_GB2312" w:hAnsi="仿宋_GB2312" w:eastAsia="仿宋_GB2312"/>
          <w:sz w:val="32"/>
        </w:rPr>
        <w:t>克孜勒苏柯尔克孜自治州信访局无下属预算单位，下设3个科室，分别是：办公室、督查科、信访接待和信息服务中心。</w:t>
      </w:r>
    </w:p>
    <w:p w14:paraId="0EA33C94">
      <w:r>
        <w:br w:type="page"/>
      </w:r>
    </w:p>
    <w:p w14:paraId="5EA308E6">
      <w:pPr>
        <w:spacing w:line="240" w:lineRule="auto"/>
        <w:jc w:val="center"/>
        <w:outlineLvl w:val="1"/>
      </w:pPr>
      <w:r>
        <w:rPr>
          <w:rFonts w:ascii="黑体" w:hAnsi="黑体" w:eastAsia="黑体"/>
          <w:sz w:val="32"/>
        </w:rPr>
        <w:t>第二部分 部门决算情况说明</w:t>
      </w:r>
    </w:p>
    <w:p w14:paraId="7E0FE5EF">
      <w:pPr>
        <w:spacing w:line="640" w:lineRule="exact"/>
        <w:ind w:firstLine="640"/>
        <w:jc w:val="both"/>
        <w:outlineLvl w:val="2"/>
      </w:pPr>
      <w:r>
        <w:rPr>
          <w:rFonts w:ascii="黑体" w:hAnsi="黑体" w:eastAsia="黑体"/>
          <w:sz w:val="32"/>
        </w:rPr>
        <w:t>一、收入支出决算总体情况说明</w:t>
      </w:r>
    </w:p>
    <w:p w14:paraId="5394C619">
      <w:pPr>
        <w:spacing w:line="580" w:lineRule="exact"/>
        <w:ind w:firstLine="640"/>
        <w:jc w:val="both"/>
      </w:pPr>
      <w:r>
        <w:rPr>
          <w:rFonts w:ascii="仿宋_GB2312" w:hAnsi="仿宋_GB2312" w:eastAsia="仿宋_GB2312"/>
          <w:b/>
          <w:sz w:val="32"/>
        </w:rPr>
        <w:t>2024年度收入总计357.90万元，</w:t>
      </w:r>
      <w:r>
        <w:rPr>
          <w:rFonts w:ascii="仿宋_GB2312" w:hAnsi="仿宋_GB2312" w:eastAsia="仿宋_GB2312"/>
          <w:b w:val="0"/>
          <w:sz w:val="32"/>
        </w:rPr>
        <w:t>其中：本年收入合计357.90万元，使用非财政拨款结余（含专用结余）0.00万元，年初结转和结余0.00万元。</w:t>
      </w:r>
    </w:p>
    <w:p w14:paraId="66C7C3CF">
      <w:pPr>
        <w:spacing w:line="580" w:lineRule="exact"/>
        <w:ind w:firstLine="640"/>
        <w:jc w:val="both"/>
      </w:pPr>
      <w:r>
        <w:rPr>
          <w:rFonts w:ascii="仿宋_GB2312" w:hAnsi="仿宋_GB2312" w:eastAsia="仿宋_GB2312"/>
          <w:b/>
          <w:sz w:val="32"/>
        </w:rPr>
        <w:t>2024年度支出总计357.90万元，</w:t>
      </w:r>
      <w:r>
        <w:rPr>
          <w:rFonts w:ascii="仿宋_GB2312" w:hAnsi="仿宋_GB2312" w:eastAsia="仿宋_GB2312"/>
          <w:b w:val="0"/>
          <w:sz w:val="32"/>
        </w:rPr>
        <w:t>其中：本年支出合计357.90万元，结余分配0.00万元，年末结转和结余0.00万元。</w:t>
      </w:r>
    </w:p>
    <w:p w14:paraId="41A1BD86">
      <w:pPr>
        <w:spacing w:line="580" w:lineRule="exact"/>
        <w:ind w:firstLine="640"/>
        <w:jc w:val="both"/>
      </w:pPr>
      <w:r>
        <w:rPr>
          <w:rFonts w:ascii="仿宋_GB2312" w:hAnsi="仿宋_GB2312" w:eastAsia="仿宋_GB2312"/>
          <w:b w:val="0"/>
          <w:sz w:val="32"/>
        </w:rPr>
        <w:t>收入支出总体与上年相比，增加36.90万元，增长11.50%，主要原因是：1.本年在职人员工资调增，社保、公积金基数调增，人员经费增加。2.增加为民办实事经费及第一书记工作经费项目。</w:t>
      </w:r>
    </w:p>
    <w:p w14:paraId="0948B961">
      <w:pPr>
        <w:spacing w:line="640" w:lineRule="exact"/>
        <w:ind w:firstLine="640"/>
        <w:jc w:val="both"/>
        <w:outlineLvl w:val="2"/>
      </w:pPr>
      <w:r>
        <w:rPr>
          <w:rFonts w:ascii="黑体" w:hAnsi="黑体" w:eastAsia="黑体"/>
          <w:sz w:val="32"/>
        </w:rPr>
        <w:t>二、收入决算情况说明</w:t>
      </w:r>
    </w:p>
    <w:p w14:paraId="72BBF7E0">
      <w:pPr>
        <w:spacing w:line="580" w:lineRule="exact"/>
        <w:ind w:firstLine="640"/>
        <w:jc w:val="both"/>
      </w:pPr>
      <w:r>
        <w:rPr>
          <w:rFonts w:ascii="仿宋_GB2312" w:hAnsi="仿宋_GB2312" w:eastAsia="仿宋_GB2312"/>
          <w:b/>
          <w:sz w:val="32"/>
        </w:rPr>
        <w:t>本年收入357.90万元，</w:t>
      </w:r>
      <w:r>
        <w:rPr>
          <w:rFonts w:ascii="仿宋_GB2312" w:hAnsi="仿宋_GB2312" w:eastAsia="仿宋_GB2312"/>
          <w:b w:val="0"/>
          <w:sz w:val="32"/>
        </w:rPr>
        <w:t>其中：财政拨款收入357.90万元，占100.00%；上级补助收入0.00万元，占0.00%；事业收入0.00万元，占0.00%；经营收入0.00万元，占0.00%；附属单位上缴收入0.00万元，占0.00%；其他收入0.00万元，占0.00%。</w:t>
      </w:r>
    </w:p>
    <w:p w14:paraId="66676D90">
      <w:pPr>
        <w:spacing w:line="640" w:lineRule="exact"/>
        <w:ind w:firstLine="640"/>
        <w:jc w:val="both"/>
        <w:outlineLvl w:val="2"/>
      </w:pPr>
      <w:r>
        <w:rPr>
          <w:rFonts w:ascii="黑体" w:hAnsi="黑体" w:eastAsia="黑体"/>
          <w:sz w:val="32"/>
        </w:rPr>
        <w:t>三、支出决算情况说明</w:t>
      </w:r>
    </w:p>
    <w:p w14:paraId="04725F75">
      <w:pPr>
        <w:spacing w:line="580" w:lineRule="exact"/>
        <w:ind w:firstLine="640"/>
        <w:jc w:val="both"/>
      </w:pPr>
      <w:r>
        <w:rPr>
          <w:rFonts w:ascii="仿宋_GB2312" w:hAnsi="仿宋_GB2312" w:eastAsia="仿宋_GB2312"/>
          <w:b/>
          <w:sz w:val="32"/>
        </w:rPr>
        <w:t>本年支出357.90万元，</w:t>
      </w:r>
      <w:r>
        <w:rPr>
          <w:rFonts w:ascii="仿宋_GB2312" w:hAnsi="仿宋_GB2312" w:eastAsia="仿宋_GB2312"/>
          <w:b w:val="0"/>
          <w:sz w:val="32"/>
        </w:rPr>
        <w:t>其中：基本支出326.03万元，占91.10%；项目支出31.87万元，占8.90%；上缴上级支出0.00万元，占0.00%；经营支出0.00万元，占0.00%；对附属单位补助支出0.00万元，占0.00%。</w:t>
      </w:r>
    </w:p>
    <w:p w14:paraId="45AA0726">
      <w:pPr>
        <w:spacing w:line="640" w:lineRule="exact"/>
        <w:ind w:firstLine="640"/>
        <w:jc w:val="both"/>
        <w:outlineLvl w:val="2"/>
      </w:pPr>
      <w:r>
        <w:rPr>
          <w:rFonts w:ascii="黑体" w:hAnsi="黑体" w:eastAsia="黑体"/>
          <w:sz w:val="32"/>
        </w:rPr>
        <w:t>四、财政拨款收入支出决算总体情况说明</w:t>
      </w:r>
    </w:p>
    <w:p w14:paraId="7C9121E8">
      <w:pPr>
        <w:spacing w:line="580" w:lineRule="exact"/>
        <w:ind w:firstLine="640"/>
        <w:jc w:val="both"/>
      </w:pPr>
      <w:r>
        <w:rPr>
          <w:rFonts w:ascii="仿宋_GB2312" w:hAnsi="仿宋_GB2312" w:eastAsia="仿宋_GB2312"/>
          <w:b/>
          <w:sz w:val="32"/>
        </w:rPr>
        <w:t>2024年度财政拨款收入总计357.90万元，</w:t>
      </w:r>
      <w:r>
        <w:rPr>
          <w:rFonts w:ascii="仿宋_GB2312" w:hAnsi="仿宋_GB2312" w:eastAsia="仿宋_GB2312"/>
          <w:b w:val="0"/>
          <w:sz w:val="32"/>
        </w:rPr>
        <w:t>其中：年初财政拨款结转和结余0.00万元，本年财政拨款收入357.90万元。</w:t>
      </w:r>
      <w:r>
        <w:rPr>
          <w:rFonts w:ascii="仿宋_GB2312" w:hAnsi="仿宋_GB2312" w:eastAsia="仿宋_GB2312"/>
          <w:b/>
          <w:sz w:val="32"/>
        </w:rPr>
        <w:t>财政拨款支出总计357.90万元，</w:t>
      </w:r>
      <w:r>
        <w:rPr>
          <w:rFonts w:ascii="仿宋_GB2312" w:hAnsi="仿宋_GB2312" w:eastAsia="仿宋_GB2312"/>
          <w:b w:val="0"/>
          <w:sz w:val="32"/>
        </w:rPr>
        <w:t>其中：年末财政拨款结转和结余0.00万元，本年财政拨款支出357.90万元。</w:t>
      </w:r>
    </w:p>
    <w:p w14:paraId="41F090C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增加36.90万元，增长11.50%，主要原因是：1.本年在职人员工资调增，社保、公积金基数调增，人员经费增加。2.增加为民办实事经费及第一书记工作经费项目。</w:t>
      </w:r>
      <w:r>
        <w:rPr>
          <w:rFonts w:ascii="仿宋_GB2312" w:hAnsi="仿宋_GB2312" w:eastAsia="仿宋_GB2312"/>
          <w:b/>
          <w:sz w:val="32"/>
        </w:rPr>
        <w:t>与年初预算相比，</w:t>
      </w:r>
      <w:r>
        <w:rPr>
          <w:rFonts w:ascii="仿宋_GB2312" w:hAnsi="仿宋_GB2312" w:eastAsia="仿宋_GB2312"/>
          <w:b w:val="0"/>
          <w:sz w:val="32"/>
        </w:rPr>
        <w:t>年初预算数335.04万元，决算数357.90万元，预决算差异率6.82%，主要原因是：1.本年在职人员工资调增，社保、公积金基数调增，</w:t>
      </w:r>
      <w:r>
        <w:rPr>
          <w:rFonts w:hint="eastAsia" w:ascii="仿宋_GB2312" w:hAnsi="仿宋_GB2312" w:eastAsia="仿宋_GB2312"/>
          <w:b w:val="0"/>
          <w:sz w:val="32"/>
          <w:lang w:val="en-US" w:eastAsia="zh-CN"/>
        </w:rPr>
        <w:t>年中</w:t>
      </w:r>
      <w:r>
        <w:rPr>
          <w:rFonts w:ascii="仿宋_GB2312" w:hAnsi="仿宋_GB2312" w:eastAsia="仿宋_GB2312"/>
          <w:b w:val="0"/>
          <w:sz w:val="32"/>
        </w:rPr>
        <w:t>追加人员经费。2.</w:t>
      </w:r>
      <w:r>
        <w:rPr>
          <w:rFonts w:hint="eastAsia" w:ascii="仿宋_GB2312" w:hAnsi="仿宋_GB2312" w:eastAsia="仿宋_GB2312"/>
          <w:b w:val="0"/>
          <w:sz w:val="32"/>
          <w:lang w:val="en-US" w:eastAsia="zh-CN"/>
        </w:rPr>
        <w:t>年中</w:t>
      </w:r>
      <w:r>
        <w:rPr>
          <w:rFonts w:ascii="仿宋_GB2312" w:hAnsi="仿宋_GB2312" w:eastAsia="仿宋_GB2312"/>
          <w:b w:val="0"/>
          <w:sz w:val="32"/>
        </w:rPr>
        <w:t>追加为民办实事经费及第一书记工作经费项目。</w:t>
      </w:r>
    </w:p>
    <w:p w14:paraId="79704721">
      <w:pPr>
        <w:spacing w:line="640" w:lineRule="exact"/>
        <w:ind w:firstLine="640"/>
        <w:jc w:val="both"/>
        <w:outlineLvl w:val="2"/>
      </w:pPr>
      <w:r>
        <w:rPr>
          <w:rFonts w:ascii="黑体" w:hAnsi="黑体" w:eastAsia="黑体"/>
          <w:sz w:val="32"/>
        </w:rPr>
        <w:t>五、一般公共预算财政拨款支出决算情况说明</w:t>
      </w:r>
    </w:p>
    <w:p w14:paraId="58487DBC">
      <w:pPr>
        <w:spacing w:line="640" w:lineRule="exact"/>
        <w:ind w:firstLine="640"/>
        <w:jc w:val="both"/>
        <w:outlineLvl w:val="3"/>
      </w:pPr>
      <w:r>
        <w:rPr>
          <w:rFonts w:ascii="楷体_GB2312" w:hAnsi="楷体_GB2312" w:eastAsia="楷体_GB2312"/>
          <w:b/>
          <w:sz w:val="32"/>
        </w:rPr>
        <w:t>（一）一般公共预算财政拨款支出决算总体情况</w:t>
      </w:r>
    </w:p>
    <w:p w14:paraId="04A84225">
      <w:pPr>
        <w:spacing w:line="580" w:lineRule="exact"/>
        <w:ind w:firstLine="640"/>
        <w:jc w:val="both"/>
      </w:pPr>
      <w:r>
        <w:rPr>
          <w:rFonts w:ascii="仿宋_GB2312" w:hAnsi="仿宋_GB2312" w:eastAsia="仿宋_GB2312"/>
          <w:b/>
          <w:sz w:val="32"/>
        </w:rPr>
        <w:t>2024年度一般公共预算财政拨款支出357.90万元，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增加36.90万元，增长11.50%，主要原因是：1.本年在职人员工资调增，社保、公积金基数调增，人员经费增加。2.增加为民办实事经费及第一书记工作经费项目。</w:t>
      </w:r>
      <w:r>
        <w:rPr>
          <w:rFonts w:ascii="仿宋_GB2312" w:hAnsi="仿宋_GB2312" w:eastAsia="仿宋_GB2312"/>
          <w:b/>
          <w:sz w:val="32"/>
        </w:rPr>
        <w:t>与年初预算相比,</w:t>
      </w:r>
      <w:r>
        <w:rPr>
          <w:rFonts w:ascii="仿宋_GB2312" w:hAnsi="仿宋_GB2312" w:eastAsia="仿宋_GB2312"/>
          <w:b w:val="0"/>
          <w:sz w:val="32"/>
        </w:rPr>
        <w:t>年初预算数335.04万元，决算数357.90万元，预决算差异率6.82%，主要原因是：1.本年在职人员工资调增，社保、公积金基数调增，</w:t>
      </w:r>
      <w:r>
        <w:rPr>
          <w:rFonts w:hint="eastAsia" w:ascii="仿宋_GB2312" w:hAnsi="仿宋_GB2312" w:eastAsia="仿宋_GB2312"/>
          <w:b w:val="0"/>
          <w:sz w:val="32"/>
          <w:lang w:val="en-US" w:eastAsia="zh-CN"/>
        </w:rPr>
        <w:t>年中</w:t>
      </w:r>
      <w:r>
        <w:rPr>
          <w:rFonts w:ascii="仿宋_GB2312" w:hAnsi="仿宋_GB2312" w:eastAsia="仿宋_GB2312"/>
          <w:b w:val="0"/>
          <w:sz w:val="32"/>
        </w:rPr>
        <w:t>追加人员经费增加。2.</w:t>
      </w:r>
      <w:r>
        <w:rPr>
          <w:rFonts w:hint="eastAsia" w:ascii="仿宋_GB2312" w:hAnsi="仿宋_GB2312" w:eastAsia="仿宋_GB2312"/>
          <w:b w:val="0"/>
          <w:sz w:val="32"/>
          <w:lang w:val="en-US" w:eastAsia="zh-CN"/>
        </w:rPr>
        <w:t>年中</w:t>
      </w:r>
      <w:r>
        <w:rPr>
          <w:rFonts w:ascii="仿宋_GB2312" w:hAnsi="仿宋_GB2312" w:eastAsia="仿宋_GB2312"/>
          <w:b w:val="0"/>
          <w:sz w:val="32"/>
        </w:rPr>
        <w:t>追加为民办实事经费及第一书记工作经费项目。</w:t>
      </w:r>
    </w:p>
    <w:p w14:paraId="35BC57AE">
      <w:pPr>
        <w:spacing w:line="640" w:lineRule="exact"/>
        <w:ind w:firstLine="640"/>
        <w:jc w:val="both"/>
        <w:outlineLvl w:val="3"/>
      </w:pPr>
      <w:r>
        <w:rPr>
          <w:rFonts w:ascii="楷体_GB2312" w:hAnsi="楷体_GB2312" w:eastAsia="楷体_GB2312"/>
          <w:b/>
          <w:sz w:val="32"/>
        </w:rPr>
        <w:t>（二）一般公共预算财政拨款支出决算结构情况</w:t>
      </w:r>
    </w:p>
    <w:p w14:paraId="58EB8E61">
      <w:pPr>
        <w:spacing w:line="580" w:lineRule="exact"/>
        <w:ind w:firstLine="640"/>
        <w:jc w:val="both"/>
      </w:pPr>
      <w:r>
        <w:rPr>
          <w:rFonts w:ascii="仿宋_GB2312" w:hAnsi="仿宋_GB2312" w:eastAsia="仿宋_GB2312"/>
          <w:b w:val="0"/>
          <w:sz w:val="32"/>
        </w:rPr>
        <w:t>1.一般公共服务支出(类)308.77万元,占86.27%。</w:t>
      </w:r>
    </w:p>
    <w:p w14:paraId="2D41ACA3">
      <w:pPr>
        <w:spacing w:line="580" w:lineRule="exact"/>
        <w:ind w:firstLine="640"/>
        <w:jc w:val="both"/>
      </w:pPr>
      <w:r>
        <w:rPr>
          <w:rFonts w:ascii="仿宋_GB2312" w:hAnsi="仿宋_GB2312" w:eastAsia="仿宋_GB2312"/>
          <w:b w:val="0"/>
          <w:sz w:val="32"/>
        </w:rPr>
        <w:t>2.社会保障和就业支出(类)49.13万元,占13.73%。</w:t>
      </w:r>
    </w:p>
    <w:p w14:paraId="0E97AADC">
      <w:pPr>
        <w:spacing w:line="640" w:lineRule="exact"/>
        <w:ind w:firstLine="640"/>
        <w:jc w:val="both"/>
        <w:outlineLvl w:val="3"/>
      </w:pPr>
      <w:r>
        <w:rPr>
          <w:rFonts w:ascii="楷体_GB2312" w:hAnsi="楷体_GB2312" w:eastAsia="楷体_GB2312"/>
          <w:b/>
          <w:sz w:val="32"/>
        </w:rPr>
        <w:t>（三）一般公共预算财政拨款支出决算具体情况</w:t>
      </w:r>
    </w:p>
    <w:p w14:paraId="2464252E">
      <w:pPr>
        <w:spacing w:line="580" w:lineRule="exact"/>
        <w:ind w:firstLine="640"/>
        <w:jc w:val="both"/>
      </w:pPr>
      <w:r>
        <w:rPr>
          <w:rFonts w:ascii="仿宋_GB2312" w:hAnsi="仿宋_GB2312" w:eastAsia="仿宋_GB2312"/>
          <w:b w:val="0"/>
          <w:sz w:val="32"/>
        </w:rPr>
        <w:t>1.一般公共服务支出(类)政府办公厅（室）及相关机构事务(款)专项服务(项):支出决算数为0.00万元，比上年决算减少10.73万元，下降100.00%,主要原因是：本年科目调整，信访业务相关经费上年在专项服务列支，本年调整至其他信访事务支出，导致经费减少。</w:t>
      </w:r>
    </w:p>
    <w:p w14:paraId="11B0BED6">
      <w:pPr>
        <w:spacing w:line="580" w:lineRule="exact"/>
        <w:ind w:firstLine="640"/>
        <w:jc w:val="both"/>
      </w:pPr>
      <w:r>
        <w:rPr>
          <w:rFonts w:ascii="仿宋_GB2312" w:hAnsi="仿宋_GB2312" w:eastAsia="仿宋_GB2312"/>
          <w:b w:val="0"/>
          <w:sz w:val="32"/>
        </w:rPr>
        <w:t>2.一般公共服务支出(类)政府办公厅（室）及相关机构事务(款)信访事务(项):支出决算数为0.00万元，比上年决算减少180.17万元，下降100.00%,主要原因是：本年科目调整，信访人员经费上年在此科目列支，本年调整至行政运行</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，导致经费减少。</w:t>
      </w:r>
    </w:p>
    <w:p w14:paraId="3EC9FF41">
      <w:pPr>
        <w:spacing w:line="580" w:lineRule="exact"/>
        <w:ind w:firstLine="640"/>
        <w:jc w:val="both"/>
      </w:pPr>
      <w:r>
        <w:rPr>
          <w:rFonts w:ascii="仿宋_GB2312" w:hAnsi="仿宋_GB2312" w:eastAsia="仿宋_GB2312"/>
          <w:b w:val="0"/>
          <w:sz w:val="32"/>
        </w:rPr>
        <w:t>3.一般公共服务支出(类)政府办公厅（室）及相关机构事务(款)事业运行(项):支出决算数为0.00万元，比上年决算减少94.64万元，下降100.00%,主要原因是：本年科目调整，事业人员经费上年在此科目列支，本年调整至行政运行</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，导致经费减少。</w:t>
      </w:r>
    </w:p>
    <w:p w14:paraId="665BFCF1">
      <w:pPr>
        <w:spacing w:line="580" w:lineRule="exact"/>
        <w:ind w:firstLine="640"/>
        <w:jc w:val="both"/>
      </w:pPr>
      <w:r>
        <w:rPr>
          <w:rFonts w:ascii="仿宋_GB2312" w:hAnsi="仿宋_GB2312" w:eastAsia="仿宋_GB2312"/>
          <w:b w:val="0"/>
          <w:sz w:val="32"/>
        </w:rPr>
        <w:t>4.一般公共服务支出(类)政府办公厅（室）及相关机构事务(款)其他政府办公厅（室）及相关机构事务支出(项):支出决算数为17.00万元，比上年决算增加17.00万元，增长100.00%,主要原因是：本年增加为民办实事经费及第一书记工作经费项目。</w:t>
      </w:r>
    </w:p>
    <w:p w14:paraId="3F2301CC">
      <w:pPr>
        <w:spacing w:line="580" w:lineRule="exact"/>
        <w:ind w:firstLine="640"/>
        <w:jc w:val="both"/>
      </w:pPr>
      <w:r>
        <w:rPr>
          <w:rFonts w:ascii="仿宋_GB2312" w:hAnsi="仿宋_GB2312" w:eastAsia="仿宋_GB2312"/>
          <w:b w:val="0"/>
          <w:sz w:val="32"/>
        </w:rPr>
        <w:t>5.一般公共服务支出(类)信访事务(款)行政运行(项):支出决算数为276.90万元，比上年决算增加276.90万元，增长100.00%,主要原因是：本年科目调整，信访人员经费及事业人员经费上年单独列支，本年调整至此科目，经费增加。</w:t>
      </w:r>
    </w:p>
    <w:p w14:paraId="7A656B40">
      <w:pPr>
        <w:spacing w:line="580" w:lineRule="exact"/>
        <w:ind w:firstLine="640"/>
        <w:jc w:val="both"/>
      </w:pPr>
      <w:r>
        <w:rPr>
          <w:rFonts w:ascii="仿宋_GB2312" w:hAnsi="仿宋_GB2312" w:eastAsia="仿宋_GB2312"/>
          <w:b w:val="0"/>
          <w:sz w:val="32"/>
        </w:rPr>
        <w:t>6.一般公共服务支出(类)信访事务(款)其他信访事务支出(项):支出决算数为14.87万元，比上年决算增加14.87万元，增长100.00%,主要原因是：本年科目调整，信访业务相关经费上年在专项服务列支，本年调整至其他信访事务支出，导致经费增加。</w:t>
      </w:r>
    </w:p>
    <w:p w14:paraId="3685B04D">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7.社会保障和就业支出(类)行政事业单位养老支出(款)行政单位离退休(项):支出决算数为11.69万元，比上年决算增加3.06万元，增长35.46%,主要原因是：本年增加退休人员基础绩效奖，退休费支出增加。</w:t>
      </w:r>
    </w:p>
    <w:p w14:paraId="3F4CFD1F">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27.43万元，比上年决算增加0.60万元，增长2.24%,主要原因是：本年在职人员工资基数调增，养老缴费基数上涨，相应支出增加。</w:t>
      </w:r>
    </w:p>
    <w:p w14:paraId="4D206210">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9.社会保障和就业支出(类)行政事业单位养老支出(款)机关事业单位职业年金缴费支出(项):支出决算数为10.01万元，比上年决算增加10.01万元，增长100.00%,主要原因是：本年新增退休人员，职业年金缴费增加。</w:t>
      </w:r>
    </w:p>
    <w:p w14:paraId="6F8084C2">
      <w:pPr>
        <w:spacing w:line="640" w:lineRule="exact"/>
        <w:ind w:firstLine="640"/>
        <w:jc w:val="both"/>
        <w:outlineLvl w:val="2"/>
      </w:pPr>
      <w:r>
        <w:rPr>
          <w:rFonts w:ascii="黑体" w:hAnsi="黑体" w:eastAsia="黑体"/>
          <w:sz w:val="32"/>
        </w:rPr>
        <w:t>六、一般公共预算财政拨款基本支出决算情况说明</w:t>
      </w:r>
    </w:p>
    <w:p w14:paraId="722D730A">
      <w:pPr>
        <w:spacing w:line="580" w:lineRule="exact"/>
        <w:ind w:firstLine="640"/>
        <w:jc w:val="both"/>
      </w:pPr>
      <w:r>
        <w:rPr>
          <w:rFonts w:ascii="仿宋_GB2312" w:hAnsi="仿宋_GB2312" w:eastAsia="仿宋_GB2312"/>
          <w:b w:val="0"/>
          <w:sz w:val="32"/>
        </w:rPr>
        <w:t>2024年度一般公共预算财政拨款基本支出326.03万元，其中：</w:t>
      </w:r>
      <w:r>
        <w:rPr>
          <w:rFonts w:ascii="仿宋_GB2312" w:hAnsi="仿宋_GB2312" w:eastAsia="仿宋_GB2312"/>
          <w:b/>
          <w:sz w:val="32"/>
        </w:rPr>
        <w:t>人员经费313.46万元，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14:paraId="36E5EDB4">
      <w:pPr>
        <w:spacing w:line="580" w:lineRule="exact"/>
        <w:ind w:firstLine="640"/>
        <w:jc w:val="both"/>
      </w:pPr>
      <w:r>
        <w:rPr>
          <w:rFonts w:ascii="仿宋_GB2312" w:hAnsi="仿宋_GB2312" w:eastAsia="仿宋_GB2312"/>
          <w:b/>
          <w:sz w:val="32"/>
        </w:rPr>
        <w:t>公用经费12.57万元，</w:t>
      </w:r>
      <w:r>
        <w:rPr>
          <w:rFonts w:ascii="仿宋_GB2312" w:hAnsi="仿宋_GB2312" w:eastAsia="仿宋_GB2312"/>
          <w:b w:val="0"/>
          <w:sz w:val="32"/>
        </w:rPr>
        <w:t>包括：办公费、印刷费、公务接待费、工会经费、福利费、公务用车运行维护费、其他商品和服务支出。</w:t>
      </w:r>
    </w:p>
    <w:p w14:paraId="40794DF3">
      <w:pPr>
        <w:spacing w:line="640" w:lineRule="exact"/>
        <w:ind w:firstLine="640"/>
        <w:jc w:val="both"/>
        <w:outlineLvl w:val="2"/>
      </w:pPr>
      <w:r>
        <w:rPr>
          <w:rFonts w:ascii="黑体" w:hAnsi="黑体" w:eastAsia="黑体"/>
          <w:sz w:val="32"/>
        </w:rPr>
        <w:t>七、政府性基金预算财政拨款收入支出决算情况说明</w:t>
      </w:r>
    </w:p>
    <w:p w14:paraId="69BC7C5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CCC5CD5">
      <w:pPr>
        <w:spacing w:line="640" w:lineRule="exact"/>
        <w:ind w:firstLine="640"/>
        <w:jc w:val="both"/>
        <w:outlineLvl w:val="2"/>
      </w:pPr>
      <w:r>
        <w:rPr>
          <w:rFonts w:ascii="黑体" w:hAnsi="黑体" w:eastAsia="黑体"/>
          <w:sz w:val="32"/>
        </w:rPr>
        <w:t>八、国有资本经营预算财政拨款收入支出决算情况说明</w:t>
      </w:r>
    </w:p>
    <w:p w14:paraId="2488ACA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D08B01">
      <w:pPr>
        <w:spacing w:line="640" w:lineRule="exact"/>
        <w:ind w:firstLine="640"/>
        <w:jc w:val="both"/>
        <w:outlineLvl w:val="2"/>
      </w:pPr>
      <w:r>
        <w:rPr>
          <w:rFonts w:ascii="黑体" w:hAnsi="黑体" w:eastAsia="黑体"/>
          <w:sz w:val="32"/>
        </w:rPr>
        <w:t>九、财政拨款“三公”经费支出决算情况说明</w:t>
      </w:r>
    </w:p>
    <w:p w14:paraId="1AEA3CB0">
      <w:pPr>
        <w:spacing w:line="580" w:lineRule="exact"/>
        <w:ind w:firstLine="640"/>
        <w:jc w:val="both"/>
      </w:pPr>
      <w:r>
        <w:rPr>
          <w:rFonts w:ascii="仿宋_GB2312" w:hAnsi="仿宋_GB2312" w:eastAsia="仿宋_GB2312"/>
          <w:b/>
          <w:sz w:val="32"/>
        </w:rPr>
        <w:t>2024年度财政拨款“三公”经费支出2.60万元，</w:t>
      </w:r>
      <w:r>
        <w:rPr>
          <w:rFonts w:ascii="仿宋_GB2312" w:hAnsi="仿宋_GB2312" w:eastAsia="仿宋_GB2312"/>
          <w:b w:val="0"/>
          <w:sz w:val="32"/>
        </w:rPr>
        <w:t>比上年减少0.14万元，下降5.11%，主要原因是：严格落实中央八项规定精神，厉行节约，减少</w:t>
      </w:r>
      <w:r>
        <w:rPr>
          <w:rFonts w:hint="eastAsia" w:ascii="仿宋_GB2312" w:hAnsi="仿宋_GB2312" w:eastAsia="仿宋_GB2312"/>
          <w:b w:val="0"/>
          <w:sz w:val="32"/>
        </w:rPr>
        <w:t>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2.50万元，占96.15%，比上年增加0.00万元，增长0.00%，主要原因是：本单位公务用车运行维护费与上年一致无变化。公务接待费支出0.10万元，占3.85%，比上年减少0.14万元，下降58.33%，主要原因是：严格落实中央八项规定精神，厉行节约，减少公务接待费。</w:t>
      </w:r>
    </w:p>
    <w:p w14:paraId="6906A795">
      <w:pPr>
        <w:spacing w:line="580" w:lineRule="exact"/>
        <w:ind w:firstLine="640"/>
        <w:jc w:val="both"/>
      </w:pPr>
      <w:r>
        <w:rPr>
          <w:rFonts w:ascii="仿宋_GB2312" w:hAnsi="仿宋_GB2312" w:eastAsia="仿宋_GB2312"/>
          <w:b/>
          <w:sz w:val="32"/>
        </w:rPr>
        <w:t>具体情况如下：</w:t>
      </w:r>
    </w:p>
    <w:p w14:paraId="7CB53D0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B0FC2C">
      <w:pPr>
        <w:spacing w:line="580" w:lineRule="exact"/>
        <w:ind w:firstLine="640"/>
        <w:jc w:val="both"/>
      </w:pPr>
      <w:r>
        <w:rPr>
          <w:rFonts w:ascii="仿宋_GB2312" w:hAnsi="仿宋_GB2312" w:eastAsia="仿宋_GB2312"/>
          <w:b w:val="0"/>
          <w:sz w:val="32"/>
        </w:rPr>
        <w:t>公务用车购置及运行维护费2.50万元，其中：公务用车购置费0.00万元，公务用车运行维护费2.50万元。公务用车运行维护费开支内容包括公务用车维修费，保险费、过路费、加油费。公务用车购置数0辆，公务用车保有量1辆。国有资产占用情况中固定资产车辆1辆，与公务用车保有量差异原因是：本单位固定资产车辆与公务用车保有量一致无差异。</w:t>
      </w:r>
    </w:p>
    <w:p w14:paraId="25D258E8">
      <w:pPr>
        <w:spacing w:line="580" w:lineRule="exact"/>
        <w:ind w:firstLine="640"/>
        <w:jc w:val="both"/>
      </w:pPr>
      <w:r>
        <w:rPr>
          <w:rFonts w:ascii="仿宋_GB2312" w:hAnsi="仿宋_GB2312" w:eastAsia="仿宋_GB2312"/>
          <w:b w:val="0"/>
          <w:sz w:val="32"/>
        </w:rPr>
        <w:t>公务接待费0.10万元，开支内容包括因接待上级领导检查产生的就餐费。单位全年安排的国内公务接待2批次，10人次。</w:t>
      </w:r>
    </w:p>
    <w:p w14:paraId="1805F30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2.60万元，决算数2.60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2.50万元，决算数2.50万元，预决算差异率0.00%，主要原因是：严格按照预算执行，预决算无差异。公务接待费全年预算数0.10万元，决算数0.10万元，预决算差异率0.00%，主要原因是：严格按照预算执行，预决算无差异。</w:t>
      </w:r>
    </w:p>
    <w:p w14:paraId="077F45E2">
      <w:pPr>
        <w:spacing w:line="640" w:lineRule="exact"/>
        <w:ind w:firstLine="640"/>
        <w:jc w:val="both"/>
        <w:outlineLvl w:val="2"/>
      </w:pPr>
      <w:r>
        <w:rPr>
          <w:rFonts w:ascii="黑体" w:hAnsi="黑体" w:eastAsia="黑体"/>
          <w:sz w:val="32"/>
        </w:rPr>
        <w:t>十、其他重要事项的情况说明</w:t>
      </w:r>
    </w:p>
    <w:p w14:paraId="1E7BB194">
      <w:pPr>
        <w:spacing w:line="640" w:lineRule="exact"/>
        <w:ind w:firstLine="640"/>
        <w:jc w:val="both"/>
        <w:outlineLvl w:val="3"/>
      </w:pPr>
      <w:r>
        <w:rPr>
          <w:rFonts w:ascii="楷体_GB2312" w:hAnsi="楷体_GB2312" w:eastAsia="楷体_GB2312"/>
          <w:b/>
          <w:sz w:val="32"/>
        </w:rPr>
        <w:t>（一）机关运行经费及公用经费支出情况</w:t>
      </w:r>
    </w:p>
    <w:p w14:paraId="595F2D8E">
      <w:pPr>
        <w:spacing w:line="580" w:lineRule="exact"/>
        <w:ind w:firstLine="640"/>
        <w:jc w:val="both"/>
      </w:pPr>
      <w:r>
        <w:rPr>
          <w:rFonts w:ascii="仿宋_GB2312" w:hAnsi="仿宋_GB2312" w:eastAsia="仿宋_GB2312"/>
          <w:b w:val="0"/>
          <w:sz w:val="32"/>
        </w:rPr>
        <w:t>2024年度克孜勒苏柯尔克孜自治州信访局（行政单位和参照公务员法管理事业单位）机关运行经费支出12.57万元，比上年减少23.48万元，下降65.13%，主要原因是：本年减少办公经费。</w:t>
      </w:r>
    </w:p>
    <w:p w14:paraId="2D6A8522">
      <w:pPr>
        <w:spacing w:line="640" w:lineRule="exact"/>
        <w:ind w:firstLine="640"/>
        <w:jc w:val="both"/>
        <w:outlineLvl w:val="3"/>
      </w:pPr>
      <w:r>
        <w:rPr>
          <w:rFonts w:ascii="楷体_GB2312" w:hAnsi="楷体_GB2312" w:eastAsia="楷体_GB2312"/>
          <w:b/>
          <w:sz w:val="32"/>
        </w:rPr>
        <w:t>（二）政府采购情况</w:t>
      </w:r>
    </w:p>
    <w:p w14:paraId="4BA039D8">
      <w:pPr>
        <w:spacing w:line="580" w:lineRule="exact"/>
        <w:ind w:firstLine="640"/>
        <w:jc w:val="both"/>
      </w:pPr>
      <w:r>
        <w:rPr>
          <w:rFonts w:ascii="仿宋_GB2312" w:hAnsi="仿宋_GB2312" w:eastAsia="仿宋_GB2312"/>
          <w:b w:val="0"/>
          <w:sz w:val="32"/>
        </w:rPr>
        <w:t>2024年度政府采购支出总额21.10万元，其中：政府采购货物支出8.34万元、政府采购工程支出0.00万元、政府采购服务支出12.76万元。</w:t>
      </w:r>
    </w:p>
    <w:p w14:paraId="3F72963F">
      <w:pPr>
        <w:spacing w:line="580" w:lineRule="exact"/>
        <w:ind w:firstLine="640"/>
        <w:jc w:val="both"/>
      </w:pPr>
      <w:r>
        <w:rPr>
          <w:rFonts w:ascii="仿宋_GB2312" w:hAnsi="仿宋_GB2312" w:eastAsia="仿宋_GB2312"/>
          <w:b w:val="0"/>
          <w:sz w:val="32"/>
        </w:rPr>
        <w:t>授予中小企业合同金额15.15万元，占政府采购支出总额的71.80%，其中：授予小微企业合同金额13.68万元，占政府采购支出总额的64.83%。</w:t>
      </w:r>
    </w:p>
    <w:p w14:paraId="65319417">
      <w:pPr>
        <w:spacing w:line="640" w:lineRule="exact"/>
        <w:ind w:firstLine="640"/>
        <w:jc w:val="both"/>
        <w:outlineLvl w:val="3"/>
      </w:pPr>
      <w:r>
        <w:rPr>
          <w:rFonts w:ascii="楷体_GB2312" w:hAnsi="楷体_GB2312" w:eastAsia="楷体_GB2312"/>
          <w:b/>
          <w:sz w:val="32"/>
        </w:rPr>
        <w:t>（三）国有资产占用情况说明</w:t>
      </w:r>
    </w:p>
    <w:p w14:paraId="2C94C6AE">
      <w:pPr>
        <w:spacing w:line="580" w:lineRule="exact"/>
        <w:ind w:firstLine="640"/>
        <w:jc w:val="both"/>
      </w:pPr>
      <w:r>
        <w:rPr>
          <w:rFonts w:ascii="仿宋_GB2312" w:hAnsi="仿宋_GB2312" w:eastAsia="仿宋_GB2312"/>
          <w:b w:val="0"/>
          <w:sz w:val="32"/>
        </w:rPr>
        <w:t>截至2024年12月31日，房屋0.00平方米，价值0.00万元。车辆1辆，价值16.98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754A999">
      <w:pPr>
        <w:spacing w:line="640" w:lineRule="exact"/>
        <w:ind w:firstLine="640"/>
        <w:jc w:val="both"/>
        <w:outlineLvl w:val="2"/>
      </w:pPr>
      <w:r>
        <w:rPr>
          <w:rFonts w:ascii="黑体" w:hAnsi="黑体" w:eastAsia="黑体"/>
          <w:sz w:val="32"/>
        </w:rPr>
        <w:t>十一、预算绩效的情况说明</w:t>
      </w:r>
    </w:p>
    <w:p w14:paraId="57ED83C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357.90万元，实际执行总额357.90万元；预算绩效评价项目3个，全年预算数32.30万元，全年执行数32.17万元。预算绩效管理取得的成效：为加强预算管理，规范财务行为，已制定各项管理制度，有效保障了高效履行工作职能，加强了制度建设，打牢绩效管理工作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整体支出绩效自评表，项目支出绩效自评表和评价报告。</w:t>
      </w:r>
    </w:p>
    <w:p w14:paraId="489AABC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310BCED">
        <w:tblPrEx>
          <w:tblCellMar>
            <w:top w:w="0" w:type="dxa"/>
            <w:left w:w="108" w:type="dxa"/>
            <w:bottom w:w="0" w:type="dxa"/>
            <w:right w:w="108" w:type="dxa"/>
          </w:tblCellMar>
        </w:tblPrEx>
        <w:tc>
          <w:tcPr>
            <w:tcW w:w="8840" w:type="dxa"/>
            <w:gridSpan w:val="8"/>
            <w:vAlign w:val="center"/>
          </w:tcPr>
          <w:p w14:paraId="78930300">
            <w:pPr>
              <w:jc w:val="center"/>
            </w:pPr>
            <w:r>
              <w:rPr>
                <w:rFonts w:ascii="宋体" w:hAnsi="宋体" w:eastAsia="宋体"/>
                <w:sz w:val="24"/>
              </w:rPr>
              <w:t>单位整体支出绩效自评表</w:t>
            </w:r>
          </w:p>
        </w:tc>
      </w:tr>
      <w:tr w14:paraId="144FDE96">
        <w:tblPrEx>
          <w:tblCellMar>
            <w:top w:w="0" w:type="dxa"/>
            <w:left w:w="108" w:type="dxa"/>
            <w:bottom w:w="0" w:type="dxa"/>
            <w:right w:w="108" w:type="dxa"/>
          </w:tblCellMar>
        </w:tblPrEx>
        <w:tc>
          <w:tcPr>
            <w:tcW w:w="8840" w:type="dxa"/>
            <w:gridSpan w:val="8"/>
            <w:vAlign w:val="center"/>
          </w:tcPr>
          <w:p w14:paraId="2083BF48">
            <w:pPr>
              <w:jc w:val="center"/>
            </w:pPr>
            <w:r>
              <w:rPr>
                <w:rFonts w:ascii="宋体" w:hAnsi="宋体" w:eastAsia="宋体"/>
                <w:sz w:val="24"/>
              </w:rPr>
              <w:t>（2024年度）</w:t>
            </w:r>
          </w:p>
        </w:tc>
      </w:tr>
      <w:tr w14:paraId="03A439F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9C96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0EE09">
            <w:pPr>
              <w:jc w:val="center"/>
            </w:pPr>
            <w:r>
              <w:rPr>
                <w:rFonts w:ascii="宋体" w:hAnsi="宋体" w:eastAsia="宋体"/>
                <w:sz w:val="16"/>
              </w:rPr>
              <w:t>克孜勒苏柯尔克孜自治州信访局</w:t>
            </w:r>
          </w:p>
        </w:tc>
      </w:tr>
      <w:tr w14:paraId="59C2CAF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8F93B">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B26C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8992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95841">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EF27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C692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2464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FF912">
            <w:pPr>
              <w:jc w:val="center"/>
            </w:pPr>
            <w:r>
              <w:rPr>
                <w:rFonts w:ascii="宋体" w:hAnsi="宋体" w:eastAsia="宋体"/>
                <w:sz w:val="16"/>
              </w:rPr>
              <w:t>得分</w:t>
            </w:r>
          </w:p>
        </w:tc>
      </w:tr>
      <w:tr w14:paraId="0F0585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0035B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C748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90D9A">
            <w:pPr>
              <w:jc w:val="center"/>
            </w:pPr>
            <w:r>
              <w:rPr>
                <w:rFonts w:ascii="宋体" w:hAnsi="宋体" w:eastAsia="宋体"/>
                <w:sz w:val="16"/>
              </w:rPr>
              <w:t>335.34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C4136">
            <w:pPr>
              <w:jc w:val="center"/>
            </w:pPr>
            <w:r>
              <w:rPr>
                <w:rFonts w:ascii="宋体" w:hAnsi="宋体" w:eastAsia="宋体"/>
                <w:sz w:val="16"/>
              </w:rPr>
              <w:t>357.90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436C12">
            <w:pPr>
              <w:jc w:val="center"/>
            </w:pPr>
            <w:r>
              <w:rPr>
                <w:rFonts w:ascii="宋体" w:hAnsi="宋体" w:eastAsia="宋体"/>
                <w:sz w:val="16"/>
              </w:rPr>
              <w:t>357.90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4B1B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78C25">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61A72">
            <w:pPr>
              <w:jc w:val="center"/>
            </w:pPr>
            <w:r>
              <w:rPr>
                <w:rFonts w:ascii="宋体" w:hAnsi="宋体" w:eastAsia="宋体"/>
                <w:sz w:val="16"/>
              </w:rPr>
              <w:t>10</w:t>
            </w:r>
          </w:p>
        </w:tc>
      </w:tr>
      <w:tr w14:paraId="7397BA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1FEFC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B8F1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6058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48144">
            <w:pPr>
              <w:jc w:val="center"/>
            </w:pPr>
            <w:r>
              <w:rPr>
                <w:rFonts w:ascii="宋体" w:hAnsi="宋体" w:eastAsia="宋体"/>
                <w:sz w:val="16"/>
              </w:rPr>
              <w:t>17.00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73605">
            <w:pPr>
              <w:jc w:val="center"/>
            </w:pPr>
            <w:r>
              <w:rPr>
                <w:rFonts w:ascii="宋体" w:hAnsi="宋体" w:eastAsia="宋体"/>
                <w:sz w:val="16"/>
              </w:rPr>
              <w:t>17.00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FDC0A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B7D5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07B0B">
            <w:pPr>
              <w:jc w:val="center"/>
            </w:pPr>
            <w:r>
              <w:rPr>
                <w:rFonts w:ascii="宋体" w:hAnsi="宋体" w:eastAsia="宋体"/>
                <w:sz w:val="16"/>
              </w:rPr>
              <w:t>—</w:t>
            </w:r>
          </w:p>
        </w:tc>
      </w:tr>
      <w:tr w14:paraId="4592F8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85A2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25C82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91B43">
            <w:pPr>
              <w:jc w:val="center"/>
            </w:pPr>
            <w:r>
              <w:rPr>
                <w:rFonts w:ascii="宋体" w:hAnsi="宋体" w:eastAsia="宋体"/>
                <w:sz w:val="16"/>
              </w:rPr>
              <w:t>335.04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B167A">
            <w:pPr>
              <w:jc w:val="center"/>
            </w:pPr>
            <w:r>
              <w:rPr>
                <w:rFonts w:ascii="宋体" w:hAnsi="宋体" w:eastAsia="宋体"/>
                <w:sz w:val="16"/>
              </w:rPr>
              <w:t>340.90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4D46A">
            <w:pPr>
              <w:jc w:val="center"/>
            </w:pPr>
            <w:r>
              <w:rPr>
                <w:rFonts w:ascii="宋体" w:hAnsi="宋体" w:eastAsia="宋体"/>
                <w:sz w:val="16"/>
              </w:rPr>
              <w:t>340.90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45A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6F3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13D5F">
            <w:pPr>
              <w:jc w:val="center"/>
            </w:pPr>
            <w:r>
              <w:rPr>
                <w:rFonts w:ascii="宋体" w:hAnsi="宋体" w:eastAsia="宋体"/>
                <w:sz w:val="16"/>
              </w:rPr>
              <w:t>—</w:t>
            </w:r>
          </w:p>
        </w:tc>
      </w:tr>
      <w:tr w14:paraId="110E540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D5B8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E0C1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9D932">
            <w:pPr>
              <w:jc w:val="center"/>
            </w:pPr>
            <w:r>
              <w:rPr>
                <w:rFonts w:ascii="宋体" w:hAnsi="宋体" w:eastAsia="宋体"/>
                <w:sz w:val="16"/>
              </w:rPr>
              <w:t>0.30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441A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9B13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FB90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25A5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44905">
            <w:pPr>
              <w:jc w:val="center"/>
            </w:pPr>
            <w:r>
              <w:rPr>
                <w:rFonts w:ascii="宋体" w:hAnsi="宋体" w:eastAsia="宋体"/>
                <w:sz w:val="16"/>
              </w:rPr>
              <w:t>—</w:t>
            </w:r>
          </w:p>
        </w:tc>
      </w:tr>
      <w:tr w14:paraId="2D411BF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C38A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108A5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226140">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2E62A3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22BF5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BF4793">
            <w:pPr>
              <w:jc w:val="both"/>
            </w:pPr>
            <w:r>
              <w:rPr>
                <w:rFonts w:ascii="宋体" w:hAnsi="宋体" w:eastAsia="宋体"/>
                <w:sz w:val="16"/>
              </w:rPr>
              <w:t>坚持以习近平新时代中国特色社会主义思想为指导，深入学习贯彻习近平总书记关于加强和改进人民信访工作的重要思想，坚持人民至上理念，充分借鉴哈密“11361”和昌吉“11511”工作经验，全面落实推进信访工作法治化，坚持和发展新时代“枫桥经验”，学习运用“浦江经验”，进一步畅通信访渠道，落实领导干部常态接访下访、定期约访、重点走访，全面推进党政领导包案化解；持续抓好信访问题源头治理三年攻坚行动、领导干部接访下访、领导包案、治重化积专项工作、“全国信访工作示范县（市）创建”、干部队伍建设等重点工作扛牢扛实为民解难、为党分忧政治职责，强力推动“两个动态清零”，坚决防止信访人进京赴自治区滋事扰序，坚决做到“三个不发生”，为自治州经济高质量发展和社会和谐稳定提供坚强的信访服务保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588639">
            <w:pPr>
              <w:jc w:val="both"/>
            </w:pPr>
            <w:r>
              <w:rPr>
                <w:rFonts w:ascii="宋体" w:hAnsi="宋体" w:eastAsia="宋体"/>
                <w:sz w:val="16"/>
              </w:rPr>
              <w:t>　　2024年以来，全州受理办理信访事项1328件，同比下降4.39%，已化解1221件，正在办理107件，化解率91.94%。其中：信访信息系统来信来访网上投诉593件，占信访总量（下同）44.65%，同比下降9.10%；人民网《地方领导留言板》留言339件，占25.53%，同比上升15.31%；“州长信箱”来信396件，占29.82%，同比下降10.61%。信访部门、责任单位及时受理率均为100%；责任单位按期办结率100%。当前，全州信访形势总体平稳可控向好；州委、州政府始终高度重视信访工作，党政主要领导8次主持召开党委常委会、政府常务会、信访联席会，听取信访工作汇报、分析信访形势、研究部署信访工作，3次学习《信访工作条例》《中共中央办公厅 国务院办公厅关于着力推进信访工作法治化的意见》。党政主要领导认真履行信访工作“第一责任人”的职责，现场接访2次、实地调研信访工作2次、带头阅批信访件20件（次），坚持依法解决，按政策办事，亲自包案化解4件重点信访案件，率先实现“案结事了”“事心双解”，示范带动36名州级领导包案化解97件疑难复杂信访事项，累计批示信访件40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余件（次），协调解决突出问题，在全州推动形成了主要领导亲自抓、分管领导具体抓、其他领导“一岗双责”、县（市）和部门各负其责的良好局面；践行新时代群众路线，纵深推进源头治理。深入推进信访工作预防法治化，把全面落实州委基层治理“八力”、走好新时代群众路线作为切实提高源头治理的重要举措。着力强化《信访工作条例》教育培训，举办信访工作法治化培训班5班次，培训信访干部200余名，主要领导亲自讲授《信访工作条例》《基层治理与信访工作法治化》，发放《信访工作法治化工作指南》等手册500余本，为运用好“路线图”、“引导图”、工作指南和依法分类处理清单奠定了理论基础，进一步提高信访干部</w:t>
            </w:r>
            <w:r>
              <w:rPr>
                <w:rFonts w:hint="eastAsia" w:ascii="宋体" w:hAnsi="宋体"/>
                <w:sz w:val="16"/>
                <w:lang w:eastAsia="zh-CN"/>
              </w:rPr>
              <w:t>依法办事能力</w:t>
            </w:r>
            <w:r>
              <w:rPr>
                <w:rFonts w:ascii="宋体" w:hAnsi="宋体" w:eastAsia="宋体"/>
                <w:sz w:val="16"/>
              </w:rPr>
              <w:t>；州政府督查室将州长信箱不满意信访事项39件，纳入督查范围，经相关县市和部门再次督办，现均已办结，满意率100%。将信访积案化解工作列为督查督办重点，年初，联席会议召集人带头赴重点县（市）对2023年以来未化解的97件信访事项带案下访，督促责任单位推进化解，州信联办定期调度重点信访事项化解情况，努力把矛盾纠纷化解在萌芽状态、解决在基层一线。当前全州信访形势总体平稳可控向好。全州信访事项及时受理率100%，责任单位按期办结率100%。通过以上工作的实施，保障了</w:t>
            </w:r>
            <w:r>
              <w:rPr>
                <w:rFonts w:hint="eastAsia" w:ascii="宋体" w:hAnsi="宋体"/>
                <w:sz w:val="16"/>
                <w:lang w:eastAsia="zh-CN"/>
              </w:rPr>
              <w:t>本单位</w:t>
            </w:r>
            <w:r>
              <w:rPr>
                <w:rFonts w:ascii="宋体" w:hAnsi="宋体" w:eastAsia="宋体"/>
                <w:sz w:val="16"/>
              </w:rPr>
              <w:t>13名职工的工资、福利及社保正常发放及缴纳，确保民生工作落实到位；保障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1辆公务用车的运行及维护，保障单位各项工作的正常运转，确保机构运转正常；克州信访局在自治区信访局的大力指导下，在州委、州政府的正确领导下，深入学习贯彻习近平总书记关于加强和改进人民信访工作的重要思想，坚持以人民为中心，聚焦“135”施工路线图，认真贯彻执行《信访工作条例》，落实“五个法治化”“四个到位”要求，用心用情办理群众来信来访，持续强化信访问题源头治理和积案化解，全面推进信访工作法治化，着力提高信访工作质效，更好保障群众合法权益，促进社会和谐稳定。</w:t>
            </w:r>
          </w:p>
        </w:tc>
      </w:tr>
      <w:tr w14:paraId="37B107D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0F3B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7583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037FC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CCA4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16A6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9AAE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0E53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B1638">
            <w:pPr>
              <w:jc w:val="center"/>
            </w:pPr>
            <w:r>
              <w:rPr>
                <w:rFonts w:ascii="宋体" w:hAnsi="宋体" w:eastAsia="宋体"/>
                <w:sz w:val="16"/>
              </w:rPr>
              <w:t>得分</w:t>
            </w:r>
          </w:p>
        </w:tc>
      </w:tr>
      <w:tr w14:paraId="7228303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F8E8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D384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1BD59">
            <w:pPr>
              <w:jc w:val="center"/>
            </w:pPr>
            <w:r>
              <w:rPr>
                <w:rFonts w:ascii="宋体" w:hAnsi="宋体" w:eastAsia="宋体"/>
                <w:sz w:val="16"/>
              </w:rPr>
              <w:t>信访事项及时受利率（%）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79015">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5D1BF">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285B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BF54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1F1790">
            <w:pPr>
              <w:jc w:val="center"/>
            </w:pPr>
            <w:r>
              <w:rPr>
                <w:rFonts w:ascii="宋体" w:hAnsi="宋体" w:eastAsia="宋体"/>
                <w:sz w:val="16"/>
              </w:rPr>
              <w:t>20</w:t>
            </w:r>
          </w:p>
        </w:tc>
      </w:tr>
      <w:tr w14:paraId="1778CC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172EC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0F7C0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BFD41">
            <w:pPr>
              <w:jc w:val="center"/>
            </w:pPr>
            <w:r>
              <w:rPr>
                <w:rFonts w:ascii="宋体" w:hAnsi="宋体" w:eastAsia="宋体"/>
                <w:sz w:val="16"/>
              </w:rPr>
              <w:t>信访事项化解率（%）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C4568">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55454">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0376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3C61F">
            <w:pPr>
              <w:jc w:val="center"/>
            </w:pPr>
            <w:r>
              <w:rPr>
                <w:rFonts w:ascii="宋体" w:hAnsi="宋体" w:eastAsia="宋体"/>
                <w:sz w:val="16"/>
              </w:rPr>
              <w:t>91.94%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A34A2">
            <w:pPr>
              <w:jc w:val="center"/>
            </w:pPr>
            <w:r>
              <w:rPr>
                <w:rFonts w:ascii="宋体" w:hAnsi="宋体" w:eastAsia="宋体"/>
                <w:sz w:val="16"/>
              </w:rPr>
              <w:t>15</w:t>
            </w:r>
          </w:p>
        </w:tc>
      </w:tr>
      <w:tr w14:paraId="67DA2E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E4175A"/>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AB90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C0A41">
            <w:pPr>
              <w:jc w:val="center"/>
            </w:pPr>
            <w:r>
              <w:rPr>
                <w:rFonts w:ascii="宋体" w:hAnsi="宋体" w:eastAsia="宋体"/>
                <w:sz w:val="16"/>
              </w:rPr>
              <w:t>基层调研（次）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F4FF6">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3DF7F">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A788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FCF1F">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E6E07">
            <w:pPr>
              <w:jc w:val="center"/>
            </w:pPr>
            <w:r>
              <w:rPr>
                <w:rFonts w:ascii="宋体" w:hAnsi="宋体" w:eastAsia="宋体"/>
                <w:sz w:val="16"/>
              </w:rPr>
              <w:t>15</w:t>
            </w:r>
          </w:p>
        </w:tc>
      </w:tr>
      <w:tr w14:paraId="7F8E44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11B07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3A0A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7BEFD">
            <w:pPr>
              <w:jc w:val="center"/>
            </w:pPr>
            <w:r>
              <w:rPr>
                <w:rFonts w:ascii="宋体" w:hAnsi="宋体" w:eastAsia="宋体"/>
                <w:sz w:val="16"/>
              </w:rPr>
              <w:t>信访法治化业务培训（次）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93D80">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1ECD4">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B117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3707A">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582B5">
            <w:pPr>
              <w:jc w:val="center"/>
            </w:pPr>
            <w:r>
              <w:rPr>
                <w:rFonts w:ascii="宋体" w:hAnsi="宋体" w:eastAsia="宋体"/>
                <w:sz w:val="16"/>
              </w:rPr>
              <w:t>20</w:t>
            </w:r>
          </w:p>
        </w:tc>
      </w:tr>
      <w:tr w14:paraId="7BE2D00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815CB">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3975A">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C47DF">
            <w:pPr>
              <w:jc w:val="center"/>
            </w:pPr>
            <w:r>
              <w:rPr>
                <w:rFonts w:ascii="宋体" w:hAnsi="宋体" w:eastAsia="宋体"/>
                <w:sz w:val="16"/>
              </w:rPr>
              <w:t>信访群众满意度(%)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5A797">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8A83A">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F6FE4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B0C0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C5AA0B">
            <w:pPr>
              <w:jc w:val="center"/>
            </w:pPr>
            <w:r>
              <w:rPr>
                <w:rFonts w:ascii="宋体" w:hAnsi="宋体" w:eastAsia="宋体"/>
                <w:sz w:val="16"/>
              </w:rPr>
              <w:t>20</w:t>
            </w:r>
          </w:p>
        </w:tc>
      </w:tr>
    </w:tbl>
    <w:p w14:paraId="5ABE0B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0A6C2D5">
        <w:tblPrEx>
          <w:tblCellMar>
            <w:top w:w="0" w:type="dxa"/>
            <w:left w:w="108" w:type="dxa"/>
            <w:bottom w:w="0" w:type="dxa"/>
            <w:right w:w="108" w:type="dxa"/>
          </w:tblCellMar>
        </w:tblPrEx>
        <w:tc>
          <w:tcPr>
            <w:tcW w:w="8848" w:type="dxa"/>
            <w:gridSpan w:val="14"/>
            <w:vAlign w:val="center"/>
          </w:tcPr>
          <w:p w14:paraId="3E15E5E2">
            <w:pPr>
              <w:jc w:val="center"/>
            </w:pPr>
            <w:r>
              <w:rPr>
                <w:rFonts w:ascii="宋体" w:hAnsi="宋体" w:eastAsia="宋体"/>
                <w:sz w:val="24"/>
              </w:rPr>
              <w:t>项目支出绩效自评表</w:t>
            </w:r>
          </w:p>
        </w:tc>
      </w:tr>
      <w:tr w14:paraId="72BD81E5">
        <w:tblPrEx>
          <w:tblCellMar>
            <w:top w:w="0" w:type="dxa"/>
            <w:left w:w="108" w:type="dxa"/>
            <w:bottom w:w="0" w:type="dxa"/>
            <w:right w:w="108" w:type="dxa"/>
          </w:tblCellMar>
        </w:tblPrEx>
        <w:tc>
          <w:tcPr>
            <w:tcW w:w="8848" w:type="dxa"/>
            <w:gridSpan w:val="14"/>
            <w:vAlign w:val="center"/>
          </w:tcPr>
          <w:p w14:paraId="00BC2B4B">
            <w:pPr>
              <w:jc w:val="center"/>
            </w:pPr>
            <w:r>
              <w:rPr>
                <w:rFonts w:ascii="宋体" w:hAnsi="宋体" w:eastAsia="宋体"/>
                <w:sz w:val="24"/>
              </w:rPr>
              <w:t>(2024年度)</w:t>
            </w:r>
          </w:p>
        </w:tc>
      </w:tr>
      <w:tr w14:paraId="14020D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7E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73B1F0">
            <w:pPr>
              <w:jc w:val="center"/>
            </w:pPr>
            <w:r>
              <w:rPr>
                <w:rFonts w:ascii="宋体" w:hAnsi="宋体" w:eastAsia="宋体"/>
                <w:sz w:val="16"/>
              </w:rPr>
              <w:t>2024年为民办实事和第一书记工作经费项目</w:t>
            </w:r>
          </w:p>
        </w:tc>
      </w:tr>
      <w:tr w14:paraId="36910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8A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577D1">
            <w:pPr>
              <w:jc w:val="center"/>
            </w:pPr>
            <w:r>
              <w:rPr>
                <w:rFonts w:ascii="宋体" w:hAnsi="宋体" w:eastAsia="宋体"/>
                <w:sz w:val="16"/>
              </w:rPr>
              <w:t>克孜勒苏柯尔克孜自治州信访局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B2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B7264">
            <w:pPr>
              <w:jc w:val="center"/>
            </w:pPr>
            <w:r>
              <w:rPr>
                <w:rFonts w:ascii="宋体" w:hAnsi="宋体" w:eastAsia="宋体"/>
                <w:sz w:val="16"/>
              </w:rPr>
              <w:t>克孜勒苏柯尔克孜自治州信访局</w:t>
            </w:r>
          </w:p>
        </w:tc>
      </w:tr>
      <w:tr w14:paraId="1941C1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299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153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37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9B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EF9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EAB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FE2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F22B">
            <w:pPr>
              <w:jc w:val="center"/>
            </w:pPr>
            <w:r>
              <w:rPr>
                <w:rFonts w:ascii="宋体" w:hAnsi="宋体" w:eastAsia="宋体"/>
                <w:sz w:val="16"/>
              </w:rPr>
              <w:t>得分</w:t>
            </w:r>
          </w:p>
        </w:tc>
      </w:tr>
      <w:tr w14:paraId="129F6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AB0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1A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58D0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CEBD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6A9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0C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28F4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2F71">
            <w:pPr>
              <w:jc w:val="center"/>
            </w:pPr>
            <w:r>
              <w:rPr>
                <w:rFonts w:ascii="宋体" w:hAnsi="宋体" w:eastAsia="宋体"/>
                <w:sz w:val="16"/>
              </w:rPr>
              <w:t>10.00分</w:t>
            </w:r>
          </w:p>
        </w:tc>
      </w:tr>
      <w:tr w14:paraId="2DBED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42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BFD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E1BF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63E6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2A7F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CF0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DA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0006">
            <w:pPr>
              <w:jc w:val="center"/>
            </w:pPr>
            <w:r>
              <w:rPr>
                <w:rFonts w:ascii="宋体" w:hAnsi="宋体" w:eastAsia="宋体"/>
                <w:sz w:val="16"/>
              </w:rPr>
              <w:t>—</w:t>
            </w:r>
          </w:p>
        </w:tc>
      </w:tr>
      <w:tr w14:paraId="5211D20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5CC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5B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799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29C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019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85D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67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5583">
            <w:pPr>
              <w:jc w:val="center"/>
            </w:pPr>
            <w:r>
              <w:rPr>
                <w:rFonts w:ascii="宋体" w:hAnsi="宋体" w:eastAsia="宋体"/>
                <w:sz w:val="16"/>
              </w:rPr>
              <w:t>—</w:t>
            </w:r>
          </w:p>
        </w:tc>
      </w:tr>
      <w:tr w14:paraId="1E50BD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33E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AE0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0E9825">
            <w:pPr>
              <w:jc w:val="center"/>
            </w:pPr>
            <w:r>
              <w:rPr>
                <w:rFonts w:ascii="宋体" w:hAnsi="宋体" w:eastAsia="宋体"/>
                <w:sz w:val="16"/>
              </w:rPr>
              <w:t>实际完成情况</w:t>
            </w:r>
          </w:p>
        </w:tc>
      </w:tr>
      <w:tr w14:paraId="3CCAB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8C3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F0DFA">
            <w:pPr>
              <w:jc w:val="both"/>
            </w:pPr>
            <w:r>
              <w:rPr>
                <w:rFonts w:ascii="宋体" w:hAnsi="宋体" w:eastAsia="宋体"/>
                <w:sz w:val="16"/>
              </w:rPr>
              <w:t>该项目总投资17元，其中：财政资金17万元，其他资金0万元。主要用于开展活动，</w:t>
            </w:r>
            <w:r>
              <w:rPr>
                <w:rFonts w:hint="eastAsia" w:ascii="宋体" w:hAnsi="宋体"/>
                <w:sz w:val="16"/>
                <w:lang w:eastAsia="zh-CN"/>
              </w:rPr>
              <w:t>困难户</w:t>
            </w:r>
            <w:r>
              <w:rPr>
                <w:rFonts w:ascii="宋体" w:hAnsi="宋体" w:eastAsia="宋体"/>
                <w:sz w:val="16"/>
              </w:rPr>
              <w:t>温暖购买煤炭，改善工作队食堂卫生间，维修村道、水渠，大学生帮扶工作。以紧紧围绕社会稳定和长治久安这个总目标，夯实长治久安基础,落实民生建设任务，增加农民收入,加强民族团结，促进社会和谐,关心关爱困难群众，确保社会稳定,实施乡村振兴战略，加强农村基层基础工作，突出现代文化引领，促进</w:t>
            </w:r>
            <w:r>
              <w:rPr>
                <w:rFonts w:hint="eastAsia" w:ascii="宋体" w:hAnsi="宋体"/>
                <w:sz w:val="16"/>
                <w:lang w:eastAsia="zh-CN"/>
              </w:rPr>
              <w:t>ZJ</w:t>
            </w:r>
            <w:r>
              <w:rPr>
                <w:rFonts w:ascii="宋体" w:hAnsi="宋体" w:eastAsia="宋体"/>
                <w:sz w:val="16"/>
              </w:rPr>
              <w:t>和谐。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67CAFA">
            <w:pPr>
              <w:jc w:val="both"/>
            </w:pPr>
            <w:r>
              <w:rPr>
                <w:rFonts w:ascii="宋体" w:hAnsi="宋体" w:eastAsia="宋体"/>
                <w:sz w:val="16"/>
              </w:rPr>
              <w:t>截至2024年12月31日，该项目执行数为17万元，已完成：开展活动次数5次，购买活动物品批数5批，为民办实事方面：困难户送温暖购买煤炭，维修村道、水渠，开展大学生帮扶工作，改善工作队食堂、卫生间。通过该项目的实施，有效增加农牧民收入，关心关爱贫困户、低保户、残疾人等特殊家庭，帮助解决生产生活中的实际困难，改造人居环境，引导农牧民学国语，实现维护社会稳定和长治久安总目标。</w:t>
            </w:r>
          </w:p>
        </w:tc>
      </w:tr>
      <w:tr w14:paraId="023C43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685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0D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CC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02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98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4A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58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DC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3D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6A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EE7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64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F497A">
            <w:pPr>
              <w:jc w:val="center"/>
            </w:pPr>
            <w:r>
              <w:rPr>
                <w:rFonts w:ascii="宋体" w:hAnsi="宋体" w:eastAsia="宋体"/>
                <w:sz w:val="16"/>
              </w:rPr>
              <w:t>偏差原因分析及改进措施</w:t>
            </w:r>
          </w:p>
        </w:tc>
      </w:tr>
      <w:tr w14:paraId="197825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C5E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4D1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F89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B4EF">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543B">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4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C7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4C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F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9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AC7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885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2B7D9">
            <w:pPr>
              <w:jc w:val="center"/>
            </w:pPr>
          </w:p>
        </w:tc>
      </w:tr>
      <w:tr w14:paraId="33D86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E2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5C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27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06B7">
            <w:pPr>
              <w:jc w:val="center"/>
            </w:pPr>
            <w:r>
              <w:rPr>
                <w:rFonts w:ascii="宋体" w:hAnsi="宋体" w:eastAsia="宋体"/>
                <w:sz w:val="16"/>
              </w:rPr>
              <w:t>购买办公、活动物品次数（次）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820">
            <w:pPr>
              <w:jc w:val="center"/>
            </w:pPr>
            <w:r>
              <w:rPr>
                <w:rFonts w:ascii="宋体" w:hAnsi="宋体" w:eastAsia="宋体"/>
                <w:sz w:val="16"/>
              </w:rPr>
              <w:t>&gt;=5件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F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43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F0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1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1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9560">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D2C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05CA8">
            <w:pPr>
              <w:jc w:val="center"/>
            </w:pPr>
          </w:p>
        </w:tc>
      </w:tr>
      <w:tr w14:paraId="044C8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E8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88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09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C3E7">
            <w:pPr>
              <w:jc w:val="center"/>
            </w:pPr>
            <w:r>
              <w:rPr>
                <w:rFonts w:ascii="宋体" w:hAnsi="宋体" w:eastAsia="宋体"/>
                <w:sz w:val="16"/>
              </w:rPr>
              <w:t>维护修缮村道、水渠，食堂卫生间批次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8942">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B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8B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D0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9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F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021C">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69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0B3C2">
            <w:pPr>
              <w:jc w:val="center"/>
            </w:pPr>
          </w:p>
        </w:tc>
      </w:tr>
      <w:tr w14:paraId="04E4A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E1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DB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8F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AEE1">
            <w:pPr>
              <w:jc w:val="center"/>
            </w:pPr>
            <w:r>
              <w:rPr>
                <w:rFonts w:ascii="宋体" w:hAnsi="宋体" w:eastAsia="宋体"/>
                <w:sz w:val="16"/>
              </w:rPr>
              <w:t>困难户送温暖购买煤炭（次）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F3A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0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65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6C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7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8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F58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DD7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49DFE">
            <w:pPr>
              <w:jc w:val="center"/>
            </w:pPr>
          </w:p>
        </w:tc>
      </w:tr>
      <w:tr w14:paraId="7ECC4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54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56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6D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F8BD">
            <w:pPr>
              <w:jc w:val="center"/>
            </w:pPr>
            <w:r>
              <w:rPr>
                <w:rFonts w:ascii="宋体" w:hAnsi="宋体" w:eastAsia="宋体"/>
                <w:sz w:val="16"/>
              </w:rPr>
              <w:t>帮助困难户大学生人数（人）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6A6F">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4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61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A8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F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9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BA77">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0F6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7647">
            <w:pPr>
              <w:jc w:val="center"/>
            </w:pPr>
          </w:p>
        </w:tc>
      </w:tr>
      <w:tr w14:paraId="1C079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E3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35F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B5D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E758">
            <w:pPr>
              <w:jc w:val="center"/>
            </w:pPr>
            <w:r>
              <w:rPr>
                <w:rFonts w:ascii="宋体" w:hAnsi="宋体" w:eastAsia="宋体"/>
                <w:sz w:val="16"/>
              </w:rPr>
              <w:t>开展活动参与率（%）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E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1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2F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64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B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0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8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462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EE55">
            <w:pPr>
              <w:jc w:val="center"/>
            </w:pPr>
          </w:p>
        </w:tc>
      </w:tr>
      <w:tr w14:paraId="0E63E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4B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7E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3D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5624">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8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7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AE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31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2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9C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D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0C9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7A07">
            <w:pPr>
              <w:jc w:val="center"/>
            </w:pPr>
          </w:p>
        </w:tc>
      </w:tr>
      <w:tr w14:paraId="52730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C4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D0E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3DE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C37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5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0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53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BF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2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6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C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56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72E11">
            <w:pPr>
              <w:jc w:val="center"/>
            </w:pPr>
          </w:p>
        </w:tc>
      </w:tr>
      <w:tr w14:paraId="1733F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7F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2D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BB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F8AC">
            <w:pPr>
              <w:jc w:val="center"/>
            </w:pPr>
            <w:r>
              <w:rPr>
                <w:rFonts w:ascii="宋体" w:hAnsi="宋体" w:eastAsia="宋体"/>
                <w:sz w:val="16"/>
              </w:rPr>
              <w:t>维护修缮村道、水渠及时率（%）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6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25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E3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3C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B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F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E4E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87A5">
            <w:pPr>
              <w:jc w:val="center"/>
            </w:pPr>
          </w:p>
        </w:tc>
      </w:tr>
      <w:tr w14:paraId="73946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00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70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29B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C965">
            <w:pPr>
              <w:jc w:val="center"/>
            </w:pPr>
            <w:r>
              <w:rPr>
                <w:rFonts w:ascii="宋体" w:hAnsi="宋体" w:eastAsia="宋体"/>
                <w:sz w:val="16"/>
              </w:rPr>
              <w:t>困难户送温暖购买煤炭及时率（%）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A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B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67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85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5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47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3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F53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E9850">
            <w:pPr>
              <w:jc w:val="center"/>
            </w:pPr>
          </w:p>
        </w:tc>
      </w:tr>
      <w:tr w14:paraId="64E44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57F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AB0E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3D1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4F8F">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EBB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CD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A4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8E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2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03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C89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043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14638">
            <w:pPr>
              <w:jc w:val="center"/>
            </w:pPr>
          </w:p>
        </w:tc>
      </w:tr>
      <w:tr w14:paraId="703FE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51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DF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7D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0861">
            <w:pPr>
              <w:jc w:val="center"/>
            </w:pPr>
            <w:r>
              <w:rPr>
                <w:rFonts w:ascii="宋体" w:hAnsi="宋体" w:eastAsia="宋体"/>
                <w:sz w:val="16"/>
              </w:rPr>
              <w:t>困难户送温暖购买煤炭经费（万元）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781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28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97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8E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E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90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BC1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070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1150">
            <w:pPr>
              <w:jc w:val="center"/>
            </w:pPr>
          </w:p>
        </w:tc>
      </w:tr>
      <w:tr w14:paraId="0881E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31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66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56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58F9">
            <w:pPr>
              <w:jc w:val="center"/>
            </w:pPr>
            <w:r>
              <w:rPr>
                <w:rFonts w:ascii="宋体" w:hAnsi="宋体" w:eastAsia="宋体"/>
                <w:sz w:val="16"/>
              </w:rPr>
              <w:t>改善工作队食堂卫生间费用（万元）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D6F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5E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F6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61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B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31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9AE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F50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1D51">
            <w:pPr>
              <w:jc w:val="center"/>
            </w:pPr>
          </w:p>
        </w:tc>
      </w:tr>
      <w:tr w14:paraId="04146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5F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8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D4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019C">
            <w:pPr>
              <w:jc w:val="center"/>
            </w:pPr>
            <w:r>
              <w:rPr>
                <w:rFonts w:ascii="宋体" w:hAnsi="宋体" w:eastAsia="宋体"/>
                <w:sz w:val="16"/>
              </w:rPr>
              <w:t>维护修缮村道、水渠经费（万元）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7F8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8A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A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9A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C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25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1C7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68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2C39">
            <w:pPr>
              <w:jc w:val="center"/>
            </w:pPr>
          </w:p>
        </w:tc>
      </w:tr>
      <w:tr w14:paraId="60CD0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38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37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DE5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7B82">
            <w:pPr>
              <w:jc w:val="center"/>
            </w:pPr>
            <w:r>
              <w:rPr>
                <w:rFonts w:ascii="宋体" w:hAnsi="宋体" w:eastAsia="宋体"/>
                <w:sz w:val="16"/>
              </w:rPr>
              <w:t>购买办公用品及慰问物品费用（万元）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E28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CF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6D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DE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4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81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176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BEE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F113E">
            <w:pPr>
              <w:jc w:val="center"/>
            </w:pPr>
          </w:p>
        </w:tc>
      </w:tr>
      <w:tr w14:paraId="2E985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BF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A6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C0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B254">
            <w:pPr>
              <w:jc w:val="center"/>
            </w:pPr>
            <w:r>
              <w:rPr>
                <w:rFonts w:ascii="宋体" w:hAnsi="宋体" w:eastAsia="宋体"/>
                <w:sz w:val="16"/>
              </w:rPr>
              <w:t>帮助困难户大学生经费（万元）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8F7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59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34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D5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B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BA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ADF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311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9059D">
            <w:pPr>
              <w:jc w:val="center"/>
            </w:pPr>
          </w:p>
        </w:tc>
      </w:tr>
      <w:tr w14:paraId="5442374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73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B5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99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943B">
            <w:pPr>
              <w:jc w:val="center"/>
            </w:pPr>
            <w:r>
              <w:rPr>
                <w:rFonts w:ascii="宋体" w:hAnsi="宋体" w:eastAsia="宋体"/>
                <w:sz w:val="16"/>
              </w:rPr>
              <w:t>提高农牧民生活质量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6C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47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9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46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CB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F54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10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4E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153A2">
            <w:pPr>
              <w:jc w:val="center"/>
            </w:pPr>
          </w:p>
        </w:tc>
      </w:tr>
      <w:tr w14:paraId="40D22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E7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D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4C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53F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EC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1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FF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F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EE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5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77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41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CA6C">
            <w:pPr>
              <w:jc w:val="center"/>
            </w:pPr>
          </w:p>
        </w:tc>
      </w:tr>
      <w:tr w14:paraId="0D0846B8">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833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4126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58D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0F8217">
            <w:pPr>
              <w:jc w:val="center"/>
            </w:pPr>
            <w:r>
              <w:rPr>
                <w:rFonts w:ascii="宋体" w:hAnsi="宋体" w:eastAsia="宋体"/>
                <w:sz w:val="16"/>
              </w:rPr>
              <w:t>100分</w:t>
            </w:r>
          </w:p>
        </w:tc>
      </w:tr>
    </w:tbl>
    <w:p w14:paraId="0421BE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9E4C070">
        <w:tblPrEx>
          <w:tblCellMar>
            <w:top w:w="0" w:type="dxa"/>
            <w:left w:w="108" w:type="dxa"/>
            <w:bottom w:w="0" w:type="dxa"/>
            <w:right w:w="108" w:type="dxa"/>
          </w:tblCellMar>
        </w:tblPrEx>
        <w:tc>
          <w:tcPr>
            <w:tcW w:w="8848" w:type="dxa"/>
            <w:gridSpan w:val="14"/>
            <w:vAlign w:val="center"/>
          </w:tcPr>
          <w:p w14:paraId="7079ED78">
            <w:pPr>
              <w:jc w:val="center"/>
            </w:pPr>
            <w:r>
              <w:rPr>
                <w:rFonts w:ascii="宋体" w:hAnsi="宋体" w:eastAsia="宋体"/>
                <w:sz w:val="24"/>
              </w:rPr>
              <w:t>项目支出绩效自评表</w:t>
            </w:r>
          </w:p>
        </w:tc>
      </w:tr>
      <w:tr w14:paraId="21347F8F">
        <w:tblPrEx>
          <w:tblCellMar>
            <w:top w:w="0" w:type="dxa"/>
            <w:left w:w="108" w:type="dxa"/>
            <w:bottom w:w="0" w:type="dxa"/>
            <w:right w:w="108" w:type="dxa"/>
          </w:tblCellMar>
        </w:tblPrEx>
        <w:tc>
          <w:tcPr>
            <w:tcW w:w="8848" w:type="dxa"/>
            <w:gridSpan w:val="14"/>
            <w:vAlign w:val="center"/>
          </w:tcPr>
          <w:p w14:paraId="3A475012">
            <w:pPr>
              <w:jc w:val="center"/>
            </w:pPr>
            <w:r>
              <w:rPr>
                <w:rFonts w:ascii="宋体" w:hAnsi="宋体" w:eastAsia="宋体"/>
                <w:sz w:val="24"/>
              </w:rPr>
              <w:t>(2024年度)</w:t>
            </w:r>
          </w:p>
        </w:tc>
      </w:tr>
      <w:tr w14:paraId="0E4E5B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BF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B27674">
            <w:pPr>
              <w:jc w:val="center"/>
            </w:pPr>
            <w:r>
              <w:rPr>
                <w:rFonts w:ascii="宋体" w:hAnsi="宋体" w:eastAsia="宋体"/>
                <w:sz w:val="16"/>
              </w:rPr>
              <w:t>信访业务相关经费</w:t>
            </w:r>
          </w:p>
        </w:tc>
      </w:tr>
      <w:tr w14:paraId="2DA4EE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6A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087CD">
            <w:pPr>
              <w:jc w:val="center"/>
            </w:pPr>
            <w:r>
              <w:rPr>
                <w:rFonts w:ascii="宋体" w:hAnsi="宋体" w:eastAsia="宋体"/>
                <w:sz w:val="16"/>
              </w:rPr>
              <w:t>克孜勒苏柯尔克孜自治州信访局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54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834E70">
            <w:pPr>
              <w:jc w:val="center"/>
            </w:pPr>
            <w:r>
              <w:rPr>
                <w:rFonts w:ascii="宋体" w:hAnsi="宋体" w:eastAsia="宋体"/>
                <w:sz w:val="16"/>
              </w:rPr>
              <w:t>克孜勒苏柯尔克孜自治州信访局</w:t>
            </w:r>
          </w:p>
        </w:tc>
      </w:tr>
      <w:tr w14:paraId="764676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ED3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ECE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5EA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316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216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405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A4F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A34F">
            <w:pPr>
              <w:jc w:val="center"/>
            </w:pPr>
            <w:r>
              <w:rPr>
                <w:rFonts w:ascii="宋体" w:hAnsi="宋体" w:eastAsia="宋体"/>
                <w:sz w:val="16"/>
              </w:rPr>
              <w:t>得分</w:t>
            </w:r>
          </w:p>
        </w:tc>
      </w:tr>
      <w:tr w14:paraId="4F7BD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0DA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E7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12E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6C1A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CFA7">
            <w:pPr>
              <w:jc w:val="center"/>
            </w:pPr>
            <w:r>
              <w:rPr>
                <w:rFonts w:ascii="宋体" w:hAnsi="宋体" w:eastAsia="宋体"/>
                <w:sz w:val="16"/>
              </w:rPr>
              <w:t>14.87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A2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508B">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6C1C">
            <w:pPr>
              <w:jc w:val="center"/>
            </w:pPr>
            <w:r>
              <w:rPr>
                <w:rFonts w:ascii="宋体" w:hAnsi="宋体" w:eastAsia="宋体"/>
                <w:sz w:val="16"/>
              </w:rPr>
              <w:t>10.00分</w:t>
            </w:r>
          </w:p>
        </w:tc>
      </w:tr>
      <w:tr w14:paraId="0B379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D57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66C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B7D5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6ADE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FCE0E">
            <w:pPr>
              <w:jc w:val="center"/>
            </w:pPr>
            <w:r>
              <w:rPr>
                <w:rFonts w:ascii="宋体" w:hAnsi="宋体" w:eastAsia="宋体"/>
                <w:sz w:val="16"/>
              </w:rPr>
              <w:t>14.87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5D9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67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7B81">
            <w:pPr>
              <w:jc w:val="center"/>
            </w:pPr>
            <w:r>
              <w:rPr>
                <w:rFonts w:ascii="宋体" w:hAnsi="宋体" w:eastAsia="宋体"/>
                <w:sz w:val="16"/>
              </w:rPr>
              <w:t>—</w:t>
            </w:r>
          </w:p>
        </w:tc>
      </w:tr>
      <w:tr w14:paraId="2687D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597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50A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08E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3CE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773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190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1D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984B">
            <w:pPr>
              <w:jc w:val="center"/>
            </w:pPr>
            <w:r>
              <w:rPr>
                <w:rFonts w:ascii="宋体" w:hAnsi="宋体" w:eastAsia="宋体"/>
                <w:sz w:val="16"/>
              </w:rPr>
              <w:t>—</w:t>
            </w:r>
          </w:p>
        </w:tc>
      </w:tr>
      <w:tr w14:paraId="3B5F29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556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757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803C33">
            <w:pPr>
              <w:jc w:val="center"/>
            </w:pPr>
            <w:r>
              <w:rPr>
                <w:rFonts w:ascii="宋体" w:hAnsi="宋体" w:eastAsia="宋体"/>
                <w:sz w:val="16"/>
              </w:rPr>
              <w:t>实际完成情况</w:t>
            </w:r>
          </w:p>
        </w:tc>
      </w:tr>
      <w:tr w14:paraId="15CDF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BE3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63D0B7">
            <w:pPr>
              <w:jc w:val="both"/>
            </w:pPr>
            <w:r>
              <w:rPr>
                <w:rFonts w:ascii="宋体" w:hAnsi="宋体" w:eastAsia="宋体"/>
                <w:sz w:val="16"/>
              </w:rPr>
              <w:t>该项目投资15万元，其中财政拨款15万元，资金主要用于信访工作综合协调指导工作和信访事项联合督查，保障自治州信访工作正常运转。通过该项目提升公共服务能力，畅通信访渠道，规范信访秩序，引导群众形成文明、依法、有序的信访秩序，便民利民，降低群众信访成本，切实将矛盾化解在基层、人员稳定在当地，做到“三不出”“零控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9D95D">
            <w:pPr>
              <w:jc w:val="both"/>
            </w:pPr>
            <w:r>
              <w:rPr>
                <w:rFonts w:hint="eastAsia" w:ascii="宋体" w:hAnsi="宋体"/>
                <w:sz w:val="16"/>
                <w:lang w:eastAsia="zh-CN"/>
              </w:rPr>
              <w:t>截至</w:t>
            </w:r>
            <w:r>
              <w:rPr>
                <w:rFonts w:ascii="宋体" w:hAnsi="宋体" w:eastAsia="宋体"/>
                <w:sz w:val="16"/>
              </w:rPr>
              <w:t>2024年年底受理信访案件1328件，采购办公用品批次6批次，联合督查和召开会议3次；使用该资金主要开展信访工作综合协调指导工作和信访事项联合督查，保障自治州信访工作正常运转。通过该项目提升公共服务能力，畅通信访渠道，规范信访秩序，引导群众形成文明、依法、有序的信访秩序，便民利民，降低群众信访成本，切实将矛盾化解在基层、人员稳定在当地，做到“三不出”“零控制”。</w:t>
            </w:r>
          </w:p>
        </w:tc>
      </w:tr>
      <w:tr w14:paraId="29F220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FB9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8E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A2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40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08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15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E8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43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38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8F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F0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36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FD7D">
            <w:pPr>
              <w:jc w:val="center"/>
            </w:pPr>
            <w:r>
              <w:rPr>
                <w:rFonts w:ascii="宋体" w:hAnsi="宋体" w:eastAsia="宋体"/>
                <w:sz w:val="16"/>
              </w:rPr>
              <w:t>偏差原因分析及改进措施</w:t>
            </w:r>
          </w:p>
        </w:tc>
      </w:tr>
      <w:tr w14:paraId="6A672E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92E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2E9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825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6F90">
            <w:pPr>
              <w:jc w:val="center"/>
            </w:pPr>
            <w:r>
              <w:rPr>
                <w:rFonts w:ascii="宋体" w:hAnsi="宋体" w:eastAsia="宋体"/>
                <w:sz w:val="16"/>
              </w:rPr>
              <w:t>受理信访案件（件）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4622">
            <w:pPr>
              <w:jc w:val="center"/>
            </w:pPr>
            <w:r>
              <w:rPr>
                <w:rFonts w:ascii="宋体" w:hAnsi="宋体" w:eastAsia="宋体"/>
                <w:sz w:val="16"/>
              </w:rPr>
              <w:t>&gt;=1200件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5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2D1D">
            <w:pPr>
              <w:jc w:val="center"/>
            </w:pPr>
            <w:r>
              <w:rPr>
                <w:rFonts w:ascii="宋体" w:hAnsi="宋体" w:eastAsia="宋体"/>
                <w:sz w:val="16"/>
              </w:rPr>
              <w:t>1200件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DD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2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7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62A8">
            <w:pPr>
              <w:jc w:val="center"/>
            </w:pPr>
            <w:r>
              <w:rPr>
                <w:rFonts w:ascii="宋体" w:hAnsi="宋体" w:eastAsia="宋体"/>
                <w:sz w:val="16"/>
              </w:rPr>
              <w:t>=1328件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EE52">
            <w:pPr>
              <w:jc w:val="center"/>
            </w:pPr>
            <w:r>
              <w:rPr>
                <w:rFonts w:ascii="宋体" w:hAnsi="宋体" w:eastAsia="宋体"/>
                <w:sz w:val="16"/>
              </w:rPr>
              <w:t>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C7C35">
            <w:pPr>
              <w:jc w:val="center"/>
            </w:pPr>
            <w:r>
              <w:rPr>
                <w:rFonts w:ascii="宋体" w:hAnsi="宋体" w:eastAsia="宋体"/>
                <w:sz w:val="16"/>
              </w:rPr>
              <w:t>偏差原因：信访案件受理件数多，职责履行到位；改进措施：做好预算精准度</w:t>
            </w:r>
          </w:p>
        </w:tc>
      </w:tr>
      <w:tr w14:paraId="71DE9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29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68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7D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C6AF">
            <w:pPr>
              <w:jc w:val="center"/>
            </w:pPr>
            <w:r>
              <w:rPr>
                <w:rFonts w:ascii="宋体" w:hAnsi="宋体" w:eastAsia="宋体"/>
                <w:sz w:val="16"/>
              </w:rPr>
              <w:t>采购办公用品批次（批次）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7043">
            <w:pPr>
              <w:jc w:val="center"/>
            </w:pPr>
            <w:r>
              <w:rPr>
                <w:rFonts w:ascii="宋体" w:hAnsi="宋体" w:eastAsia="宋体"/>
                <w:sz w:val="16"/>
              </w:rPr>
              <w:t>&gt;=6批次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B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2D42">
            <w:pPr>
              <w:jc w:val="center"/>
            </w:pPr>
            <w:r>
              <w:rPr>
                <w:rFonts w:ascii="宋体" w:hAnsi="宋体" w:eastAsia="宋体"/>
                <w:sz w:val="16"/>
              </w:rPr>
              <w: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C8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0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E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D4AB">
            <w:pPr>
              <w:jc w:val="center"/>
            </w:pPr>
            <w:r>
              <w:rPr>
                <w:rFonts w:ascii="宋体" w:hAnsi="宋体" w:eastAsia="宋体"/>
                <w:sz w:val="16"/>
              </w:rPr>
              <w: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A4E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BD805">
            <w:pPr>
              <w:jc w:val="center"/>
            </w:pPr>
          </w:p>
        </w:tc>
      </w:tr>
      <w:tr w14:paraId="7E8F7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B0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0A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42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B3EE">
            <w:pPr>
              <w:jc w:val="center"/>
            </w:pPr>
            <w:r>
              <w:rPr>
                <w:rFonts w:ascii="宋体" w:hAnsi="宋体" w:eastAsia="宋体"/>
                <w:sz w:val="16"/>
              </w:rPr>
              <w:t>联合督查和召开会议（次）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B7D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E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9FA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15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1D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F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F09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BE5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28B5">
            <w:pPr>
              <w:jc w:val="center"/>
            </w:pPr>
          </w:p>
        </w:tc>
      </w:tr>
      <w:tr w14:paraId="63EEF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28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F28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A98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29AC">
            <w:pPr>
              <w:jc w:val="center"/>
            </w:pPr>
            <w:r>
              <w:rPr>
                <w:rFonts w:ascii="宋体" w:hAnsi="宋体" w:eastAsia="宋体"/>
                <w:sz w:val="16"/>
              </w:rPr>
              <w:t>采购办公用品质量验收合格（%）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1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FD9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B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64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E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A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4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107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8A003">
            <w:pPr>
              <w:jc w:val="center"/>
            </w:pPr>
          </w:p>
        </w:tc>
      </w:tr>
      <w:tr w14:paraId="6DB02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E6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80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4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77F4">
            <w:pPr>
              <w:jc w:val="center"/>
            </w:pPr>
            <w:r>
              <w:rPr>
                <w:rFonts w:ascii="宋体" w:hAnsi="宋体" w:eastAsia="宋体"/>
                <w:sz w:val="16"/>
              </w:rPr>
              <w:t>信访事项及时受理率（%）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D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B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6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80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2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BA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0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0F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1CF69">
            <w:pPr>
              <w:jc w:val="center"/>
            </w:pPr>
          </w:p>
        </w:tc>
      </w:tr>
      <w:tr w14:paraId="7B07D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7F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82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AD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C4DC">
            <w:pPr>
              <w:jc w:val="center"/>
            </w:pPr>
            <w:r>
              <w:rPr>
                <w:rFonts w:ascii="宋体" w:hAnsi="宋体" w:eastAsia="宋体"/>
                <w:sz w:val="16"/>
              </w:rPr>
              <w:t>信访事项按期办结率（%）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3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3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0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FA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99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7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B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04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5540F">
            <w:pPr>
              <w:jc w:val="center"/>
            </w:pPr>
          </w:p>
        </w:tc>
      </w:tr>
      <w:tr w14:paraId="2DF88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5E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4C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40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236E">
            <w:pPr>
              <w:jc w:val="center"/>
            </w:pPr>
            <w:r>
              <w:rPr>
                <w:rFonts w:ascii="宋体" w:hAnsi="宋体" w:eastAsia="宋体"/>
                <w:sz w:val="16"/>
              </w:rPr>
              <w:t>信访群众参评率（%）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5B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5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2F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8B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F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BD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72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44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E10E4">
            <w:pPr>
              <w:jc w:val="center"/>
            </w:pPr>
          </w:p>
        </w:tc>
      </w:tr>
      <w:tr w14:paraId="3BDC4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2B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019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946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34C2">
            <w:pPr>
              <w:jc w:val="center"/>
            </w:pPr>
            <w:r>
              <w:rPr>
                <w:rFonts w:ascii="宋体" w:hAnsi="宋体" w:eastAsia="宋体"/>
                <w:sz w:val="16"/>
              </w:rPr>
              <w:t>联合督查和召开会议及时率（%）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A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6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8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95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A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A2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1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173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91DCB">
            <w:pPr>
              <w:jc w:val="center"/>
            </w:pPr>
          </w:p>
        </w:tc>
      </w:tr>
      <w:tr w14:paraId="28818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B7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D2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4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1548">
            <w:pPr>
              <w:jc w:val="center"/>
            </w:pPr>
            <w:r>
              <w:rPr>
                <w:rFonts w:ascii="宋体" w:hAnsi="宋体" w:eastAsia="宋体"/>
                <w:sz w:val="16"/>
              </w:rPr>
              <w:t>信访业务各项工作完成及时率（%）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5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3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7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52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3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0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7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69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94EFF">
            <w:pPr>
              <w:jc w:val="center"/>
            </w:pPr>
          </w:p>
        </w:tc>
      </w:tr>
      <w:tr w14:paraId="0079F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01E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055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C60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D967">
            <w:pPr>
              <w:jc w:val="center"/>
            </w:pPr>
            <w:r>
              <w:rPr>
                <w:rFonts w:ascii="宋体" w:hAnsi="宋体" w:eastAsia="宋体"/>
                <w:sz w:val="16"/>
              </w:rPr>
              <w:t>购买办公用品费用（万元）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0D3A">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21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B72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62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F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F9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F665">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628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2C16">
            <w:pPr>
              <w:jc w:val="center"/>
            </w:pPr>
          </w:p>
        </w:tc>
      </w:tr>
      <w:tr w14:paraId="65AD6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03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8C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CC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711B">
            <w:pPr>
              <w:jc w:val="center"/>
            </w:pPr>
            <w:r>
              <w:rPr>
                <w:rFonts w:ascii="宋体" w:hAnsi="宋体" w:eastAsia="宋体"/>
                <w:sz w:val="16"/>
              </w:rPr>
              <w:t>联合督查召开会议费（万元）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6AC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EE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CF4E">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7C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3D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2E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0AED">
            <w:pPr>
              <w:jc w:val="center"/>
            </w:pPr>
            <w:r>
              <w:rPr>
                <w:rFonts w:ascii="宋体" w:hAnsi="宋体" w:eastAsia="宋体"/>
                <w:sz w:val="16"/>
              </w:rPr>
              <w:t>=2.78万元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42F3">
            <w:pPr>
              <w:jc w:val="center"/>
            </w:pPr>
            <w:r>
              <w:rPr>
                <w:rFonts w:ascii="宋体" w:hAnsi="宋体" w:eastAsia="宋体"/>
                <w:sz w:val="16"/>
              </w:rPr>
              <w:t>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2BB02">
            <w:pPr>
              <w:jc w:val="center"/>
            </w:pPr>
            <w:r>
              <w:rPr>
                <w:rFonts w:ascii="宋体" w:hAnsi="宋体" w:eastAsia="宋体"/>
                <w:sz w:val="16"/>
              </w:rPr>
              <w:t>偏差原因：预算测算偏差。改进措施：今后做好预算，节约资金，落实中央八项规定。</w:t>
            </w:r>
          </w:p>
        </w:tc>
      </w:tr>
      <w:tr w14:paraId="2B216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D5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2CC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F63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0AC3">
            <w:pPr>
              <w:jc w:val="center"/>
            </w:pPr>
            <w:r>
              <w:rPr>
                <w:rFonts w:ascii="宋体" w:hAnsi="宋体" w:eastAsia="宋体"/>
                <w:sz w:val="16"/>
              </w:rPr>
              <w:t>受理信访案件经费数（万元）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1632">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7E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88E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90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D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9A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2D1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D75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0018E">
            <w:pPr>
              <w:jc w:val="center"/>
            </w:pPr>
          </w:p>
        </w:tc>
      </w:tr>
      <w:tr w14:paraId="59304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D8C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60E2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D56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18C9">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C2A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2A4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D23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F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0E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DF6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727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2A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22A38">
            <w:pPr>
              <w:jc w:val="center"/>
            </w:pPr>
          </w:p>
        </w:tc>
      </w:tr>
      <w:tr w14:paraId="42360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41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E2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FC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6A7A">
            <w:pPr>
              <w:jc w:val="center"/>
            </w:pPr>
            <w:r>
              <w:rPr>
                <w:rFonts w:ascii="宋体" w:hAnsi="宋体" w:eastAsia="宋体"/>
                <w:sz w:val="16"/>
              </w:rPr>
              <w:t>提高信访事项处理群众参评率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3A7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1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D0D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64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12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16A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096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53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E4DB8">
            <w:pPr>
              <w:jc w:val="center"/>
            </w:pPr>
          </w:p>
        </w:tc>
      </w:tr>
      <w:tr w14:paraId="1D454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08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69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56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0FBD">
            <w:pPr>
              <w:jc w:val="center"/>
            </w:pPr>
            <w:r>
              <w:rPr>
                <w:rFonts w:ascii="宋体" w:hAnsi="宋体" w:eastAsia="宋体"/>
                <w:sz w:val="16"/>
              </w:rPr>
              <w:t>信访事项处理群众意率（%）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1A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8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B3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46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5C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0B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66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7A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3D856">
            <w:pPr>
              <w:jc w:val="center"/>
            </w:pPr>
          </w:p>
        </w:tc>
      </w:tr>
      <w:tr w14:paraId="23B7B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3EE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48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C6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920A6">
            <w:pPr>
              <w:jc w:val="center"/>
            </w:pPr>
            <w:r>
              <w:rPr>
                <w:rFonts w:ascii="宋体" w:hAnsi="宋体" w:eastAsia="宋体"/>
                <w:sz w:val="16"/>
              </w:rPr>
              <w:t>98.29分</w:t>
            </w:r>
          </w:p>
        </w:tc>
      </w:tr>
    </w:tbl>
    <w:p w14:paraId="21C433A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2EECED3">
        <w:tblPrEx>
          <w:tblCellMar>
            <w:top w:w="0" w:type="dxa"/>
            <w:left w:w="108" w:type="dxa"/>
            <w:bottom w:w="0" w:type="dxa"/>
            <w:right w:w="108" w:type="dxa"/>
          </w:tblCellMar>
        </w:tblPrEx>
        <w:tc>
          <w:tcPr>
            <w:tcW w:w="8848" w:type="dxa"/>
            <w:gridSpan w:val="14"/>
            <w:vAlign w:val="center"/>
          </w:tcPr>
          <w:p w14:paraId="496FC238">
            <w:pPr>
              <w:jc w:val="center"/>
            </w:pPr>
            <w:r>
              <w:rPr>
                <w:rFonts w:ascii="宋体" w:hAnsi="宋体" w:eastAsia="宋体"/>
                <w:sz w:val="24"/>
              </w:rPr>
              <w:t>项目支出绩效自评表</w:t>
            </w:r>
          </w:p>
        </w:tc>
      </w:tr>
      <w:tr w14:paraId="436ED52A">
        <w:tblPrEx>
          <w:tblCellMar>
            <w:top w:w="0" w:type="dxa"/>
            <w:left w:w="108" w:type="dxa"/>
            <w:bottom w:w="0" w:type="dxa"/>
            <w:right w:w="108" w:type="dxa"/>
          </w:tblCellMar>
        </w:tblPrEx>
        <w:tc>
          <w:tcPr>
            <w:tcW w:w="8848" w:type="dxa"/>
            <w:gridSpan w:val="14"/>
            <w:vAlign w:val="center"/>
          </w:tcPr>
          <w:p w14:paraId="140B6F5A">
            <w:pPr>
              <w:jc w:val="center"/>
            </w:pPr>
            <w:r>
              <w:rPr>
                <w:rFonts w:ascii="宋体" w:hAnsi="宋体" w:eastAsia="宋体"/>
                <w:sz w:val="24"/>
              </w:rPr>
              <w:t>(2024年度)</w:t>
            </w:r>
          </w:p>
        </w:tc>
      </w:tr>
      <w:tr w14:paraId="071BF6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FC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E4F2DC">
            <w:pPr>
              <w:jc w:val="center"/>
            </w:pPr>
            <w:r>
              <w:rPr>
                <w:rFonts w:ascii="宋体" w:hAnsi="宋体" w:eastAsia="宋体"/>
                <w:sz w:val="16"/>
              </w:rPr>
              <w:t>机关工委返还的党员活动经费</w:t>
            </w:r>
          </w:p>
        </w:tc>
      </w:tr>
      <w:tr w14:paraId="154B50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E7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9A0B7">
            <w:pPr>
              <w:jc w:val="center"/>
            </w:pPr>
            <w:r>
              <w:rPr>
                <w:rFonts w:ascii="宋体" w:hAnsi="宋体" w:eastAsia="宋体"/>
                <w:sz w:val="16"/>
              </w:rPr>
              <w:t>克孜勒苏柯尔克孜自治州信访局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27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E5EF5E">
            <w:pPr>
              <w:jc w:val="center"/>
            </w:pPr>
            <w:r>
              <w:rPr>
                <w:rFonts w:ascii="宋体" w:hAnsi="宋体" w:eastAsia="宋体"/>
                <w:sz w:val="16"/>
              </w:rPr>
              <w:t>克孜勒苏柯尔克孜自治州信访局</w:t>
            </w:r>
          </w:p>
        </w:tc>
      </w:tr>
      <w:tr w14:paraId="2B208A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C370E">
            <w:pPr>
              <w:jc w:val="center"/>
            </w:pPr>
            <w:bookmarkStart w:id="0" w:name="_GoBack" w:colFirst="3" w:colLast="12"/>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DC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A8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CA5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59F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8F2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A2A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68FA">
            <w:pPr>
              <w:jc w:val="center"/>
            </w:pPr>
            <w:r>
              <w:rPr>
                <w:rFonts w:ascii="宋体" w:hAnsi="宋体" w:eastAsia="宋体"/>
                <w:sz w:val="16"/>
              </w:rPr>
              <w:t>得分</w:t>
            </w:r>
          </w:p>
        </w:tc>
      </w:tr>
      <w:tr w14:paraId="1B91D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A22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63F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B0664">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B89C6">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748A2">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1C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1D5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A5D5">
            <w:pPr>
              <w:jc w:val="center"/>
            </w:pPr>
            <w:r>
              <w:rPr>
                <w:rFonts w:ascii="宋体" w:hAnsi="宋体" w:eastAsia="宋体"/>
                <w:sz w:val="16"/>
              </w:rPr>
              <w:t>10.00分</w:t>
            </w:r>
          </w:p>
        </w:tc>
      </w:tr>
      <w:tr w14:paraId="660BD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7F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416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D93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6F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DA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656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4E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7C9C">
            <w:pPr>
              <w:jc w:val="center"/>
            </w:pPr>
            <w:r>
              <w:rPr>
                <w:rFonts w:ascii="宋体" w:hAnsi="宋体" w:eastAsia="宋体"/>
                <w:sz w:val="16"/>
              </w:rPr>
              <w:t>—</w:t>
            </w:r>
          </w:p>
        </w:tc>
      </w:tr>
      <w:bookmarkEnd w:id="0"/>
      <w:tr w14:paraId="38698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F7A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A7F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0A250">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1FF16">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9C13F">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F2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2C7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0E92">
            <w:pPr>
              <w:jc w:val="center"/>
            </w:pPr>
            <w:r>
              <w:rPr>
                <w:rFonts w:ascii="宋体" w:hAnsi="宋体" w:eastAsia="宋体"/>
                <w:sz w:val="16"/>
              </w:rPr>
              <w:t>—</w:t>
            </w:r>
          </w:p>
        </w:tc>
      </w:tr>
      <w:tr w14:paraId="7A1F31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A3E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9887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F5948">
            <w:pPr>
              <w:jc w:val="center"/>
            </w:pPr>
            <w:r>
              <w:rPr>
                <w:rFonts w:ascii="宋体" w:hAnsi="宋体" w:eastAsia="宋体"/>
                <w:sz w:val="16"/>
              </w:rPr>
              <w:t>实际完成情况</w:t>
            </w:r>
          </w:p>
        </w:tc>
      </w:tr>
      <w:tr w14:paraId="7718C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C6F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9AA30">
            <w:pPr>
              <w:jc w:val="both"/>
            </w:pPr>
            <w:r>
              <w:rPr>
                <w:rFonts w:ascii="宋体" w:hAnsi="宋体" w:eastAsia="宋体"/>
                <w:sz w:val="16"/>
              </w:rPr>
              <w:t>2024年共申报的机关工委返还的党员活动经费0.3万元，其中财政拨款0元，非财政拨款0.3万元。主要用于推进党支部“党旗映天山”主题党日活动，强化党员党性观念和宗旨意识，激发党员干部干事创业、创优争先的热情，持续推进抓党建促业务，深化党支部“四个走在前列”示范引领，持续推进“五个好”党支部标准化规范化创建，建设“四个合格”党员队伍，为推进机关党建工作再上新台阶，建设美丽幸福新克州做出积极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2A0C46">
            <w:pPr>
              <w:jc w:val="both"/>
            </w:pPr>
            <w:r>
              <w:rPr>
                <w:rFonts w:hint="eastAsia" w:ascii="宋体" w:hAnsi="宋体"/>
                <w:sz w:val="16"/>
                <w:lang w:eastAsia="zh-CN"/>
              </w:rPr>
              <w:t>截至</w:t>
            </w:r>
            <w:r>
              <w:rPr>
                <w:rFonts w:ascii="宋体" w:hAnsi="宋体" w:eastAsia="宋体"/>
                <w:sz w:val="16"/>
              </w:rPr>
              <w:t>2024年12月31日机关工委返还的党员活动经费0.3万元，其中财政拨款0元，非财政拨款0.3万元。主要用于推进党支部“党旗映天山”主题党日活动，强化党员党性观念和宗旨意识，激发党员干部干事创业、创优争先的热情，持续推进抓党建促业务，深化党支部“四个走在前列”示范引领，持续推进“五个好”党支部标准化规范化创建，建设“四个合格”党员队伍，为推进机关党建工作再上新台阶，建设美丽幸福新克州做出积极贡献。</w:t>
            </w:r>
          </w:p>
        </w:tc>
      </w:tr>
      <w:tr w14:paraId="5185E4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B53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A3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5C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0D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032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DE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4F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AA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A9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32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92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BF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047B6">
            <w:pPr>
              <w:jc w:val="center"/>
            </w:pPr>
            <w:r>
              <w:rPr>
                <w:rFonts w:ascii="宋体" w:hAnsi="宋体" w:eastAsia="宋体"/>
                <w:sz w:val="16"/>
              </w:rPr>
              <w:t>偏差原因分析及改进措施</w:t>
            </w:r>
          </w:p>
        </w:tc>
      </w:tr>
      <w:tr w14:paraId="494FD6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870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5FF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1C3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4F7D">
            <w:pPr>
              <w:jc w:val="center"/>
            </w:pPr>
            <w:r>
              <w:rPr>
                <w:rFonts w:ascii="宋体" w:hAnsi="宋体" w:eastAsia="宋体"/>
                <w:sz w:val="16"/>
              </w:rPr>
              <w:t>开展主题活动次数（次）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B9B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7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A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C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0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E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370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FA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D76BA">
            <w:pPr>
              <w:jc w:val="center"/>
            </w:pPr>
          </w:p>
        </w:tc>
      </w:tr>
      <w:tr w14:paraId="1BE5E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E7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1E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53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BA63">
            <w:pPr>
              <w:jc w:val="center"/>
            </w:pPr>
            <w:r>
              <w:rPr>
                <w:rFonts w:ascii="宋体" w:hAnsi="宋体" w:eastAsia="宋体"/>
                <w:sz w:val="16"/>
              </w:rPr>
              <w:t>开展机关党支部党建学习次数（次）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783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6B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17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A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4C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9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BBF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62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915BB">
            <w:pPr>
              <w:jc w:val="center"/>
            </w:pPr>
          </w:p>
        </w:tc>
      </w:tr>
      <w:tr w14:paraId="69D07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6F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CE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C0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8A55">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3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8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E2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B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E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B7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1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55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343A">
            <w:pPr>
              <w:jc w:val="center"/>
            </w:pPr>
          </w:p>
        </w:tc>
      </w:tr>
      <w:tr w14:paraId="02EA2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71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A1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47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236C">
            <w:pPr>
              <w:jc w:val="center"/>
            </w:pPr>
            <w:r>
              <w:rPr>
                <w:rFonts w:ascii="宋体" w:hAnsi="宋体" w:eastAsia="宋体"/>
                <w:sz w:val="16"/>
              </w:rPr>
              <w:t>开展活动及时率（%）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E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3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7F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F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7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E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B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8A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9138E">
            <w:pPr>
              <w:jc w:val="center"/>
            </w:pPr>
          </w:p>
        </w:tc>
      </w:tr>
      <w:tr w14:paraId="2D76A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74B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564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B81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33BB">
            <w:pPr>
              <w:jc w:val="center"/>
            </w:pPr>
            <w:r>
              <w:rPr>
                <w:rFonts w:ascii="宋体" w:hAnsi="宋体" w:eastAsia="宋体"/>
                <w:sz w:val="16"/>
              </w:rPr>
              <w:t>开展主题活动成本（万元）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7001">
            <w:pPr>
              <w:jc w:val="center"/>
            </w:pPr>
            <w:r>
              <w:rPr>
                <w:rFonts w:ascii="宋体" w:hAnsi="宋体" w:eastAsia="宋体"/>
                <w:sz w:val="16"/>
              </w:rPr>
              <w:t>&lt;=0.10万元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75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90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75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5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32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293D">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6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26D75">
            <w:pPr>
              <w:jc w:val="center"/>
            </w:pPr>
          </w:p>
        </w:tc>
      </w:tr>
      <w:tr w14:paraId="399D8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17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1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B7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BEEE">
            <w:pPr>
              <w:jc w:val="center"/>
            </w:pPr>
            <w:r>
              <w:rPr>
                <w:rFonts w:ascii="宋体" w:hAnsi="宋体" w:eastAsia="宋体"/>
                <w:sz w:val="16"/>
              </w:rPr>
              <w:t>开展机关党支部党建学习成本（万元）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1FF8">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E7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95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2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3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1B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F7A1">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6A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8CC1D">
            <w:pPr>
              <w:jc w:val="center"/>
            </w:pPr>
          </w:p>
        </w:tc>
      </w:tr>
      <w:tr w14:paraId="2ABAF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085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49E2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0C6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799A">
            <w:pPr>
              <w:jc w:val="center"/>
            </w:pPr>
            <w:r>
              <w:rPr>
                <w:rFonts w:hint="eastAsia" w:ascii="宋体" w:hAnsi="宋体"/>
                <w:sz w:val="16"/>
                <w:lang w:eastAsia="zh-CN"/>
              </w:rPr>
              <w:t>加强</w:t>
            </w:r>
            <w:r>
              <w:rPr>
                <w:rFonts w:ascii="宋体" w:hAnsi="宋体" w:eastAsia="宋体"/>
                <w:sz w:val="16"/>
              </w:rPr>
              <w:t>党性学习，</w:t>
            </w:r>
            <w:r>
              <w:rPr>
                <w:rFonts w:hint="eastAsia" w:ascii="宋体" w:hAnsi="宋体"/>
                <w:sz w:val="16"/>
                <w:lang w:eastAsia="zh-CN"/>
              </w:rPr>
              <w:t>提升</w:t>
            </w:r>
            <w:r>
              <w:rPr>
                <w:rFonts w:ascii="宋体" w:hAnsi="宋体" w:eastAsia="宋体"/>
                <w:sz w:val="16"/>
              </w:rPr>
              <w:t>个人修养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791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E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09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F1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12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C7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01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7A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801E4">
            <w:pPr>
              <w:jc w:val="center"/>
            </w:pPr>
          </w:p>
        </w:tc>
      </w:tr>
      <w:tr w14:paraId="1BA36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DE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3C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4E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FCFE">
            <w:pPr>
              <w:jc w:val="center"/>
            </w:pPr>
            <w:r>
              <w:rPr>
                <w:rFonts w:ascii="宋体" w:hAnsi="宋体" w:eastAsia="宋体"/>
                <w:sz w:val="16"/>
              </w:rPr>
              <w:t>提高了党员党性修养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CC8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FD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7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C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19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416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8D1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95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E402F">
            <w:pPr>
              <w:jc w:val="center"/>
            </w:pPr>
          </w:p>
        </w:tc>
      </w:tr>
      <w:tr w14:paraId="6CB3A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7A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B8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FA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6A07">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31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8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DC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96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42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5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21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37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7D804">
            <w:pPr>
              <w:jc w:val="center"/>
            </w:pPr>
          </w:p>
        </w:tc>
      </w:tr>
      <w:tr w14:paraId="0A6C46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A9E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5D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671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D5C669">
            <w:pPr>
              <w:jc w:val="center"/>
            </w:pPr>
            <w:r>
              <w:rPr>
                <w:rFonts w:ascii="宋体" w:hAnsi="宋体" w:eastAsia="宋体"/>
                <w:sz w:val="16"/>
              </w:rPr>
              <w:t>100分</w:t>
            </w:r>
          </w:p>
        </w:tc>
      </w:tr>
    </w:tbl>
    <w:p w14:paraId="2DB4F7B3">
      <w:r>
        <w:br w:type="page"/>
      </w:r>
    </w:p>
    <w:p w14:paraId="10E41232">
      <w:pPr>
        <w:spacing w:line="640" w:lineRule="exact"/>
        <w:ind w:firstLine="640"/>
        <w:jc w:val="both"/>
        <w:outlineLvl w:val="2"/>
      </w:pPr>
      <w:r>
        <w:rPr>
          <w:rFonts w:ascii="黑体" w:hAnsi="黑体" w:eastAsia="黑体"/>
          <w:sz w:val="32"/>
        </w:rPr>
        <w:t>十二、其他需说明的事项</w:t>
      </w:r>
    </w:p>
    <w:p w14:paraId="67DE2645">
      <w:pPr>
        <w:spacing w:line="580" w:lineRule="exact"/>
        <w:ind w:firstLine="640"/>
        <w:jc w:val="both"/>
      </w:pPr>
      <w:r>
        <w:rPr>
          <w:rFonts w:ascii="仿宋_GB2312" w:hAnsi="仿宋_GB2312" w:eastAsia="仿宋_GB2312"/>
          <w:b w:val="0"/>
          <w:sz w:val="32"/>
        </w:rPr>
        <w:t>本单位无其他需说明的事项。</w:t>
      </w:r>
    </w:p>
    <w:p w14:paraId="19B2296A">
      <w:r>
        <w:br w:type="page"/>
      </w:r>
    </w:p>
    <w:p w14:paraId="1917F8E1">
      <w:pPr>
        <w:spacing w:line="240" w:lineRule="auto"/>
        <w:jc w:val="center"/>
        <w:outlineLvl w:val="1"/>
      </w:pPr>
      <w:r>
        <w:rPr>
          <w:rFonts w:ascii="黑体" w:hAnsi="黑体" w:eastAsia="黑体"/>
          <w:sz w:val="32"/>
        </w:rPr>
        <w:t>第三部分 专业名词解释</w:t>
      </w:r>
    </w:p>
    <w:p w14:paraId="1EA6798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9FAC9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942F41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194A9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9ED20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2FFEB8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5B23A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ED501F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6E2AA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48F52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F902ED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5A322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0B580B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DC83E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98AE12">
      <w:r>
        <w:br w:type="page"/>
      </w:r>
    </w:p>
    <w:p w14:paraId="20E58FC2">
      <w:pPr>
        <w:spacing w:line="240" w:lineRule="auto"/>
        <w:jc w:val="center"/>
        <w:outlineLvl w:val="1"/>
      </w:pPr>
      <w:r>
        <w:rPr>
          <w:rFonts w:ascii="黑体" w:hAnsi="黑体" w:eastAsia="黑体"/>
          <w:sz w:val="32"/>
        </w:rPr>
        <w:t>第四部分 部门决算报表（见附表）</w:t>
      </w:r>
    </w:p>
    <w:p w14:paraId="1B742E6E">
      <w:pPr>
        <w:spacing w:line="240" w:lineRule="auto"/>
        <w:ind w:firstLine="640"/>
        <w:jc w:val="both"/>
      </w:pPr>
      <w:r>
        <w:rPr>
          <w:rFonts w:ascii="仿宋_GB2312" w:hAnsi="仿宋_GB2312" w:eastAsia="仿宋_GB2312"/>
          <w:b w:val="0"/>
          <w:sz w:val="32"/>
        </w:rPr>
        <w:t>一、《收入支出决算总表》</w:t>
      </w:r>
    </w:p>
    <w:p w14:paraId="40749A55">
      <w:pPr>
        <w:spacing w:line="240" w:lineRule="auto"/>
        <w:ind w:firstLine="640"/>
        <w:jc w:val="both"/>
      </w:pPr>
      <w:r>
        <w:rPr>
          <w:rFonts w:ascii="仿宋_GB2312" w:hAnsi="仿宋_GB2312" w:eastAsia="仿宋_GB2312"/>
          <w:b w:val="0"/>
          <w:sz w:val="32"/>
        </w:rPr>
        <w:t>二、《收入决算表》</w:t>
      </w:r>
    </w:p>
    <w:p w14:paraId="5A3209C3">
      <w:pPr>
        <w:spacing w:line="240" w:lineRule="auto"/>
        <w:ind w:firstLine="640"/>
        <w:jc w:val="both"/>
      </w:pPr>
      <w:r>
        <w:rPr>
          <w:rFonts w:ascii="仿宋_GB2312" w:hAnsi="仿宋_GB2312" w:eastAsia="仿宋_GB2312"/>
          <w:b w:val="0"/>
          <w:sz w:val="32"/>
        </w:rPr>
        <w:t>三、《支出决算表》</w:t>
      </w:r>
    </w:p>
    <w:p w14:paraId="05017F6B">
      <w:pPr>
        <w:spacing w:line="240" w:lineRule="auto"/>
        <w:ind w:firstLine="640"/>
        <w:jc w:val="both"/>
      </w:pPr>
      <w:r>
        <w:rPr>
          <w:rFonts w:ascii="仿宋_GB2312" w:hAnsi="仿宋_GB2312" w:eastAsia="仿宋_GB2312"/>
          <w:b w:val="0"/>
          <w:sz w:val="32"/>
        </w:rPr>
        <w:t>四、《财政拨款收入支出决算总表》</w:t>
      </w:r>
    </w:p>
    <w:p w14:paraId="579C6BC5">
      <w:pPr>
        <w:spacing w:line="240" w:lineRule="auto"/>
        <w:ind w:firstLine="640"/>
        <w:jc w:val="both"/>
      </w:pPr>
      <w:r>
        <w:rPr>
          <w:rFonts w:ascii="仿宋_GB2312" w:hAnsi="仿宋_GB2312" w:eastAsia="仿宋_GB2312"/>
          <w:b w:val="0"/>
          <w:sz w:val="32"/>
        </w:rPr>
        <w:t>五、《一般公共预算财政拨款支出决算表》</w:t>
      </w:r>
    </w:p>
    <w:p w14:paraId="730674DA">
      <w:pPr>
        <w:spacing w:line="240" w:lineRule="auto"/>
        <w:ind w:firstLine="640"/>
        <w:jc w:val="both"/>
      </w:pPr>
      <w:r>
        <w:rPr>
          <w:rFonts w:ascii="仿宋_GB2312" w:hAnsi="仿宋_GB2312" w:eastAsia="仿宋_GB2312"/>
          <w:b w:val="0"/>
          <w:sz w:val="32"/>
        </w:rPr>
        <w:t>六、《一般公共预算财政拨款基本支出决算表》</w:t>
      </w:r>
    </w:p>
    <w:p w14:paraId="197C3664">
      <w:pPr>
        <w:spacing w:line="240" w:lineRule="auto"/>
        <w:ind w:firstLine="640"/>
        <w:jc w:val="both"/>
      </w:pPr>
      <w:r>
        <w:rPr>
          <w:rFonts w:ascii="仿宋_GB2312" w:hAnsi="仿宋_GB2312" w:eastAsia="仿宋_GB2312"/>
          <w:b w:val="0"/>
          <w:sz w:val="32"/>
        </w:rPr>
        <w:t>七、《政府性基金预算财政拨款收入支出决算表》</w:t>
      </w:r>
    </w:p>
    <w:p w14:paraId="5EBF3A33">
      <w:pPr>
        <w:spacing w:line="240" w:lineRule="auto"/>
        <w:ind w:firstLine="640"/>
        <w:jc w:val="both"/>
      </w:pPr>
      <w:r>
        <w:rPr>
          <w:rFonts w:ascii="仿宋_GB2312" w:hAnsi="仿宋_GB2312" w:eastAsia="仿宋_GB2312"/>
          <w:b w:val="0"/>
          <w:sz w:val="32"/>
        </w:rPr>
        <w:t>八、《国有资本经营预算财政拨款收入支出决算表》</w:t>
      </w:r>
    </w:p>
    <w:p w14:paraId="78B7BE37">
      <w:pPr>
        <w:spacing w:line="240" w:lineRule="auto"/>
        <w:ind w:firstLine="640"/>
        <w:jc w:val="both"/>
      </w:pPr>
      <w:r>
        <w:rPr>
          <w:rFonts w:ascii="仿宋_GB2312" w:hAnsi="仿宋_GB2312" w:eastAsia="仿宋_GB2312"/>
          <w:b w:val="0"/>
          <w:sz w:val="32"/>
        </w:rPr>
        <w:t>九、《财政拨款“三公”经费支出决算表》</w:t>
      </w:r>
    </w:p>
    <w:p w14:paraId="2341F68D">
      <w:pPr>
        <w:spacing w:line="240" w:lineRule="auto"/>
        <w:ind w:firstLine="640"/>
        <w:jc w:val="both"/>
      </w:pPr>
    </w:p>
    <w:p w14:paraId="494D754C">
      <w:pPr>
        <w:spacing w:line="240" w:lineRule="auto"/>
        <w:ind w:firstLine="640"/>
        <w:jc w:val="both"/>
      </w:pPr>
    </w:p>
    <w:p w14:paraId="16BAA7DD">
      <w:pPr>
        <w:spacing w:line="240" w:lineRule="auto"/>
        <w:ind w:firstLine="640"/>
        <w:jc w:val="both"/>
      </w:pPr>
    </w:p>
    <w:p w14:paraId="1E5C6B85">
      <w:pPr>
        <w:spacing w:line="240" w:lineRule="auto"/>
        <w:ind w:firstLine="640"/>
        <w:jc w:val="both"/>
      </w:pPr>
    </w:p>
    <w:p w14:paraId="3F7B86C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753E72"/>
    <w:rsid w:val="021B7195"/>
    <w:rsid w:val="02F73D26"/>
    <w:rsid w:val="034D4FEF"/>
    <w:rsid w:val="043E5B56"/>
    <w:rsid w:val="06792773"/>
    <w:rsid w:val="09A729D8"/>
    <w:rsid w:val="0A3C58E8"/>
    <w:rsid w:val="0A7B4867"/>
    <w:rsid w:val="0B8C3ECC"/>
    <w:rsid w:val="0C342F8E"/>
    <w:rsid w:val="0C3613A3"/>
    <w:rsid w:val="0C7227A7"/>
    <w:rsid w:val="0CB56E1A"/>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7EF6903"/>
    <w:rsid w:val="282459E2"/>
    <w:rsid w:val="29116777"/>
    <w:rsid w:val="2A053397"/>
    <w:rsid w:val="2A444FB1"/>
    <w:rsid w:val="2A6064E2"/>
    <w:rsid w:val="2C1965E9"/>
    <w:rsid w:val="2D1136DF"/>
    <w:rsid w:val="2DAE0E44"/>
    <w:rsid w:val="2FD27414"/>
    <w:rsid w:val="313F1D52"/>
    <w:rsid w:val="318029AB"/>
    <w:rsid w:val="31C63837"/>
    <w:rsid w:val="326F0A17"/>
    <w:rsid w:val="3277581B"/>
    <w:rsid w:val="36F91791"/>
    <w:rsid w:val="38006E2C"/>
    <w:rsid w:val="3914510A"/>
    <w:rsid w:val="3B1220C9"/>
    <w:rsid w:val="3CC133D5"/>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6F6715E"/>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073B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5271</Words>
  <Characters>5929</Characters>
  <Lines>0</Lines>
  <Paragraphs>0</Paragraphs>
  <TotalTime>3</TotalTime>
  <ScaleCrop>false</ScaleCrop>
  <LinksUpToDate>false</LinksUpToDate>
  <CharactersWithSpaces>5937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2025-09-02T03:51:27Z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