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中国人民政治协商会议克孜勒苏柯尔克孜自治州委员会2024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6ED738">
      <w:r>
        <w:br w:type="page"/>
      </w:r>
    </w:p>
    <w:p w14:paraId="56320057">
      <w:pPr>
        <w:spacing w:line="640" w:lineRule="exact"/>
        <w:jc w:val="center"/>
        <w:outlineLvl w:val="1"/>
      </w:pPr>
      <w:r>
        <w:rPr>
          <w:rFonts w:ascii="黑体" w:hAnsi="黑体" w:eastAsia="黑体"/>
          <w:sz w:val="32"/>
        </w:rPr>
        <w:t>第一部分 单位概况</w:t>
      </w:r>
    </w:p>
    <w:p w14:paraId="6DA4EF90">
      <w:pPr>
        <w:spacing w:line="640" w:lineRule="exact"/>
        <w:ind w:firstLine="640"/>
        <w:jc w:val="both"/>
        <w:outlineLvl w:val="2"/>
      </w:pPr>
      <w:r>
        <w:rPr>
          <w:rFonts w:ascii="黑体" w:hAnsi="黑体" w:eastAsia="黑体"/>
          <w:sz w:val="32"/>
        </w:rPr>
        <w:t>一、主要职能</w:t>
      </w:r>
    </w:p>
    <w:p w14:paraId="37A8FCE5">
      <w:pPr>
        <w:spacing w:line="580" w:lineRule="exact"/>
        <w:ind w:firstLine="640"/>
        <w:jc w:val="both"/>
      </w:pPr>
      <w:r>
        <w:rPr>
          <w:rFonts w:ascii="仿宋_GB2312" w:hAnsi="仿宋_GB2312" w:eastAsia="仿宋_GB2312"/>
          <w:sz w:val="32"/>
        </w:rPr>
        <w:t>克州政协机关负责政协自治州委员会全体会议、</w:t>
      </w:r>
      <w:r>
        <w:rPr>
          <w:rFonts w:hint="eastAsia" w:ascii="仿宋_GB2312" w:hAnsi="仿宋_GB2312" w:eastAsia="仿宋_GB2312"/>
          <w:sz w:val="32"/>
          <w:lang w:eastAsia="zh-CN"/>
        </w:rPr>
        <w:t>常务委员会会议、</w:t>
      </w:r>
      <w:r>
        <w:rPr>
          <w:rFonts w:ascii="仿宋_GB2312" w:hAnsi="仿宋_GB2312" w:eastAsia="仿宋_GB2312"/>
          <w:sz w:val="32"/>
        </w:rPr>
        <w:t>主席会议、专题会议和各专门委员</w:t>
      </w:r>
      <w:r>
        <w:rPr>
          <w:rFonts w:hint="eastAsia" w:ascii="仿宋_GB2312" w:hAnsi="仿宋_GB2312" w:eastAsia="仿宋_GB2312"/>
          <w:sz w:val="32"/>
          <w:lang w:eastAsia="zh-CN"/>
        </w:rPr>
        <w:t>会的</w:t>
      </w:r>
      <w:r>
        <w:rPr>
          <w:rFonts w:ascii="仿宋_GB2312" w:hAnsi="仿宋_GB2312" w:eastAsia="仿宋_GB2312"/>
          <w:sz w:val="32"/>
        </w:rPr>
        <w:t>会务工作；组织实施政协的各类会议，党组会议，主席会议的决议、决定；负责委员的视察、参观、调研、学习等日常活动的各项服务和组织工作；负责政协工作情况的宣传报道，收集反映各界人士的意见和建议；负责联系各县、市政协和州党委、政府有关部门，相互配合、协调工作；负责州政协开展各项工作的后勤保障和服务。</w:t>
      </w:r>
    </w:p>
    <w:p w14:paraId="508D5A50">
      <w:pPr>
        <w:spacing w:line="640" w:lineRule="exact"/>
        <w:ind w:firstLine="640"/>
        <w:jc w:val="both"/>
        <w:outlineLvl w:val="2"/>
      </w:pPr>
      <w:r>
        <w:rPr>
          <w:rFonts w:ascii="黑体" w:hAnsi="黑体" w:eastAsia="黑体"/>
          <w:sz w:val="32"/>
        </w:rPr>
        <w:t>二、机构设置及人员情况</w:t>
      </w:r>
    </w:p>
    <w:p w14:paraId="69384F20">
      <w:pPr>
        <w:spacing w:line="580" w:lineRule="exact"/>
        <w:ind w:firstLine="640"/>
        <w:jc w:val="both"/>
      </w:pPr>
      <w:r>
        <w:rPr>
          <w:rFonts w:ascii="仿宋_GB2312" w:hAnsi="仿宋_GB2312" w:eastAsia="仿宋_GB2312"/>
          <w:sz w:val="32"/>
        </w:rPr>
        <w:t>中国人民政治协商会议克孜勒苏柯尔克孜自治州委员会2024年度，实有人数82人，其中：在职人员33人，增加3人；离休人员0人，增加0人；退休人员49人,增加1人。</w:t>
      </w:r>
    </w:p>
    <w:p w14:paraId="6A2FA811">
      <w:pPr>
        <w:spacing w:line="580" w:lineRule="exact"/>
        <w:ind w:firstLine="640"/>
        <w:jc w:val="both"/>
      </w:pPr>
      <w:r>
        <w:rPr>
          <w:rFonts w:ascii="仿宋_GB2312" w:hAnsi="仿宋_GB2312" w:eastAsia="仿宋_GB2312"/>
          <w:sz w:val="32"/>
        </w:rPr>
        <w:t>中国人民政治协商会议克孜勒苏柯尔克孜自治州委员会无下属预算单位，下设9个科室，分别是：提案委员会、经济和人口资源环境委员会、教科文卫体委员会、民族</w:t>
      </w:r>
      <w:r>
        <w:rPr>
          <w:rFonts w:hint="eastAsia" w:ascii="仿宋_GB2312" w:hAnsi="仿宋_GB2312" w:eastAsia="仿宋_GB2312"/>
          <w:sz w:val="32"/>
          <w:lang w:eastAsia="zh-CN"/>
        </w:rPr>
        <w:t>ZJ</w:t>
      </w:r>
      <w:r>
        <w:rPr>
          <w:rFonts w:ascii="仿宋_GB2312" w:hAnsi="仿宋_GB2312" w:eastAsia="仿宋_GB2312"/>
          <w:sz w:val="32"/>
        </w:rPr>
        <w:t>和法制侨务委员会、文化文史和学习委员会、办公室、财务科、秘书科、委员联络服务中心。</w:t>
      </w:r>
    </w:p>
    <w:p w14:paraId="7B22563C">
      <w:r>
        <w:br w:type="page"/>
      </w:r>
    </w:p>
    <w:p w14:paraId="4ADB79E2">
      <w:pPr>
        <w:spacing w:line="240" w:lineRule="auto"/>
        <w:jc w:val="center"/>
        <w:outlineLvl w:val="1"/>
      </w:pPr>
      <w:r>
        <w:rPr>
          <w:rFonts w:ascii="黑体" w:hAnsi="黑体" w:eastAsia="黑体"/>
          <w:sz w:val="32"/>
        </w:rPr>
        <w:t>第二部分 部门决算情况说明</w:t>
      </w:r>
    </w:p>
    <w:p w14:paraId="68A93BB0">
      <w:pPr>
        <w:spacing w:line="640" w:lineRule="exact"/>
        <w:ind w:firstLine="640"/>
        <w:jc w:val="both"/>
        <w:outlineLvl w:val="2"/>
      </w:pPr>
      <w:r>
        <w:rPr>
          <w:rFonts w:ascii="黑体" w:hAnsi="黑体" w:eastAsia="黑体"/>
          <w:sz w:val="32"/>
        </w:rPr>
        <w:t>一、收入支出决算总体情况说明</w:t>
      </w:r>
    </w:p>
    <w:p w14:paraId="2429B51B">
      <w:pPr>
        <w:spacing w:line="580" w:lineRule="exact"/>
        <w:ind w:firstLine="640"/>
        <w:jc w:val="both"/>
      </w:pPr>
      <w:r>
        <w:rPr>
          <w:rFonts w:ascii="仿宋_GB2312" w:hAnsi="仿宋_GB2312" w:eastAsia="仿宋_GB2312"/>
          <w:b/>
          <w:sz w:val="32"/>
        </w:rPr>
        <w:t>2024年度收入总计1,064.62万元，</w:t>
      </w:r>
      <w:r>
        <w:rPr>
          <w:rFonts w:ascii="仿宋_GB2312" w:hAnsi="仿宋_GB2312" w:eastAsia="仿宋_GB2312"/>
          <w:b w:val="0"/>
          <w:sz w:val="32"/>
        </w:rPr>
        <w:t>其中：本年收入合计1,026.85万元，使用非财政拨款结余（含专用结余）0.00万元，年初结转和结余37.77万元。</w:t>
      </w:r>
    </w:p>
    <w:p w14:paraId="544E7437">
      <w:pPr>
        <w:spacing w:line="580" w:lineRule="exact"/>
        <w:ind w:firstLine="640"/>
        <w:jc w:val="both"/>
      </w:pPr>
      <w:r>
        <w:rPr>
          <w:rFonts w:ascii="仿宋_GB2312" w:hAnsi="仿宋_GB2312" w:eastAsia="仿宋_GB2312"/>
          <w:b/>
          <w:sz w:val="32"/>
        </w:rPr>
        <w:t>2024年度支出总计1,064.62万元，</w:t>
      </w:r>
      <w:r>
        <w:rPr>
          <w:rFonts w:ascii="仿宋_GB2312" w:hAnsi="仿宋_GB2312" w:eastAsia="仿宋_GB2312"/>
          <w:b w:val="0"/>
          <w:sz w:val="32"/>
        </w:rPr>
        <w:t>其中：本年支出合计1,058.44万元，结余分配0.00万元，年末结转和结余6.18万元。</w:t>
      </w:r>
    </w:p>
    <w:p w14:paraId="57240E04">
      <w:pPr>
        <w:spacing w:line="580" w:lineRule="exact"/>
        <w:ind w:firstLine="640"/>
        <w:jc w:val="both"/>
      </w:pPr>
      <w:r>
        <w:rPr>
          <w:rFonts w:ascii="仿宋_GB2312" w:hAnsi="仿宋_GB2312" w:eastAsia="仿宋_GB2312"/>
          <w:b w:val="0"/>
          <w:sz w:val="32"/>
        </w:rPr>
        <w:t>收入支出总体与上年相比，增加44.71万元，增长4.38%，主要原因是：本年新增在职人员，在职人员工资调增，导致相关人员经费较上年有所增加。</w:t>
      </w:r>
    </w:p>
    <w:p w14:paraId="28B481DA">
      <w:pPr>
        <w:spacing w:line="640" w:lineRule="exact"/>
        <w:ind w:firstLine="640"/>
        <w:jc w:val="both"/>
        <w:outlineLvl w:val="2"/>
      </w:pPr>
      <w:r>
        <w:rPr>
          <w:rFonts w:ascii="黑体" w:hAnsi="黑体" w:eastAsia="黑体"/>
          <w:sz w:val="32"/>
        </w:rPr>
        <w:t>二、收入决算情况说明</w:t>
      </w:r>
    </w:p>
    <w:p w14:paraId="67AFC928">
      <w:pPr>
        <w:spacing w:line="580" w:lineRule="exact"/>
        <w:ind w:firstLine="640"/>
        <w:jc w:val="both"/>
      </w:pPr>
      <w:r>
        <w:rPr>
          <w:rFonts w:ascii="仿宋_GB2312" w:hAnsi="仿宋_GB2312" w:eastAsia="仿宋_GB2312"/>
          <w:b/>
          <w:sz w:val="32"/>
        </w:rPr>
        <w:t>本年收入1,026.85万元，</w:t>
      </w:r>
      <w:r>
        <w:rPr>
          <w:rFonts w:ascii="仿宋_GB2312" w:hAnsi="仿宋_GB2312" w:eastAsia="仿宋_GB2312"/>
          <w:b w:val="0"/>
          <w:sz w:val="32"/>
        </w:rPr>
        <w:t>其中：财政拨款收入1,024.55万元，占99.78%；上级补助收入0.00万元，占0.00%；事业收入0.00万元，占0.00%；经营收入0.00万元，占0.00%；附属单位上缴收入0.00万元，占0.00%；其他收入2.30万元，占0.22%。</w:t>
      </w:r>
    </w:p>
    <w:p w14:paraId="78B94837">
      <w:pPr>
        <w:spacing w:line="640" w:lineRule="exact"/>
        <w:ind w:firstLine="640"/>
        <w:jc w:val="both"/>
        <w:outlineLvl w:val="2"/>
      </w:pPr>
      <w:r>
        <w:rPr>
          <w:rFonts w:ascii="黑体" w:hAnsi="黑体" w:eastAsia="黑体"/>
          <w:sz w:val="32"/>
        </w:rPr>
        <w:t>三、支出决算情况说明</w:t>
      </w:r>
    </w:p>
    <w:p w14:paraId="09865258">
      <w:pPr>
        <w:spacing w:line="580" w:lineRule="exact"/>
        <w:ind w:firstLine="640"/>
        <w:jc w:val="both"/>
      </w:pPr>
      <w:r>
        <w:rPr>
          <w:rFonts w:ascii="仿宋_GB2312" w:hAnsi="仿宋_GB2312" w:eastAsia="仿宋_GB2312"/>
          <w:b/>
          <w:sz w:val="32"/>
        </w:rPr>
        <w:t>本年支出1,058.44万元，</w:t>
      </w:r>
      <w:r>
        <w:rPr>
          <w:rFonts w:ascii="仿宋_GB2312" w:hAnsi="仿宋_GB2312" w:eastAsia="仿宋_GB2312"/>
          <w:b w:val="0"/>
          <w:sz w:val="32"/>
        </w:rPr>
        <w:t>其中：基本支出1,031.44万元，占97.45%；项目支出27.00万元，占2.55%；上缴上级支出0.00万元，占0.00%；经营支出0.00万元，占0.00%；对附属单位补助支出0.00万元，占0.00%。</w:t>
      </w:r>
    </w:p>
    <w:p w14:paraId="1128F4CF">
      <w:pPr>
        <w:spacing w:line="640" w:lineRule="exact"/>
        <w:ind w:firstLine="640"/>
        <w:jc w:val="both"/>
        <w:outlineLvl w:val="2"/>
      </w:pPr>
      <w:r>
        <w:rPr>
          <w:rFonts w:ascii="黑体" w:hAnsi="黑体" w:eastAsia="黑体"/>
          <w:sz w:val="32"/>
        </w:rPr>
        <w:t>四、财政拨款收入支出决算总体情况说明</w:t>
      </w:r>
    </w:p>
    <w:p w14:paraId="1580AA95">
      <w:pPr>
        <w:spacing w:line="580" w:lineRule="exact"/>
        <w:ind w:firstLine="640"/>
        <w:jc w:val="both"/>
      </w:pPr>
      <w:r>
        <w:rPr>
          <w:rFonts w:ascii="仿宋_GB2312" w:hAnsi="仿宋_GB2312" w:eastAsia="仿宋_GB2312"/>
          <w:b/>
          <w:sz w:val="32"/>
        </w:rPr>
        <w:t>2024年度财政拨款收入总计1,024.55万元，</w:t>
      </w:r>
      <w:r>
        <w:rPr>
          <w:rFonts w:ascii="仿宋_GB2312" w:hAnsi="仿宋_GB2312" w:eastAsia="仿宋_GB2312"/>
          <w:b w:val="0"/>
          <w:sz w:val="32"/>
        </w:rPr>
        <w:t>其中：年初财政拨款结转和结余0.00万元，本年财政拨款收入1,024.55万元。</w:t>
      </w:r>
      <w:r>
        <w:rPr>
          <w:rFonts w:ascii="仿宋_GB2312" w:hAnsi="仿宋_GB2312" w:eastAsia="仿宋_GB2312"/>
          <w:b/>
          <w:sz w:val="32"/>
        </w:rPr>
        <w:t>财政拨款支出总计1,024.55万元，</w:t>
      </w:r>
      <w:r>
        <w:rPr>
          <w:rFonts w:ascii="仿宋_GB2312" w:hAnsi="仿宋_GB2312" w:eastAsia="仿宋_GB2312"/>
          <w:b w:val="0"/>
          <w:sz w:val="32"/>
        </w:rPr>
        <w:t>其中：年末财政拨款结转和结余0.00万元，本年财政拨款支出1,024.55万元。</w:t>
      </w:r>
    </w:p>
    <w:p w14:paraId="2A943B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增加53.02万元，增长5.46%，主要原因是：本年新增在职人员，在职人员工资调增，导致相关人员经费较上年有所增加。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年初预算数925.16万元，决算数1,024.55万元，预决算差异率10.74%，主要原因是：本年在职人员增加，年中追加人员经费及人员工资、社保、公积金基数调增部分资金，导致预决算存在差异。</w:t>
      </w:r>
    </w:p>
    <w:p w14:paraId="144EB123">
      <w:pPr>
        <w:spacing w:line="640" w:lineRule="exact"/>
        <w:ind w:firstLine="640"/>
        <w:jc w:val="both"/>
        <w:outlineLvl w:val="2"/>
      </w:pPr>
      <w:r>
        <w:rPr>
          <w:rFonts w:ascii="黑体" w:hAnsi="黑体" w:eastAsia="黑体"/>
          <w:sz w:val="32"/>
        </w:rPr>
        <w:t>五、一般公共预算财政拨款支出决算情况说明</w:t>
      </w:r>
    </w:p>
    <w:p w14:paraId="46DCBE4A">
      <w:pPr>
        <w:spacing w:line="640" w:lineRule="exact"/>
        <w:ind w:firstLine="640"/>
        <w:jc w:val="both"/>
        <w:outlineLvl w:val="3"/>
      </w:pPr>
      <w:r>
        <w:rPr>
          <w:rFonts w:ascii="楷体_GB2312" w:hAnsi="楷体_GB2312" w:eastAsia="楷体_GB2312"/>
          <w:b/>
          <w:sz w:val="32"/>
        </w:rPr>
        <w:t>（一）一般公共预算财政拨款支出决算总体情况</w:t>
      </w:r>
    </w:p>
    <w:p w14:paraId="7661DE2F">
      <w:pPr>
        <w:spacing w:line="580" w:lineRule="exact"/>
        <w:ind w:firstLine="640"/>
        <w:jc w:val="both"/>
      </w:pPr>
      <w:r>
        <w:rPr>
          <w:rFonts w:ascii="仿宋_GB2312" w:hAnsi="仿宋_GB2312" w:eastAsia="仿宋_GB2312"/>
          <w:b/>
          <w:sz w:val="32"/>
        </w:rPr>
        <w:t>2024年度一般公共预算财政拨款支出1,024.55万元，</w:t>
      </w:r>
      <w:r>
        <w:rPr>
          <w:rFonts w:ascii="仿宋_GB2312" w:hAnsi="仿宋_GB2312" w:eastAsia="仿宋_GB2312"/>
          <w:b w:val="0"/>
          <w:sz w:val="32"/>
        </w:rPr>
        <w:t>占本年支出合计的96.80%。</w:t>
      </w:r>
      <w:r>
        <w:rPr>
          <w:rFonts w:ascii="仿宋_GB2312" w:hAnsi="仿宋_GB2312" w:eastAsia="仿宋_GB2312"/>
          <w:b/>
          <w:sz w:val="32"/>
        </w:rPr>
        <w:t>与上年相比，</w:t>
      </w:r>
      <w:r>
        <w:rPr>
          <w:rFonts w:ascii="仿宋_GB2312" w:hAnsi="仿宋_GB2312" w:eastAsia="仿宋_GB2312"/>
          <w:b w:val="0"/>
          <w:sz w:val="32"/>
        </w:rPr>
        <w:t>增加53.02万元，增长5.46%，主要原因是：本年新增在职人员，在职人员工资调增，导致相关人员经费较上年有所增加。</w:t>
      </w:r>
      <w:r>
        <w:rPr>
          <w:rFonts w:ascii="仿宋_GB2312" w:hAnsi="仿宋_GB2312" w:eastAsia="仿宋_GB2312"/>
          <w:b/>
          <w:sz w:val="32"/>
        </w:rPr>
        <w:t>与年初预算相比,</w:t>
      </w:r>
      <w:r>
        <w:rPr>
          <w:rFonts w:ascii="仿宋_GB2312" w:hAnsi="仿宋_GB2312" w:eastAsia="仿宋_GB2312"/>
          <w:b w:val="0"/>
          <w:sz w:val="32"/>
        </w:rPr>
        <w:t>年初预算数925.16万元，决算数1,024.55万元，预决算差异率10.74%，主要原因是：本年在职人员增加，年中追加人员经费及人员工资、社保、公积金基数调增部分资金，导致预决算存在差异。</w:t>
      </w:r>
    </w:p>
    <w:p w14:paraId="0F2879AB">
      <w:pPr>
        <w:spacing w:line="640" w:lineRule="exact"/>
        <w:ind w:firstLine="640"/>
        <w:jc w:val="both"/>
        <w:outlineLvl w:val="3"/>
      </w:pPr>
      <w:r>
        <w:rPr>
          <w:rFonts w:ascii="楷体_GB2312" w:hAnsi="楷体_GB2312" w:eastAsia="楷体_GB2312"/>
          <w:b/>
          <w:sz w:val="32"/>
        </w:rPr>
        <w:t>（二）一般公共预算财政拨款支出决算结构情况</w:t>
      </w:r>
    </w:p>
    <w:p w14:paraId="4CB559D8">
      <w:pPr>
        <w:spacing w:line="580" w:lineRule="exact"/>
        <w:ind w:firstLine="640"/>
        <w:jc w:val="both"/>
      </w:pPr>
      <w:r>
        <w:rPr>
          <w:rFonts w:ascii="仿宋_GB2312" w:hAnsi="仿宋_GB2312" w:eastAsia="仿宋_GB2312"/>
          <w:b w:val="0"/>
          <w:sz w:val="32"/>
        </w:rPr>
        <w:t>1.一般公共服务支出(类)823.76万元,占80.40%。</w:t>
      </w:r>
    </w:p>
    <w:p w14:paraId="38AD9880">
      <w:pPr>
        <w:spacing w:line="580" w:lineRule="exact"/>
        <w:ind w:firstLine="640"/>
        <w:jc w:val="both"/>
      </w:pPr>
      <w:r>
        <w:rPr>
          <w:rFonts w:ascii="仿宋_GB2312" w:hAnsi="仿宋_GB2312" w:eastAsia="仿宋_GB2312"/>
          <w:b w:val="0"/>
          <w:sz w:val="32"/>
        </w:rPr>
        <w:t>2.社会保障和就业支出(类)200.79万元,占19.60%。</w:t>
      </w:r>
    </w:p>
    <w:p w14:paraId="11EA57CC">
      <w:pPr>
        <w:spacing w:line="640" w:lineRule="exact"/>
        <w:ind w:firstLine="640"/>
        <w:jc w:val="both"/>
        <w:outlineLvl w:val="3"/>
      </w:pPr>
      <w:r>
        <w:rPr>
          <w:rFonts w:ascii="楷体_GB2312" w:hAnsi="楷体_GB2312" w:eastAsia="楷体_GB2312"/>
          <w:b/>
          <w:sz w:val="32"/>
        </w:rPr>
        <w:t>（三）一般公共预算财政拨款支出决算具体情况</w:t>
      </w:r>
    </w:p>
    <w:p w14:paraId="04A1DA9F">
      <w:pPr>
        <w:spacing w:line="580" w:lineRule="exact"/>
        <w:ind w:firstLine="640"/>
        <w:jc w:val="both"/>
      </w:pPr>
      <w:r>
        <w:rPr>
          <w:rFonts w:ascii="仿宋_GB2312" w:hAnsi="仿宋_GB2312" w:eastAsia="仿宋_GB2312"/>
          <w:b w:val="0"/>
          <w:sz w:val="32"/>
        </w:rPr>
        <w:t>1.一般公共服务支出(类)政协事务(款)行政运行(项):支出决算数为694.70万元，比上年决算增加38.36万元，增长5.84%,主要原因是：本年新增在职人员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在职人员调薪</w:t>
      </w:r>
      <w:r>
        <w:rPr>
          <w:rFonts w:ascii="仿宋_GB2312" w:hAnsi="仿宋_GB2312" w:eastAsia="仿宋_GB2312"/>
          <w:b w:val="0"/>
          <w:sz w:val="32"/>
        </w:rPr>
        <w:t>，人员经费增加，导致经费较上年有所增加。</w:t>
      </w:r>
    </w:p>
    <w:p w14:paraId="44DBA7A5">
      <w:pPr>
        <w:spacing w:line="580" w:lineRule="exact"/>
        <w:ind w:firstLine="640"/>
        <w:jc w:val="both"/>
      </w:pPr>
      <w:r>
        <w:rPr>
          <w:rFonts w:ascii="仿宋_GB2312" w:hAnsi="仿宋_GB2312" w:eastAsia="仿宋_GB2312"/>
          <w:b w:val="0"/>
          <w:sz w:val="32"/>
        </w:rPr>
        <w:t>2.一般公共服务支出(类)政协事务(款)事业运行(项):支出决算数为102.06万元，比上年决算增加36.57万元，增长55.84%,主要原因是：本年新增在职人员</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在职人员调薪</w:t>
      </w:r>
      <w:r>
        <w:rPr>
          <w:rFonts w:ascii="仿宋_GB2312" w:hAnsi="仿宋_GB2312" w:eastAsia="仿宋_GB2312"/>
          <w:b w:val="0"/>
          <w:sz w:val="32"/>
        </w:rPr>
        <w:t>，人员经费增加，导致经费较上年有所增加。</w:t>
      </w:r>
    </w:p>
    <w:p w14:paraId="62D27807">
      <w:pPr>
        <w:spacing w:line="580" w:lineRule="exact"/>
        <w:ind w:firstLine="640"/>
        <w:jc w:val="both"/>
      </w:pPr>
      <w:r>
        <w:rPr>
          <w:rFonts w:ascii="仿宋_GB2312" w:hAnsi="仿宋_GB2312" w:eastAsia="仿宋_GB2312"/>
          <w:b w:val="0"/>
          <w:sz w:val="32"/>
        </w:rPr>
        <w:t>3.一般公共服务支出(类)政协事务(款)其他政协事务支出(项):支出决算数为27.00万元，比上年决算减少10.50万元，下降28.00%,主要原因是：本年减少政协志编制作费，相关经费减少。</w:t>
      </w:r>
    </w:p>
    <w:p w14:paraId="7D37124D">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4.社会保障和就业支出(类)行政事业单位养老支出(款)行政单位离退休(项):支出决算数为103.31万元，比上年决算增加20.18万元，增长24.28%,主要原因是：本年退休人员增加，退休费支出增加。</w:t>
      </w:r>
    </w:p>
    <w:p w14:paraId="620370B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73.18万元，比上年决算减少5.91万元，下降7.47%,主要原因是：本年在职人员调入调出，人员职级不同，缴费基数不同，导致养老保险缴费较上年减少。</w:t>
      </w:r>
    </w:p>
    <w:p w14:paraId="278BABA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24.29万元，比上年决算减少2.42万元，下降9.06%,主要原因是：本年新增退休人员较上年减少，职业年金缴费较上年减少。</w:t>
      </w:r>
    </w:p>
    <w:p w14:paraId="7D14B110">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7.社会保障和就业支出(类)抚恤(款)死亡抚恤(项):支出决算数为0.00万元，比上年决算减少23.27万元，下降100.00%,主要原因是：本年无新增死亡人员，死亡抚恤支出较上年减少。</w:t>
      </w:r>
    </w:p>
    <w:p w14:paraId="160171FB">
      <w:pPr>
        <w:spacing w:line="640" w:lineRule="exact"/>
        <w:ind w:firstLine="640"/>
        <w:jc w:val="both"/>
        <w:outlineLvl w:val="2"/>
      </w:pPr>
      <w:r>
        <w:rPr>
          <w:rFonts w:ascii="黑体" w:hAnsi="黑体" w:eastAsia="黑体"/>
          <w:sz w:val="32"/>
        </w:rPr>
        <w:t>六、一般公共预算财政拨款基本支出决算情况说明</w:t>
      </w:r>
    </w:p>
    <w:p w14:paraId="7AA00E54">
      <w:pPr>
        <w:spacing w:line="580" w:lineRule="exact"/>
        <w:ind w:firstLine="640"/>
        <w:jc w:val="both"/>
      </w:pPr>
      <w:r>
        <w:rPr>
          <w:rFonts w:ascii="仿宋_GB2312" w:hAnsi="仿宋_GB2312" w:eastAsia="仿宋_GB2312"/>
          <w:b w:val="0"/>
          <w:sz w:val="32"/>
        </w:rPr>
        <w:t>2024年度一般公共预算财政拨款基本支出997.55万元，其中：</w:t>
      </w:r>
      <w:r>
        <w:rPr>
          <w:rFonts w:ascii="仿宋_GB2312" w:hAnsi="仿宋_GB2312" w:eastAsia="仿宋_GB2312"/>
          <w:b/>
          <w:sz w:val="32"/>
        </w:rPr>
        <w:t>人员经费891.68万元，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包括：基本工资、津贴补贴、奖金、绩效工资、机关事业单位基本养老保险缴费、职业年金缴费、职工基本医疗保险缴费、其他社会保障缴费、住房公积金、退休费、抚恤金、奖励金、其他对个人和家庭的补助。</w:t>
      </w:r>
    </w:p>
    <w:p w14:paraId="131A296A">
      <w:pPr>
        <w:spacing w:line="580" w:lineRule="exact"/>
        <w:ind w:firstLine="640"/>
        <w:jc w:val="both"/>
      </w:pPr>
      <w:r>
        <w:rPr>
          <w:rFonts w:ascii="仿宋_GB2312" w:hAnsi="仿宋_GB2312" w:eastAsia="仿宋_GB2312"/>
          <w:b/>
          <w:sz w:val="32"/>
        </w:rPr>
        <w:t>公用经费105.87万元，</w:t>
      </w:r>
      <w:r>
        <w:rPr>
          <w:rFonts w:ascii="仿宋_GB2312" w:hAnsi="仿宋_GB2312" w:eastAsia="仿宋_GB2312"/>
          <w:b w:val="0"/>
          <w:sz w:val="32"/>
        </w:rPr>
        <w:t>包括：办公费、印刷费、邮电费、物业管理费、差旅费、维修（护）费、会议费、培训费、公务接待费、劳务费、工会经费、福利费、公务用车运行维护费、其他交通费用、其他商品和服务支出。</w:t>
      </w:r>
    </w:p>
    <w:p w14:paraId="705E28CE">
      <w:pPr>
        <w:spacing w:line="640" w:lineRule="exact"/>
        <w:ind w:firstLine="640"/>
        <w:jc w:val="both"/>
        <w:outlineLvl w:val="2"/>
      </w:pPr>
      <w:r>
        <w:rPr>
          <w:rFonts w:ascii="黑体" w:hAnsi="黑体" w:eastAsia="黑体"/>
          <w:sz w:val="32"/>
        </w:rPr>
        <w:t>七、政府性基金预算财政拨款收入支出决算情况说明</w:t>
      </w:r>
    </w:p>
    <w:p w14:paraId="5C6E55A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A0AADA">
      <w:pPr>
        <w:spacing w:line="640" w:lineRule="exact"/>
        <w:ind w:firstLine="640"/>
        <w:jc w:val="both"/>
        <w:outlineLvl w:val="2"/>
      </w:pPr>
      <w:r>
        <w:rPr>
          <w:rFonts w:ascii="黑体" w:hAnsi="黑体" w:eastAsia="黑体"/>
          <w:sz w:val="32"/>
        </w:rPr>
        <w:t>八、国有资本经营预算财政拨款收入支出决算情况说明</w:t>
      </w:r>
    </w:p>
    <w:p w14:paraId="1BBB76C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5A0ACFF">
      <w:pPr>
        <w:spacing w:line="640" w:lineRule="exact"/>
        <w:ind w:firstLine="640"/>
        <w:jc w:val="both"/>
        <w:outlineLvl w:val="2"/>
      </w:pPr>
      <w:r>
        <w:rPr>
          <w:rFonts w:ascii="黑体" w:hAnsi="黑体" w:eastAsia="黑体"/>
          <w:sz w:val="32"/>
        </w:rPr>
        <w:t>九、财政拨款“三公”经费支出决算情况说明</w:t>
      </w:r>
    </w:p>
    <w:p w14:paraId="417AEBFF">
      <w:pPr>
        <w:spacing w:line="580" w:lineRule="exact"/>
        <w:ind w:firstLine="640"/>
        <w:jc w:val="both"/>
      </w:pPr>
      <w:r>
        <w:rPr>
          <w:rFonts w:ascii="仿宋_GB2312" w:hAnsi="仿宋_GB2312" w:eastAsia="仿宋_GB2312"/>
          <w:b/>
          <w:sz w:val="32"/>
        </w:rPr>
        <w:t>2024年度财政拨款“三公”经费支出14.06万元，</w:t>
      </w:r>
      <w:r>
        <w:rPr>
          <w:rFonts w:ascii="仿宋_GB2312" w:hAnsi="仿宋_GB2312" w:eastAsia="仿宋_GB2312"/>
          <w:b w:val="0"/>
          <w:sz w:val="32"/>
        </w:rPr>
        <w:t>比上年增加0.37万元，增长2.70%，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9.40万元，占66.86%，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单位公务用车运行维护费与上年一致无变化。公务接待费支出4.66万元，占33.14%，比上年增加0.37万元，增长8.62%，主要原因是：本年因业务需求，增加公务接待工作，导致公务接待费较上年增加。</w:t>
      </w:r>
    </w:p>
    <w:p w14:paraId="5EFB01B0">
      <w:pPr>
        <w:spacing w:line="580" w:lineRule="exact"/>
        <w:ind w:firstLine="640"/>
        <w:jc w:val="both"/>
      </w:pPr>
      <w:r>
        <w:rPr>
          <w:rFonts w:ascii="仿宋_GB2312" w:hAnsi="仿宋_GB2312" w:eastAsia="仿宋_GB2312"/>
          <w:b/>
          <w:sz w:val="32"/>
        </w:rPr>
        <w:t>具体情况如下：</w:t>
      </w:r>
    </w:p>
    <w:p w14:paraId="358EF5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03418C">
      <w:pPr>
        <w:spacing w:line="580" w:lineRule="exact"/>
        <w:ind w:firstLine="640"/>
        <w:jc w:val="both"/>
      </w:pPr>
      <w:r>
        <w:rPr>
          <w:rFonts w:ascii="仿宋_GB2312" w:hAnsi="仿宋_GB2312" w:eastAsia="仿宋_GB2312"/>
          <w:b w:val="0"/>
          <w:sz w:val="32"/>
        </w:rPr>
        <w:t>公务用车购置及运行维护费9.40万元，其中：公务用车购置费0.00万元，公务用车运行维护费9.40万元。公务用车运行维护费开支内容包括车辆加油费、保险费、维修费。公务用车购置数0辆，公务用车保有量5辆。国有资产占用情况中固定资产车辆5辆，与公务用车保有量差异原因是：本单位固定资产车辆与公务用车保有量一致无差异。</w:t>
      </w:r>
    </w:p>
    <w:p w14:paraId="35D13F6F">
      <w:pPr>
        <w:spacing w:line="580" w:lineRule="exact"/>
        <w:ind w:firstLine="640"/>
        <w:jc w:val="both"/>
      </w:pPr>
      <w:r>
        <w:rPr>
          <w:rFonts w:ascii="仿宋_GB2312" w:hAnsi="仿宋_GB2312" w:eastAsia="仿宋_GB2312"/>
          <w:b w:val="0"/>
          <w:sz w:val="32"/>
        </w:rPr>
        <w:t>公务接待费4.66万元，开支内容包括接待上级领导检查、调研产生的就餐费。单位全年安排的国内公务接待32批次，576人次。</w:t>
      </w:r>
    </w:p>
    <w:p w14:paraId="666CC25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14.06万元，决算数14.06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9.40万元，决算数9.40万元，预决算差异率0.00%，主要原因是：严格按照预算执行，预决算无差异。公务接待费全年预算数4.66万元，决算数4.66万元，预决算差异率0.00%，主要原因是：严格按照预算执行，预决算无差异。</w:t>
      </w:r>
    </w:p>
    <w:p w14:paraId="1D271C70">
      <w:pPr>
        <w:spacing w:line="640" w:lineRule="exact"/>
        <w:ind w:firstLine="640"/>
        <w:jc w:val="both"/>
        <w:outlineLvl w:val="2"/>
      </w:pPr>
      <w:r>
        <w:rPr>
          <w:rFonts w:ascii="黑体" w:hAnsi="黑体" w:eastAsia="黑体"/>
          <w:sz w:val="32"/>
        </w:rPr>
        <w:t>十、其他重要事项的情况说明</w:t>
      </w:r>
    </w:p>
    <w:p w14:paraId="357EFB90">
      <w:pPr>
        <w:spacing w:line="640" w:lineRule="exact"/>
        <w:ind w:firstLine="640"/>
        <w:jc w:val="both"/>
        <w:outlineLvl w:val="3"/>
      </w:pPr>
      <w:r>
        <w:rPr>
          <w:rFonts w:ascii="楷体_GB2312" w:hAnsi="楷体_GB2312" w:eastAsia="楷体_GB2312"/>
          <w:b/>
          <w:sz w:val="32"/>
        </w:rPr>
        <w:t>（一）机关运行经费及公用经费支出情况</w:t>
      </w:r>
    </w:p>
    <w:p w14:paraId="0E4BFF2A">
      <w:pPr>
        <w:spacing w:line="580" w:lineRule="exact"/>
        <w:ind w:firstLine="640"/>
        <w:jc w:val="both"/>
      </w:pPr>
      <w:r>
        <w:rPr>
          <w:rFonts w:ascii="仿宋_GB2312" w:hAnsi="仿宋_GB2312" w:eastAsia="仿宋_GB2312"/>
          <w:b w:val="0"/>
          <w:sz w:val="32"/>
        </w:rPr>
        <w:t>2024年度中国人民政治协商会议克孜勒苏柯尔克孜自治州委员会（行政单位和参照公务员法管理事业单位）机关运行经费支出105.87万元，比上年减少1.48万元，下降1.38%，主要原因是：严格执行中央八项规定，厉行节约，减少公用经费支出。</w:t>
      </w:r>
    </w:p>
    <w:p w14:paraId="27DDCB36">
      <w:pPr>
        <w:spacing w:line="640" w:lineRule="exact"/>
        <w:ind w:firstLine="640"/>
        <w:jc w:val="both"/>
        <w:outlineLvl w:val="3"/>
      </w:pPr>
      <w:r>
        <w:rPr>
          <w:rFonts w:ascii="楷体_GB2312" w:hAnsi="楷体_GB2312" w:eastAsia="楷体_GB2312"/>
          <w:b/>
          <w:sz w:val="32"/>
        </w:rPr>
        <w:t>（二）政府采购情况</w:t>
      </w:r>
    </w:p>
    <w:p w14:paraId="44C8AC88">
      <w:pPr>
        <w:spacing w:line="580" w:lineRule="exact"/>
        <w:ind w:firstLine="640"/>
        <w:jc w:val="both"/>
      </w:pPr>
      <w:r>
        <w:rPr>
          <w:rFonts w:ascii="仿宋_GB2312" w:hAnsi="仿宋_GB2312" w:eastAsia="仿宋_GB2312"/>
          <w:b w:val="0"/>
          <w:sz w:val="32"/>
        </w:rPr>
        <w:t>2024年度政府采购支出总额33.65万元，其中：政府采购货物支出6.58万元、政府采购工程支出2.53万元、政府采购服务支出24.54万元。</w:t>
      </w:r>
    </w:p>
    <w:p w14:paraId="07B6E3CA">
      <w:pPr>
        <w:spacing w:line="580" w:lineRule="exact"/>
        <w:ind w:firstLine="640"/>
        <w:jc w:val="both"/>
      </w:pPr>
      <w:r>
        <w:rPr>
          <w:rFonts w:ascii="仿宋_GB2312" w:hAnsi="仿宋_GB2312" w:eastAsia="仿宋_GB2312"/>
          <w:b w:val="0"/>
          <w:sz w:val="32"/>
        </w:rPr>
        <w:t>授予中小企业合同金额31.09万元，占政府采购支出总额的92.39%，其中：授予小微企业合同金额24.09万元，占政府采购支出总额的71.59%。</w:t>
      </w:r>
    </w:p>
    <w:p w14:paraId="4C5E970A">
      <w:pPr>
        <w:spacing w:line="640" w:lineRule="exact"/>
        <w:ind w:firstLine="640"/>
        <w:jc w:val="both"/>
        <w:outlineLvl w:val="3"/>
      </w:pPr>
      <w:r>
        <w:rPr>
          <w:rFonts w:ascii="楷体_GB2312" w:hAnsi="楷体_GB2312" w:eastAsia="楷体_GB2312"/>
          <w:b/>
          <w:sz w:val="32"/>
        </w:rPr>
        <w:t>（三）国有资产占用情况说明</w:t>
      </w:r>
    </w:p>
    <w:p w14:paraId="72143801">
      <w:pPr>
        <w:spacing w:line="580" w:lineRule="exact"/>
        <w:ind w:firstLine="640"/>
        <w:jc w:val="both"/>
      </w:pPr>
      <w:r>
        <w:rPr>
          <w:rFonts w:ascii="仿宋_GB2312" w:hAnsi="仿宋_GB2312" w:eastAsia="仿宋_GB2312"/>
          <w:b w:val="0"/>
          <w:sz w:val="32"/>
        </w:rPr>
        <w:t>截至2024年12月31日，房屋0.00平方米，价值0.00万元。车辆5辆，价值140.30万元，其中：副部（省）级及以上领导用车0辆、主要负责人用车3辆、机要通信用车0辆、应急保障用车0辆、执法执勤用车0辆、特种专业技术用车0辆、离退休干部服务用车0辆、其他用车2辆，其他用车主要是：一般公务用车。单价100万元（含）以上设备（不含车辆）0台（套）。</w:t>
      </w:r>
    </w:p>
    <w:p w14:paraId="43C21F63">
      <w:pPr>
        <w:spacing w:line="640" w:lineRule="exact"/>
        <w:ind w:firstLine="640"/>
        <w:jc w:val="both"/>
        <w:outlineLvl w:val="2"/>
      </w:pPr>
      <w:r>
        <w:rPr>
          <w:rFonts w:ascii="黑体" w:hAnsi="黑体" w:eastAsia="黑体"/>
          <w:sz w:val="32"/>
        </w:rPr>
        <w:t>十一、预算绩效的情况说明</w:t>
      </w:r>
    </w:p>
    <w:p w14:paraId="2F539B6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1,064.62万元，实际执行总额1,058.44万元；预算绩效评价项目3个，全年预算数64.76万元，全年执行数60.76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197489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3117299">
        <w:tblPrEx>
          <w:tblCellMar>
            <w:top w:w="0" w:type="dxa"/>
            <w:left w:w="108" w:type="dxa"/>
            <w:bottom w:w="0" w:type="dxa"/>
            <w:right w:w="108" w:type="dxa"/>
          </w:tblCellMar>
        </w:tblPrEx>
        <w:tc>
          <w:tcPr>
            <w:tcW w:w="8840" w:type="dxa"/>
            <w:gridSpan w:val="8"/>
            <w:vAlign w:val="center"/>
          </w:tcPr>
          <w:p w14:paraId="6172358E">
            <w:pPr>
              <w:jc w:val="center"/>
            </w:pPr>
            <w:r>
              <w:rPr>
                <w:rFonts w:ascii="宋体" w:hAnsi="宋体" w:eastAsia="宋体"/>
                <w:sz w:val="24"/>
              </w:rPr>
              <w:t>单位整体支出绩效自评表</w:t>
            </w:r>
          </w:p>
        </w:tc>
      </w:tr>
      <w:tr w14:paraId="7A62C8A2">
        <w:tblPrEx>
          <w:tblCellMar>
            <w:top w:w="0" w:type="dxa"/>
            <w:left w:w="108" w:type="dxa"/>
            <w:bottom w:w="0" w:type="dxa"/>
            <w:right w:w="108" w:type="dxa"/>
          </w:tblCellMar>
        </w:tblPrEx>
        <w:tc>
          <w:tcPr>
            <w:tcW w:w="8840" w:type="dxa"/>
            <w:gridSpan w:val="8"/>
            <w:vAlign w:val="center"/>
          </w:tcPr>
          <w:p w14:paraId="123FDF93">
            <w:pPr>
              <w:jc w:val="center"/>
            </w:pPr>
            <w:r>
              <w:rPr>
                <w:rFonts w:ascii="宋体" w:hAnsi="宋体" w:eastAsia="宋体"/>
                <w:sz w:val="24"/>
              </w:rPr>
              <w:t>（2024年度）</w:t>
            </w:r>
          </w:p>
        </w:tc>
      </w:tr>
      <w:tr w14:paraId="01163C1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C9A397">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39B2C">
            <w:pPr>
              <w:jc w:val="center"/>
            </w:pPr>
            <w:r>
              <w:rPr>
                <w:rFonts w:ascii="宋体" w:hAnsi="宋体" w:eastAsia="宋体"/>
                <w:sz w:val="16"/>
              </w:rPr>
              <w:t>中国人民政治协商会议克孜勒苏柯尔克孜自治州委员会</w:t>
            </w:r>
          </w:p>
        </w:tc>
      </w:tr>
      <w:tr w14:paraId="2983ED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498C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22A6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A18B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81225">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FB92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09B1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AFAB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1978E">
            <w:pPr>
              <w:jc w:val="center"/>
            </w:pPr>
            <w:r>
              <w:rPr>
                <w:rFonts w:ascii="宋体" w:hAnsi="宋体" w:eastAsia="宋体"/>
                <w:sz w:val="16"/>
              </w:rPr>
              <w:t>得分</w:t>
            </w:r>
          </w:p>
        </w:tc>
      </w:tr>
      <w:tr w14:paraId="50A3E7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9DD8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D1672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33208">
            <w:pPr>
              <w:jc w:val="center"/>
            </w:pPr>
            <w:r>
              <w:rPr>
                <w:rFonts w:ascii="宋体" w:hAnsi="宋体" w:eastAsia="宋体"/>
                <w:sz w:val="16"/>
              </w:rPr>
              <w:t>975.14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A9ACE">
            <w:pPr>
              <w:jc w:val="center"/>
            </w:pPr>
            <w:r>
              <w:rPr>
                <w:rFonts w:ascii="宋体" w:hAnsi="宋体" w:eastAsia="宋体"/>
                <w:sz w:val="16"/>
              </w:rPr>
              <w:t>1,064.62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AED2A">
            <w:pPr>
              <w:jc w:val="center"/>
            </w:pPr>
            <w:r>
              <w:rPr>
                <w:rFonts w:ascii="宋体" w:hAnsi="宋体" w:eastAsia="宋体"/>
                <w:sz w:val="16"/>
              </w:rPr>
              <w:t>1,058.44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F7A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42253">
            <w:pPr>
              <w:jc w:val="center"/>
            </w:pPr>
            <w:r>
              <w:rPr>
                <w:rFonts w:ascii="宋体" w:hAnsi="宋体" w:eastAsia="宋体"/>
                <w:sz w:val="16"/>
              </w:rPr>
              <w:t>99.42%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D352D">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94</w:t>
            </w:r>
          </w:p>
        </w:tc>
      </w:tr>
      <w:tr w14:paraId="129BD76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C8CE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8493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F902A">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E9A3B">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B4E48">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CC4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C6D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0ADE9">
            <w:pPr>
              <w:jc w:val="center"/>
            </w:pPr>
            <w:r>
              <w:rPr>
                <w:rFonts w:ascii="宋体" w:hAnsi="宋体" w:eastAsia="宋体"/>
                <w:sz w:val="16"/>
              </w:rPr>
              <w:t>—</w:t>
            </w:r>
          </w:p>
        </w:tc>
      </w:tr>
      <w:tr w14:paraId="7EC9B7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7C90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C1CD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078D5">
            <w:pPr>
              <w:jc w:val="center"/>
            </w:pPr>
            <w:r>
              <w:rPr>
                <w:rFonts w:ascii="宋体" w:hAnsi="宋体" w:eastAsia="宋体"/>
                <w:sz w:val="16"/>
              </w:rPr>
              <w:t>910.16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744AA">
            <w:pPr>
              <w:jc w:val="center"/>
            </w:pPr>
            <w:r>
              <w:rPr>
                <w:rFonts w:ascii="宋体" w:hAnsi="宋体" w:eastAsia="宋体"/>
                <w:sz w:val="16"/>
              </w:rPr>
              <w:t>1,052.62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7C092">
            <w:pPr>
              <w:jc w:val="center"/>
            </w:pPr>
            <w:r>
              <w:rPr>
                <w:rFonts w:ascii="宋体" w:hAnsi="宋体" w:eastAsia="宋体"/>
                <w:sz w:val="16"/>
              </w:rPr>
              <w:t>1,046.44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76E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7AD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550D0">
            <w:pPr>
              <w:jc w:val="center"/>
            </w:pPr>
            <w:r>
              <w:rPr>
                <w:rFonts w:ascii="宋体" w:hAnsi="宋体" w:eastAsia="宋体"/>
                <w:sz w:val="16"/>
              </w:rPr>
              <w:t>—</w:t>
            </w:r>
          </w:p>
        </w:tc>
      </w:tr>
      <w:tr w14:paraId="7B9F17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AF651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8F78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143D9">
            <w:pPr>
              <w:jc w:val="center"/>
            </w:pPr>
            <w:r>
              <w:rPr>
                <w:rFonts w:ascii="宋体" w:hAnsi="宋体" w:eastAsia="宋体"/>
                <w:sz w:val="16"/>
              </w:rPr>
              <w:t>49.98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2C36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BA32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D40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AB8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4945D9">
            <w:pPr>
              <w:jc w:val="center"/>
            </w:pPr>
            <w:r>
              <w:rPr>
                <w:rFonts w:ascii="宋体" w:hAnsi="宋体" w:eastAsia="宋体"/>
                <w:sz w:val="16"/>
              </w:rPr>
              <w:t>—</w:t>
            </w:r>
          </w:p>
        </w:tc>
      </w:tr>
      <w:tr w14:paraId="0C0EACB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41F3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8939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2C0DA">
            <w:pPr>
              <w:jc w:val="center"/>
            </w:pPr>
            <w:r>
              <w:rPr>
                <w:rFonts w:ascii="宋体" w:hAnsi="宋体" w:eastAsia="宋体"/>
                <w:sz w:val="16"/>
              </w:rPr>
              <w:t>实际完成情况</w:t>
            </w:r>
          </w:p>
        </w:tc>
      </w:tr>
      <w:tr w14:paraId="47DADBE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1CCE4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A7F48C">
            <w:pPr>
              <w:jc w:val="both"/>
            </w:pPr>
            <w:r>
              <w:rPr>
                <w:rFonts w:ascii="宋体" w:hAnsi="宋体" w:eastAsia="宋体"/>
                <w:sz w:val="16"/>
              </w:rPr>
              <w:t>（一）增强政治意识，把牢正确前进方向：一要始终把握正确政治方向；二要始终强化创新理论武装。三要始终坚持思想政治引领。</w:t>
            </w:r>
            <w:r>
              <w:rPr>
                <w:rFonts w:ascii="宋体" w:hAnsi="宋体" w:eastAsia="宋体"/>
                <w:sz w:val="16"/>
              </w:rPr>
              <w:br w:type="textWrapping"/>
            </w:r>
            <w:r>
              <w:rPr>
                <w:rFonts w:ascii="宋体" w:hAnsi="宋体" w:eastAsia="宋体"/>
                <w:sz w:val="16"/>
              </w:rPr>
              <w:t>（二）强化协商民主，围绕中心履职尽责：一是政治协商要更加尽责有为；二是民主监督要更加精准有效；三是参政议政要更加富有活力。</w:t>
            </w:r>
            <w:r>
              <w:rPr>
                <w:rFonts w:ascii="宋体" w:hAnsi="宋体" w:eastAsia="宋体"/>
                <w:sz w:val="16"/>
              </w:rPr>
              <w:br w:type="textWrapping"/>
            </w:r>
            <w:r>
              <w:rPr>
                <w:rFonts w:ascii="宋体" w:hAnsi="宋体" w:eastAsia="宋体"/>
                <w:sz w:val="16"/>
              </w:rPr>
              <w:t>（三）敢于担当尽责，有效发挥政协优势：一要在凝聚人心工作中主动作为；二要在汇聚共识工作中善于作为；三要在法治克州建设中积极作为；四要在民族团结工作中担当作为；五要在</w:t>
            </w:r>
            <w:r>
              <w:rPr>
                <w:rFonts w:hint="eastAsia" w:ascii="宋体" w:hAnsi="宋体"/>
                <w:sz w:val="16"/>
                <w:lang w:eastAsia="zh-CN"/>
              </w:rPr>
              <w:t>ZJ</w:t>
            </w:r>
            <w:r>
              <w:rPr>
                <w:rFonts w:ascii="宋体" w:hAnsi="宋体" w:eastAsia="宋体"/>
                <w:sz w:val="16"/>
              </w:rPr>
              <w:t>事务治理中勇于作为。</w:t>
            </w:r>
            <w:r>
              <w:rPr>
                <w:rFonts w:ascii="宋体" w:hAnsi="宋体" w:eastAsia="宋体"/>
                <w:sz w:val="16"/>
              </w:rPr>
              <w:br w:type="textWrapping"/>
            </w:r>
            <w:r>
              <w:rPr>
                <w:rFonts w:ascii="宋体" w:hAnsi="宋体" w:eastAsia="宋体"/>
                <w:sz w:val="16"/>
              </w:rPr>
              <w:t>（四）把握中心环节，扎实做好群众工作：一要在宣传群众中走在前列；二要在联系群众中做出表率；三要在服务群众中展现担当。</w:t>
            </w:r>
            <w:r>
              <w:rPr>
                <w:rFonts w:ascii="宋体" w:hAnsi="宋体" w:eastAsia="宋体"/>
                <w:sz w:val="16"/>
              </w:rPr>
              <w:br w:type="textWrapping"/>
            </w:r>
            <w:r>
              <w:rPr>
                <w:rFonts w:ascii="宋体" w:hAnsi="宋体" w:eastAsia="宋体"/>
                <w:sz w:val="16"/>
              </w:rPr>
              <w:t>（五）强化协商平台，推动工作提质增效：一要进一步加强各项制度建设；二要进一步建好基层协商阵地；三要进一步丰富协商民主形式。</w:t>
            </w:r>
            <w:r>
              <w:rPr>
                <w:rFonts w:ascii="宋体" w:hAnsi="宋体" w:eastAsia="宋体"/>
                <w:sz w:val="16"/>
              </w:rPr>
              <w:br w:type="textWrapping"/>
            </w:r>
            <w:r>
              <w:rPr>
                <w:rFonts w:ascii="宋体" w:hAnsi="宋体" w:eastAsia="宋体"/>
                <w:sz w:val="16"/>
              </w:rPr>
              <w:t>（六）坚持守正创新，着力加强自身建设：一要进一步加强领导班子建设；二要进一步加强“两支队伍”建设；三要进一步加强党风廉政建设。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7856F5">
            <w:pPr>
              <w:jc w:val="both"/>
            </w:pPr>
            <w:r>
              <w:rPr>
                <w:rFonts w:ascii="宋体" w:hAnsi="宋体" w:eastAsia="宋体"/>
                <w:sz w:val="16"/>
              </w:rPr>
              <w:t>截至2024年12月31日，已完成：1.我单位精心组织协商议政活动，组织各界别政协委员高质量开展调研活动30次，真切感知克州经济社会实际运行状况、人民群众急难愁盼，召开专题议政性常委会4次、季度协商座谈会4次、专题协商会2次、专项工作座谈会2次，邀请州政府领导出席会议5次，向州委报送相关调研报告12篇，提出了具有前瞻性、针对性、可操作性的对策建议126条。</w:t>
            </w:r>
            <w:r>
              <w:rPr>
                <w:rFonts w:ascii="宋体" w:hAnsi="宋体" w:eastAsia="宋体"/>
                <w:sz w:val="16"/>
              </w:rPr>
              <w:br w:type="textWrapping"/>
            </w:r>
            <w:r>
              <w:rPr>
                <w:rFonts w:ascii="宋体" w:hAnsi="宋体" w:eastAsia="宋体"/>
                <w:sz w:val="16"/>
              </w:rPr>
              <w:t>2.共提出提案155件，经审查立案135件，现已全部办理完毕，其中遴选出17件重点提案，自治州党政主要领</w:t>
            </w:r>
            <w:r>
              <w:rPr>
                <w:rFonts w:hint="eastAsia" w:ascii="宋体" w:hAnsi="宋体"/>
                <w:sz w:val="16"/>
                <w:lang w:eastAsia="zh-CN"/>
              </w:rPr>
              <w:t>导和</w:t>
            </w:r>
            <w:r>
              <w:rPr>
                <w:rFonts w:ascii="宋体" w:hAnsi="宋体" w:eastAsia="宋体"/>
                <w:sz w:val="16"/>
              </w:rPr>
              <w:t>政协主席党委副书记及党委常委率先垂范，带头认领督办重点提案，以重点提案督办引领推动提案办理落地见效，进一步规范了工作流程，切实提升了提案办理的积极性、主动性、创造性。</w:t>
            </w:r>
            <w:r>
              <w:rPr>
                <w:rFonts w:ascii="宋体" w:hAnsi="宋体" w:eastAsia="宋体"/>
                <w:sz w:val="16"/>
              </w:rPr>
              <w:br w:type="textWrapping"/>
            </w:r>
            <w:r>
              <w:rPr>
                <w:rFonts w:ascii="宋体" w:hAnsi="宋体" w:eastAsia="宋体"/>
                <w:sz w:val="16"/>
              </w:rPr>
              <w:t>3.积极组织各界别政协委员高质量开展调研活动30次，真切感知克州经济社会实际运行状况、人民群众急难愁盼，召开专题议政性常委会4次、季度协商座谈会4次、专题协商会2次、专项工作座谈会2次，邀请州政府领导出席会议5次，高效服务保障迎新年茶话会、民族团结座谈会、“企业·主席面对面”协商座谈会等相关会议4</w:t>
            </w:r>
            <w:r>
              <w:rPr>
                <w:rFonts w:hint="eastAsia" w:ascii="宋体" w:hAnsi="宋体"/>
                <w:sz w:val="16"/>
                <w:lang w:eastAsia="zh-CN"/>
              </w:rPr>
              <w:t>场次</w:t>
            </w:r>
            <w:r>
              <w:rPr>
                <w:rFonts w:ascii="宋体" w:hAnsi="宋体" w:eastAsia="宋体"/>
                <w:sz w:val="16"/>
              </w:rPr>
              <w:t>。认真服务各类会议100%。</w:t>
            </w:r>
            <w:r>
              <w:rPr>
                <w:rFonts w:ascii="宋体" w:hAnsi="宋体" w:eastAsia="宋体"/>
                <w:sz w:val="16"/>
              </w:rPr>
              <w:br w:type="textWrapping"/>
            </w:r>
            <w:r>
              <w:rPr>
                <w:rFonts w:ascii="宋体" w:hAnsi="宋体" w:eastAsia="宋体"/>
                <w:sz w:val="16"/>
              </w:rPr>
              <w:t>4.组织各界别政协委员高质量开展调研活动30次；开展民主监督视察活动10余场次，选派20余名委员作为职能部门特约监督员，选派30余名委员参加法院、检察院和司法、住建、交通、水利、卫健等部门相关听证会和论证会，深入协商、积极建言，有力推动了相关工作的进一步加强和改进；组织相关人民团体和无党派人士开展谈心谈话20场次，走访基层村（社区）62场次，围绕惠民项目落实情况、项目建设情况等开展调研视察15余场次，开展委员履职活动100%。</w:t>
            </w:r>
            <w:r>
              <w:rPr>
                <w:rFonts w:ascii="宋体" w:hAnsi="宋体" w:eastAsia="宋体"/>
                <w:sz w:val="16"/>
              </w:rPr>
              <w:br w:type="textWrapping"/>
            </w:r>
            <w:r>
              <w:rPr>
                <w:rFonts w:ascii="宋体" w:hAnsi="宋体" w:eastAsia="宋体"/>
                <w:sz w:val="16"/>
              </w:rPr>
              <w:t>5.共提出提案155件，经审查立案135件，现已全部办理完毕，其中遴选出17件重点提案，自治州党政主要领导政协主席党委副书记及党委常委率先垂范，带头认领督办重点提案，以重点提案督办引领推动提案办理落地见效，进一步规范了工作流程，切实提升了提案办理的积极性、主动性、创造性，提案办复率100%。</w:t>
            </w:r>
          </w:p>
        </w:tc>
      </w:tr>
      <w:tr w14:paraId="57F6F3B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61C6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280D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3B02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CFDB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1E46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2085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6ED5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70387">
            <w:pPr>
              <w:jc w:val="center"/>
            </w:pPr>
            <w:r>
              <w:rPr>
                <w:rFonts w:ascii="宋体" w:hAnsi="宋体" w:eastAsia="宋体"/>
                <w:sz w:val="16"/>
              </w:rPr>
              <w:t>得分</w:t>
            </w:r>
          </w:p>
        </w:tc>
      </w:tr>
      <w:tr w14:paraId="0E2B580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E9F7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B46E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F95F5">
            <w:pPr>
              <w:jc w:val="center"/>
            </w:pPr>
            <w:r>
              <w:rPr>
                <w:rFonts w:ascii="宋体" w:hAnsi="宋体" w:eastAsia="宋体"/>
                <w:sz w:val="16"/>
              </w:rPr>
              <w:t>出具调研报告</w:t>
            </w:r>
            <w:bookmarkStart w:id="0" w:name="_GoBack"/>
            <w:r>
              <w:rPr>
                <w:rFonts w:ascii="宋体" w:hAnsi="宋体" w:eastAsia="宋体"/>
                <w:sz w:val="16"/>
              </w:rPr>
              <w:t>（</w:t>
            </w:r>
            <w:bookmarkEnd w:id="0"/>
            <w:r>
              <w:rPr>
                <w:rFonts w:ascii="宋体" w:hAnsi="宋体" w:eastAsia="宋体"/>
                <w:sz w:val="16"/>
              </w:rPr>
              <w:t>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5ADDD">
            <w:pPr>
              <w:jc w:val="center"/>
            </w:pPr>
            <w:r>
              <w:rPr>
                <w:rFonts w:ascii="宋体" w:hAnsi="宋体" w:eastAsia="宋体"/>
                <w:sz w:val="16"/>
              </w:rPr>
              <w:t>&gt;=10份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EF4BB">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31CA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67FA7">
            <w:pPr>
              <w:jc w:val="center"/>
            </w:pPr>
            <w:r>
              <w:rPr>
                <w:rFonts w:ascii="宋体" w:hAnsi="宋体" w:eastAsia="宋体"/>
                <w:sz w:val="16"/>
              </w:rPr>
              <w:t>12份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E36E4">
            <w:pPr>
              <w:jc w:val="center"/>
            </w:pPr>
            <w:r>
              <w:rPr>
                <w:rFonts w:ascii="宋体" w:hAnsi="宋体" w:eastAsia="宋体"/>
                <w:sz w:val="16"/>
              </w:rPr>
              <w:t>25</w:t>
            </w:r>
          </w:p>
        </w:tc>
      </w:tr>
      <w:tr w14:paraId="142438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AE0A2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84F65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F4011">
            <w:pPr>
              <w:jc w:val="center"/>
            </w:pPr>
            <w:r>
              <w:rPr>
                <w:rFonts w:ascii="宋体" w:hAnsi="宋体" w:eastAsia="宋体"/>
                <w:sz w:val="16"/>
              </w:rPr>
              <w:t>收集提案件数（件）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7039F">
            <w:pPr>
              <w:jc w:val="center"/>
            </w:pPr>
            <w:r>
              <w:rPr>
                <w:rFonts w:ascii="宋体" w:hAnsi="宋体" w:eastAsia="宋体"/>
                <w:sz w:val="16"/>
              </w:rPr>
              <w:t>&gt;=135件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FC9FA">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39C4F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FEE14">
            <w:pPr>
              <w:jc w:val="center"/>
            </w:pPr>
            <w:r>
              <w:rPr>
                <w:rFonts w:ascii="宋体" w:hAnsi="宋体" w:eastAsia="宋体"/>
                <w:sz w:val="16"/>
              </w:rPr>
              <w:t>135件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DF3A8D">
            <w:pPr>
              <w:jc w:val="center"/>
            </w:pPr>
            <w:r>
              <w:rPr>
                <w:rFonts w:ascii="宋体" w:hAnsi="宋体" w:eastAsia="宋体"/>
                <w:sz w:val="16"/>
              </w:rPr>
              <w:t>30</w:t>
            </w:r>
          </w:p>
        </w:tc>
      </w:tr>
      <w:tr w14:paraId="52146B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90F822"/>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0993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15F79">
            <w:pPr>
              <w:jc w:val="center"/>
            </w:pPr>
            <w:r>
              <w:rPr>
                <w:rFonts w:ascii="宋体" w:hAnsi="宋体" w:eastAsia="宋体"/>
                <w:sz w:val="16"/>
              </w:rPr>
              <w:t>认真服务各类会议（%）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FCDC2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AE7F8">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B342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4FCA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8D728">
            <w:pPr>
              <w:jc w:val="center"/>
            </w:pPr>
            <w:r>
              <w:rPr>
                <w:rFonts w:ascii="宋体" w:hAnsi="宋体" w:eastAsia="宋体"/>
                <w:sz w:val="16"/>
              </w:rPr>
              <w:t>15</w:t>
            </w:r>
          </w:p>
        </w:tc>
      </w:tr>
      <w:tr w14:paraId="61874E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DBB1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48E3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79713">
            <w:pPr>
              <w:jc w:val="center"/>
            </w:pPr>
            <w:r>
              <w:rPr>
                <w:rFonts w:ascii="宋体" w:hAnsi="宋体" w:eastAsia="宋体"/>
                <w:sz w:val="16"/>
              </w:rPr>
              <w:t>开展委员履职活动（%）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C0A1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D7C2F">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2978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A7B6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C3F3D">
            <w:pPr>
              <w:jc w:val="center"/>
            </w:pPr>
            <w:r>
              <w:rPr>
                <w:rFonts w:ascii="宋体" w:hAnsi="宋体" w:eastAsia="宋体"/>
                <w:sz w:val="16"/>
              </w:rPr>
              <w:t>10</w:t>
            </w:r>
          </w:p>
        </w:tc>
      </w:tr>
      <w:tr w14:paraId="5FF58E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8CAA3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93B6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CCAC8">
            <w:pPr>
              <w:jc w:val="center"/>
            </w:pPr>
            <w:r>
              <w:rPr>
                <w:rFonts w:ascii="宋体" w:hAnsi="宋体" w:eastAsia="宋体"/>
                <w:sz w:val="16"/>
              </w:rPr>
              <w:t>提案办复率（%）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2912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54947">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5725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1B483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BE2CF">
            <w:pPr>
              <w:jc w:val="center"/>
            </w:pPr>
            <w:r>
              <w:rPr>
                <w:rFonts w:ascii="宋体" w:hAnsi="宋体" w:eastAsia="宋体"/>
                <w:sz w:val="16"/>
              </w:rPr>
              <w:t>10</w:t>
            </w:r>
          </w:p>
        </w:tc>
      </w:tr>
    </w:tbl>
    <w:p w14:paraId="7B5E3C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9E8D3FD">
        <w:tblPrEx>
          <w:tblCellMar>
            <w:top w:w="0" w:type="dxa"/>
            <w:left w:w="108" w:type="dxa"/>
            <w:bottom w:w="0" w:type="dxa"/>
            <w:right w:w="108" w:type="dxa"/>
          </w:tblCellMar>
        </w:tblPrEx>
        <w:tc>
          <w:tcPr>
            <w:tcW w:w="8848" w:type="dxa"/>
            <w:gridSpan w:val="14"/>
            <w:vAlign w:val="center"/>
          </w:tcPr>
          <w:p w14:paraId="3EB89E1E">
            <w:pPr>
              <w:jc w:val="center"/>
            </w:pPr>
            <w:r>
              <w:rPr>
                <w:rFonts w:ascii="宋体" w:hAnsi="宋体" w:eastAsia="宋体"/>
                <w:sz w:val="24"/>
              </w:rPr>
              <w:t>项目支出绩效自评表</w:t>
            </w:r>
          </w:p>
        </w:tc>
      </w:tr>
      <w:tr w14:paraId="47BD0687">
        <w:tblPrEx>
          <w:tblCellMar>
            <w:top w:w="0" w:type="dxa"/>
            <w:left w:w="108" w:type="dxa"/>
            <w:bottom w:w="0" w:type="dxa"/>
            <w:right w:w="108" w:type="dxa"/>
          </w:tblCellMar>
        </w:tblPrEx>
        <w:tc>
          <w:tcPr>
            <w:tcW w:w="8848" w:type="dxa"/>
            <w:gridSpan w:val="14"/>
            <w:vAlign w:val="center"/>
          </w:tcPr>
          <w:p w14:paraId="7AF1F1D1">
            <w:pPr>
              <w:jc w:val="center"/>
            </w:pPr>
            <w:r>
              <w:rPr>
                <w:rFonts w:ascii="宋体" w:hAnsi="宋体" w:eastAsia="宋体"/>
                <w:sz w:val="24"/>
              </w:rPr>
              <w:t>(2024年度)</w:t>
            </w:r>
          </w:p>
        </w:tc>
      </w:tr>
      <w:tr w14:paraId="620A38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E3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4397CE">
            <w:pPr>
              <w:jc w:val="center"/>
            </w:pPr>
            <w:r>
              <w:rPr>
                <w:rFonts w:ascii="宋体" w:hAnsi="宋体" w:eastAsia="宋体"/>
                <w:sz w:val="16"/>
              </w:rPr>
              <w:t>为民办实事好事</w:t>
            </w:r>
          </w:p>
        </w:tc>
      </w:tr>
      <w:tr w14:paraId="60AB7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0E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73F89">
            <w:pPr>
              <w:jc w:val="center"/>
            </w:pPr>
            <w:r>
              <w:rPr>
                <w:rFonts w:ascii="宋体" w:hAnsi="宋体" w:eastAsia="宋体"/>
                <w:sz w:val="16"/>
              </w:rPr>
              <w:t>中国人民政治协商会议克孜勒苏柯尔克孜自治州委员会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DC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5C5FA4">
            <w:pPr>
              <w:jc w:val="center"/>
            </w:pPr>
            <w:r>
              <w:rPr>
                <w:rFonts w:ascii="宋体" w:hAnsi="宋体" w:eastAsia="宋体"/>
                <w:sz w:val="16"/>
              </w:rPr>
              <w:t>中国人民政治协商会议克孜勒苏柯尔克孜自治州委员会</w:t>
            </w:r>
          </w:p>
        </w:tc>
      </w:tr>
      <w:tr w14:paraId="0D95F4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EA4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2E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9A1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BE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12E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700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AB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B7B8">
            <w:pPr>
              <w:jc w:val="center"/>
            </w:pPr>
            <w:r>
              <w:rPr>
                <w:rFonts w:ascii="宋体" w:hAnsi="宋体" w:eastAsia="宋体"/>
                <w:sz w:val="16"/>
              </w:rPr>
              <w:t>得分</w:t>
            </w:r>
          </w:p>
        </w:tc>
      </w:tr>
      <w:tr w14:paraId="32638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C34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0F4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A69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342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456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5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86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F92B">
            <w:pPr>
              <w:jc w:val="center"/>
            </w:pPr>
            <w:r>
              <w:rPr>
                <w:rFonts w:ascii="宋体" w:hAnsi="宋体" w:eastAsia="宋体"/>
                <w:sz w:val="16"/>
              </w:rPr>
              <w:t>10.00分</w:t>
            </w:r>
          </w:p>
        </w:tc>
      </w:tr>
      <w:tr w14:paraId="01FB2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F03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C33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4FDD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8F0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2DF3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27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07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51EC">
            <w:pPr>
              <w:jc w:val="center"/>
            </w:pPr>
            <w:r>
              <w:rPr>
                <w:rFonts w:ascii="宋体" w:hAnsi="宋体" w:eastAsia="宋体"/>
                <w:sz w:val="16"/>
              </w:rPr>
              <w:t>—</w:t>
            </w:r>
          </w:p>
        </w:tc>
      </w:tr>
      <w:tr w14:paraId="14FE2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59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ECC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F5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6E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D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38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5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4D68">
            <w:pPr>
              <w:jc w:val="center"/>
            </w:pPr>
            <w:r>
              <w:rPr>
                <w:rFonts w:ascii="宋体" w:hAnsi="宋体" w:eastAsia="宋体"/>
                <w:sz w:val="16"/>
              </w:rPr>
              <w:t>—</w:t>
            </w:r>
          </w:p>
        </w:tc>
      </w:tr>
      <w:tr w14:paraId="1109D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C43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110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DFF9C5">
            <w:pPr>
              <w:jc w:val="center"/>
            </w:pPr>
            <w:r>
              <w:rPr>
                <w:rFonts w:ascii="宋体" w:hAnsi="宋体" w:eastAsia="宋体"/>
                <w:sz w:val="16"/>
              </w:rPr>
              <w:t>实际完成情况</w:t>
            </w:r>
          </w:p>
        </w:tc>
      </w:tr>
      <w:tr w14:paraId="40188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91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4B3B">
            <w:pPr>
              <w:jc w:val="both"/>
            </w:pPr>
            <w:r>
              <w:rPr>
                <w:rFonts w:ascii="宋体" w:hAnsi="宋体" w:eastAsia="宋体"/>
                <w:sz w:val="16"/>
              </w:rPr>
              <w:t>为村民办实事好事，解决村民实际困难，同时完成乡村振兴相关工作要求，治理农村脏乱差场所的维修和修缮工作。其中50%用于解决群众生产发展维修改造帮扶、25%用于访贫问苦活动、25%用于村级组织开展活动，为村民办实事好事，解决村民实际困难，同时完成乡村振兴相关工作要求，治理农村脏乱差场所的维修和修缮工作。关心关爱贫困户、低保户、残疾人等特殊家庭，帮助解决生产生活中的实际困难，为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A2BC0E">
            <w:pPr>
              <w:jc w:val="both"/>
            </w:pPr>
            <w:r>
              <w:rPr>
                <w:rFonts w:hint="eastAsia" w:ascii="宋体" w:hAnsi="宋体"/>
                <w:sz w:val="16"/>
                <w:lang w:eastAsia="zh-CN"/>
              </w:rPr>
              <w:t>截至2024</w:t>
            </w:r>
            <w:r>
              <w:rPr>
                <w:rFonts w:ascii="宋体" w:hAnsi="宋体" w:eastAsia="宋体"/>
                <w:sz w:val="16"/>
              </w:rPr>
              <w:t>年12月31日，已完成:开展慰问6次和开展文艺活动5次，基层建设和办实事好事4次；通过该项目实施增加农牧民收入，关心关爱贫困户、低保户、残疾人等特殊家庭，帮助解决生产生活中的实际困难，实现维护社会稳定和长治久安总目标。</w:t>
            </w:r>
          </w:p>
        </w:tc>
      </w:tr>
      <w:tr w14:paraId="3D5DF3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074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CD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3C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3E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D3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97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98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93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2B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66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3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E6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25E0">
            <w:pPr>
              <w:jc w:val="center"/>
            </w:pPr>
            <w:r>
              <w:rPr>
                <w:rFonts w:ascii="宋体" w:hAnsi="宋体" w:eastAsia="宋体"/>
                <w:sz w:val="16"/>
              </w:rPr>
              <w:t>偏差原因分析及改进措施</w:t>
            </w:r>
          </w:p>
        </w:tc>
      </w:tr>
      <w:tr w14:paraId="3FB2D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71D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EB6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35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4D2C">
            <w:pPr>
              <w:jc w:val="center"/>
            </w:pPr>
            <w:r>
              <w:rPr>
                <w:rFonts w:ascii="宋体" w:hAnsi="宋体" w:eastAsia="宋体"/>
                <w:sz w:val="16"/>
              </w:rPr>
              <w:t>开展慰问活动（次）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8BA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16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0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DB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8C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A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B94E">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71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AF3BB">
            <w:pPr>
              <w:jc w:val="center"/>
            </w:pPr>
          </w:p>
        </w:tc>
      </w:tr>
      <w:tr w14:paraId="1BE72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2B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5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7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1A83">
            <w:pPr>
              <w:jc w:val="center"/>
            </w:pPr>
            <w:r>
              <w:rPr>
                <w:rFonts w:ascii="宋体" w:hAnsi="宋体" w:eastAsia="宋体"/>
                <w:sz w:val="16"/>
              </w:rPr>
              <w:t>帮扶群众活动开展次数（次）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66B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2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C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CE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A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D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7EE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B5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BD0A">
            <w:pPr>
              <w:jc w:val="center"/>
            </w:pPr>
          </w:p>
        </w:tc>
      </w:tr>
      <w:tr w14:paraId="61708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76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73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6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2509">
            <w:pPr>
              <w:jc w:val="center"/>
            </w:pPr>
            <w:r>
              <w:rPr>
                <w:rFonts w:ascii="宋体" w:hAnsi="宋体" w:eastAsia="宋体"/>
                <w:sz w:val="16"/>
              </w:rPr>
              <w:t>帮助群众改善人居环境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B0B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4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8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13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1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3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766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11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1E92">
            <w:pPr>
              <w:jc w:val="center"/>
            </w:pPr>
          </w:p>
        </w:tc>
      </w:tr>
      <w:tr w14:paraId="20C48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EC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834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92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C8E5">
            <w:pPr>
              <w:jc w:val="center"/>
            </w:pPr>
            <w:r>
              <w:rPr>
                <w:rFonts w:ascii="宋体" w:hAnsi="宋体" w:eastAsia="宋体"/>
                <w:sz w:val="16"/>
              </w:rPr>
              <w:t>开展</w:t>
            </w:r>
            <w:r>
              <w:rPr>
                <w:rFonts w:hint="eastAsia" w:ascii="宋体" w:hAnsi="宋体"/>
                <w:sz w:val="16"/>
                <w:lang w:eastAsia="zh-CN"/>
              </w:rPr>
              <w:t>慰问</w:t>
            </w:r>
            <w:r>
              <w:rPr>
                <w:rFonts w:ascii="宋体" w:hAnsi="宋体" w:eastAsia="宋体"/>
                <w:sz w:val="16"/>
              </w:rPr>
              <w:t>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5D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8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C6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4B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B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6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E8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371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6F53B">
            <w:pPr>
              <w:jc w:val="center"/>
            </w:pPr>
          </w:p>
        </w:tc>
      </w:tr>
      <w:tr w14:paraId="244E4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C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706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655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672A">
            <w:pPr>
              <w:jc w:val="center"/>
            </w:pPr>
            <w:r>
              <w:rPr>
                <w:rFonts w:ascii="宋体" w:hAnsi="宋体" w:eastAsia="宋体"/>
                <w:sz w:val="16"/>
              </w:rPr>
              <w:t>群众改善人居环境及时率（%）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5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9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D5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9C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4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8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4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77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A840">
            <w:pPr>
              <w:jc w:val="center"/>
            </w:pPr>
          </w:p>
        </w:tc>
      </w:tr>
      <w:tr w14:paraId="1E406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94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D9F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8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4E20">
            <w:pPr>
              <w:jc w:val="center"/>
            </w:pPr>
            <w:r>
              <w:rPr>
                <w:rFonts w:ascii="宋体" w:hAnsi="宋体" w:eastAsia="宋体"/>
                <w:sz w:val="16"/>
              </w:rPr>
              <w:t>开展宣传活动完成率（%）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A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9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2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75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2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F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1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A4B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35F0">
            <w:pPr>
              <w:jc w:val="center"/>
            </w:pPr>
          </w:p>
        </w:tc>
      </w:tr>
      <w:tr w14:paraId="55BF1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F08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8C1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AE7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CA80">
            <w:pPr>
              <w:jc w:val="center"/>
            </w:pPr>
            <w:r>
              <w:rPr>
                <w:rFonts w:ascii="宋体" w:hAnsi="宋体" w:eastAsia="宋体"/>
                <w:sz w:val="16"/>
              </w:rPr>
              <w:t>开展宣传活动费用（万元）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4778">
            <w:pPr>
              <w:jc w:val="center"/>
            </w:pPr>
            <w:r>
              <w:rPr>
                <w:rFonts w:ascii="宋体" w:hAnsi="宋体" w:eastAsia="宋体"/>
                <w:sz w:val="16"/>
              </w:rPr>
              <w:t>&lt;=2.31万元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28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D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25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0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C7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C5CD">
            <w:pPr>
              <w:jc w:val="center"/>
            </w:pPr>
            <w:r>
              <w:rPr>
                <w:rFonts w:ascii="宋体" w:hAnsi="宋体" w:eastAsia="宋体"/>
                <w:sz w:val="16"/>
              </w:rPr>
              <w: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FE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C0E9">
            <w:pPr>
              <w:jc w:val="center"/>
            </w:pPr>
          </w:p>
        </w:tc>
      </w:tr>
      <w:tr w14:paraId="6DFCC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CE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E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8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87F2">
            <w:pPr>
              <w:jc w:val="center"/>
            </w:pPr>
            <w:r>
              <w:rPr>
                <w:rFonts w:ascii="宋体" w:hAnsi="宋体" w:eastAsia="宋体"/>
                <w:sz w:val="16"/>
              </w:rPr>
              <w:t>帮扶群众活动开展（万元）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1AE8">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72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E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21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3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FD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42F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DEC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AEAC">
            <w:pPr>
              <w:jc w:val="center"/>
            </w:pPr>
          </w:p>
        </w:tc>
      </w:tr>
      <w:tr w14:paraId="23082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1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DE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0C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71EF">
            <w:pPr>
              <w:jc w:val="center"/>
            </w:pPr>
            <w:r>
              <w:rPr>
                <w:rFonts w:ascii="宋体" w:hAnsi="宋体" w:eastAsia="宋体"/>
                <w:sz w:val="16"/>
              </w:rPr>
              <w:t>改善人居环境（万元）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B09F">
            <w:pPr>
              <w:jc w:val="center"/>
            </w:pPr>
            <w:r>
              <w:rPr>
                <w:rFonts w:ascii="宋体" w:hAnsi="宋体" w:eastAsia="宋体"/>
                <w:sz w:val="16"/>
              </w:rPr>
              <w:t>&lt;=5.19万元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96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75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62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D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72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E95C">
            <w:pPr>
              <w:jc w:val="center"/>
            </w:pPr>
            <w:r>
              <w:rPr>
                <w:rFonts w:ascii="宋体" w:hAnsi="宋体" w:eastAsia="宋体"/>
                <w:sz w:val="16"/>
              </w:rPr>
              <w:t>=5.19万元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729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72DEE">
            <w:pPr>
              <w:jc w:val="center"/>
            </w:pPr>
          </w:p>
        </w:tc>
      </w:tr>
      <w:tr w14:paraId="5E84B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5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64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49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BEF2">
            <w:pPr>
              <w:jc w:val="center"/>
            </w:pPr>
            <w:r>
              <w:rPr>
                <w:rFonts w:ascii="宋体" w:hAnsi="宋体" w:eastAsia="宋体"/>
                <w:sz w:val="16"/>
              </w:rPr>
              <w:t>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164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C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88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3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BC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CD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9B56">
            <w:pPr>
              <w:jc w:val="center"/>
            </w:pPr>
            <w:r>
              <w:rPr>
                <w:rFonts w:hint="eastAsia" w:ascii="宋体" w:hAnsi="宋体"/>
                <w:sz w:val="16"/>
                <w:lang w:eastAsia="zh-CN"/>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D0A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5F97">
            <w:pPr>
              <w:jc w:val="center"/>
            </w:pPr>
          </w:p>
        </w:tc>
      </w:tr>
      <w:tr w14:paraId="15525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0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9C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F0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D9D0">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02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B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3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73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D2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7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A78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84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A8A5">
            <w:pPr>
              <w:jc w:val="center"/>
            </w:pPr>
          </w:p>
        </w:tc>
      </w:tr>
      <w:tr w14:paraId="7FA220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94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45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2C1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D4BAB">
            <w:pPr>
              <w:jc w:val="center"/>
            </w:pPr>
            <w:r>
              <w:rPr>
                <w:rFonts w:ascii="宋体" w:hAnsi="宋体" w:eastAsia="宋体"/>
                <w:sz w:val="16"/>
              </w:rPr>
              <w:t>100分</w:t>
            </w:r>
          </w:p>
        </w:tc>
      </w:tr>
    </w:tbl>
    <w:p w14:paraId="16B945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8DAFF0F">
        <w:tblPrEx>
          <w:tblCellMar>
            <w:top w:w="0" w:type="dxa"/>
            <w:left w:w="108" w:type="dxa"/>
            <w:bottom w:w="0" w:type="dxa"/>
            <w:right w:w="108" w:type="dxa"/>
          </w:tblCellMar>
        </w:tblPrEx>
        <w:tc>
          <w:tcPr>
            <w:tcW w:w="8848" w:type="dxa"/>
            <w:gridSpan w:val="14"/>
            <w:vAlign w:val="center"/>
          </w:tcPr>
          <w:p w14:paraId="26ED3A49">
            <w:pPr>
              <w:jc w:val="center"/>
            </w:pPr>
            <w:r>
              <w:rPr>
                <w:rFonts w:ascii="宋体" w:hAnsi="宋体" w:eastAsia="宋体"/>
                <w:sz w:val="24"/>
              </w:rPr>
              <w:t>项目支出绩效自评表</w:t>
            </w:r>
          </w:p>
        </w:tc>
      </w:tr>
      <w:tr w14:paraId="28AA2516">
        <w:tblPrEx>
          <w:tblCellMar>
            <w:top w:w="0" w:type="dxa"/>
            <w:left w:w="108" w:type="dxa"/>
            <w:bottom w:w="0" w:type="dxa"/>
            <w:right w:w="108" w:type="dxa"/>
          </w:tblCellMar>
        </w:tblPrEx>
        <w:tc>
          <w:tcPr>
            <w:tcW w:w="8848" w:type="dxa"/>
            <w:gridSpan w:val="14"/>
            <w:vAlign w:val="center"/>
          </w:tcPr>
          <w:p w14:paraId="66518488">
            <w:pPr>
              <w:jc w:val="center"/>
            </w:pPr>
            <w:r>
              <w:rPr>
                <w:rFonts w:ascii="宋体" w:hAnsi="宋体" w:eastAsia="宋体"/>
                <w:sz w:val="24"/>
              </w:rPr>
              <w:t>(2024年度)</w:t>
            </w:r>
          </w:p>
        </w:tc>
      </w:tr>
      <w:tr w14:paraId="11468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B1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44F7B8">
            <w:pPr>
              <w:jc w:val="center"/>
            </w:pPr>
            <w:r>
              <w:rPr>
                <w:rFonts w:ascii="宋体" w:hAnsi="宋体" w:eastAsia="宋体"/>
                <w:sz w:val="16"/>
              </w:rPr>
              <w:t>单位其他资金结余</w:t>
            </w:r>
          </w:p>
        </w:tc>
      </w:tr>
      <w:tr w14:paraId="213C37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B4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E94B89">
            <w:pPr>
              <w:jc w:val="center"/>
            </w:pPr>
            <w:r>
              <w:rPr>
                <w:rFonts w:ascii="宋体" w:hAnsi="宋体" w:eastAsia="宋体"/>
                <w:sz w:val="16"/>
              </w:rPr>
              <w:t>中国人民政治协商会议克孜勒苏柯尔克孜自治州委员会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10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E99315">
            <w:pPr>
              <w:jc w:val="center"/>
            </w:pPr>
            <w:r>
              <w:rPr>
                <w:rFonts w:ascii="宋体" w:hAnsi="宋体" w:eastAsia="宋体"/>
                <w:sz w:val="16"/>
              </w:rPr>
              <w:t>中国人民政治协商会议克孜勒苏柯尔克孜自治州委员会</w:t>
            </w:r>
          </w:p>
        </w:tc>
      </w:tr>
      <w:tr w14:paraId="1792E6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DEA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17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C58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E5D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9C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E63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CC7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6DE2">
            <w:pPr>
              <w:jc w:val="center"/>
            </w:pPr>
            <w:r>
              <w:rPr>
                <w:rFonts w:ascii="宋体" w:hAnsi="宋体" w:eastAsia="宋体"/>
                <w:sz w:val="16"/>
              </w:rPr>
              <w:t>得分</w:t>
            </w:r>
          </w:p>
        </w:tc>
      </w:tr>
      <w:tr w14:paraId="6CC61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E4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23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50201">
            <w:pPr>
              <w:jc w:val="center"/>
            </w:pPr>
            <w:r>
              <w:rPr>
                <w:rFonts w:ascii="宋体" w:hAnsi="宋体" w:eastAsia="宋体"/>
                <w:sz w:val="16"/>
              </w:rPr>
              <w:t>37.76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C838C">
            <w:pPr>
              <w:jc w:val="center"/>
            </w:pPr>
            <w:r>
              <w:rPr>
                <w:rFonts w:ascii="宋体" w:hAnsi="宋体" w:eastAsia="宋体"/>
                <w:sz w:val="16"/>
              </w:rPr>
              <w:t>37.76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A868">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3A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B0CF0">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EFC2">
            <w:pPr>
              <w:jc w:val="center"/>
            </w:pPr>
            <w:r>
              <w:rPr>
                <w:rFonts w:ascii="宋体" w:hAnsi="宋体" w:eastAsia="宋体"/>
                <w:sz w:val="16"/>
              </w:rPr>
              <w:t>7.35分</w:t>
            </w:r>
          </w:p>
        </w:tc>
      </w:tr>
      <w:tr w14:paraId="4E26F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A1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2C0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1C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C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2C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012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4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0E1D">
            <w:pPr>
              <w:jc w:val="center"/>
            </w:pPr>
            <w:r>
              <w:rPr>
                <w:rFonts w:ascii="宋体" w:hAnsi="宋体" w:eastAsia="宋体"/>
                <w:sz w:val="16"/>
              </w:rPr>
              <w:t>—</w:t>
            </w:r>
          </w:p>
        </w:tc>
      </w:tr>
      <w:tr w14:paraId="571B8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5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D6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4673">
            <w:pPr>
              <w:jc w:val="center"/>
            </w:pPr>
            <w:r>
              <w:rPr>
                <w:rFonts w:ascii="宋体" w:hAnsi="宋体" w:eastAsia="宋体"/>
                <w:sz w:val="16"/>
              </w:rPr>
              <w:t>37.76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6AC1">
            <w:pPr>
              <w:jc w:val="center"/>
            </w:pPr>
            <w:r>
              <w:rPr>
                <w:rFonts w:ascii="宋体" w:hAnsi="宋体" w:eastAsia="宋体"/>
                <w:sz w:val="16"/>
              </w:rPr>
              <w:t>37.76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5D36">
            <w:pPr>
              <w:jc w:val="center"/>
            </w:pPr>
            <w:r>
              <w:rPr>
                <w:rFonts w:ascii="宋体" w:hAnsi="宋体" w:eastAsia="宋体"/>
                <w:sz w:val="16"/>
              </w:rPr>
              <w:t>33.76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D7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83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98BC">
            <w:pPr>
              <w:jc w:val="center"/>
            </w:pPr>
            <w:r>
              <w:rPr>
                <w:rFonts w:ascii="宋体" w:hAnsi="宋体" w:eastAsia="宋体"/>
                <w:sz w:val="16"/>
              </w:rPr>
              <w:t>—</w:t>
            </w:r>
          </w:p>
        </w:tc>
      </w:tr>
      <w:tr w14:paraId="788112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70D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CAF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E0BE1">
            <w:pPr>
              <w:jc w:val="center"/>
            </w:pPr>
            <w:r>
              <w:rPr>
                <w:rFonts w:ascii="宋体" w:hAnsi="宋体" w:eastAsia="宋体"/>
                <w:sz w:val="16"/>
              </w:rPr>
              <w:t>实际完成情况</w:t>
            </w:r>
          </w:p>
        </w:tc>
      </w:tr>
      <w:tr w14:paraId="31632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48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76948">
            <w:pPr>
              <w:jc w:val="both"/>
            </w:pPr>
            <w:r>
              <w:rPr>
                <w:rFonts w:ascii="宋体" w:hAnsi="宋体" w:eastAsia="宋体"/>
                <w:sz w:val="16"/>
              </w:rPr>
              <w:t>（一）增强政治意识，把牢正确前进方向：一要始终把握正确政治方向；二要始终强化创新理论武装。三要始终坚持思想政治引领。（二）强化协商民主，围绕中心履职尽责：一是政治协商要更加尽责有为；二是民主监督要更加精准有效；三是参政议政要更加富有活力。（三）敢于担当尽责，有效发挥政协优势：一要在凝聚人心工作中主动作为；二要在汇聚共识工作中善于作为；三要在法治克州建设中积极作为；四要在民族团结工作中担当作为；五要在</w:t>
            </w:r>
            <w:r>
              <w:rPr>
                <w:rFonts w:hint="eastAsia" w:ascii="宋体" w:hAnsi="宋体"/>
                <w:sz w:val="16"/>
                <w:lang w:eastAsia="zh-CN"/>
              </w:rPr>
              <w:t>ZJ</w:t>
            </w:r>
            <w:r>
              <w:rPr>
                <w:rFonts w:ascii="宋体" w:hAnsi="宋体" w:eastAsia="宋体"/>
                <w:sz w:val="16"/>
              </w:rPr>
              <w:t>事务治理中勇于作为。（四）把握中心环节，扎实做好群众工作：一要在宣传群众中走在前列；二要在联系群众中做出表率；三要在服务群众中展现担当。（五）强化协商平台，推动工作提质增效：一要进一步加强各项制度建设；二要进一步建好基层协商阵地；三要进一步丰富协商民主形式。（六）坚持守正创新，着力加强自身建设：一要进一步加强领导班子建设；二要进一步加强“两支队伍”建设；三要进一步加强党风廉政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728E0">
            <w:pPr>
              <w:jc w:val="both"/>
            </w:pPr>
            <w:r>
              <w:rPr>
                <w:rFonts w:hint="eastAsia" w:ascii="宋体" w:hAnsi="宋体"/>
                <w:sz w:val="16"/>
                <w:lang w:eastAsia="zh-CN"/>
              </w:rPr>
              <w:t>截至2024</w:t>
            </w:r>
            <w:r>
              <w:rPr>
                <w:rFonts w:ascii="宋体" w:hAnsi="宋体" w:eastAsia="宋体"/>
                <w:sz w:val="16"/>
              </w:rPr>
              <w:t>年12月31日已支付33.76万元，劳务结构优化月份已完成12个月、日常支出14批次，委员培训4人次，委员培训数32人，克州政协按时完成相关工作，进一步加强“两支队伍”建设；进一步加强各项制度建设；进一步建好基层协商阵地；进一步丰富协商民主形式。</w:t>
            </w:r>
          </w:p>
        </w:tc>
      </w:tr>
      <w:tr w14:paraId="37D97C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CC2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B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21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11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3A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0D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76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DF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9F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B9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17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90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19E88">
            <w:pPr>
              <w:jc w:val="center"/>
            </w:pPr>
            <w:r>
              <w:rPr>
                <w:rFonts w:ascii="宋体" w:hAnsi="宋体" w:eastAsia="宋体"/>
                <w:sz w:val="16"/>
              </w:rPr>
              <w:t>偏差原因分析及改进措施</w:t>
            </w:r>
          </w:p>
        </w:tc>
      </w:tr>
      <w:tr w14:paraId="436E2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FDC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3B5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742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84C0">
            <w:pPr>
              <w:jc w:val="center"/>
            </w:pPr>
            <w:r>
              <w:rPr>
                <w:rFonts w:ascii="宋体" w:hAnsi="宋体" w:eastAsia="宋体"/>
                <w:sz w:val="16"/>
              </w:rPr>
              <w:t>委员培训人次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43AE2">
            <w:pPr>
              <w:jc w:val="center"/>
            </w:pPr>
            <w:r>
              <w:rPr>
                <w:rFonts w:ascii="宋体" w:hAnsi="宋体" w:eastAsia="宋体"/>
                <w:sz w:val="16"/>
              </w:rPr>
              <w:t>&gt;=4批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7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6F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4C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B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B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80B8">
            <w:pPr>
              <w:jc w:val="center"/>
            </w:pPr>
            <w:r>
              <w:rPr>
                <w:rFonts w:ascii="宋体" w:hAnsi="宋体" w:eastAsia="宋体"/>
                <w:sz w:val="16"/>
              </w:rPr>
              <w:t>=4批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02C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8ED77">
            <w:pPr>
              <w:jc w:val="center"/>
            </w:pPr>
          </w:p>
        </w:tc>
      </w:tr>
      <w:tr w14:paraId="234A0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D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F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9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5C1B">
            <w:pPr>
              <w:jc w:val="center"/>
            </w:pPr>
            <w:r>
              <w:rPr>
                <w:rFonts w:ascii="宋体" w:hAnsi="宋体" w:eastAsia="宋体"/>
                <w:sz w:val="16"/>
              </w:rPr>
              <w:t>委员培训数（人）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DFD5">
            <w:pPr>
              <w:jc w:val="center"/>
            </w:pPr>
            <w:r>
              <w:rPr>
                <w:rFonts w:ascii="宋体" w:hAnsi="宋体" w:eastAsia="宋体"/>
                <w:sz w:val="16"/>
              </w:rPr>
              <w:t>&gt;=32人次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D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4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18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9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E0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0A84">
            <w:pPr>
              <w:jc w:val="center"/>
            </w:pPr>
            <w:r>
              <w:rPr>
                <w:rFonts w:ascii="宋体" w:hAnsi="宋体" w:eastAsia="宋体"/>
                <w:sz w:val="16"/>
              </w:rPr>
              <w:t>=32人次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57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DDA6C">
            <w:pPr>
              <w:jc w:val="center"/>
            </w:pPr>
          </w:p>
        </w:tc>
      </w:tr>
      <w:tr w14:paraId="69E2F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15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26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5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C81C">
            <w:pPr>
              <w:jc w:val="center"/>
            </w:pPr>
            <w:r>
              <w:rPr>
                <w:rFonts w:ascii="宋体" w:hAnsi="宋体" w:eastAsia="宋体"/>
                <w:sz w:val="16"/>
              </w:rPr>
              <w:t>日常支出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80C6">
            <w:pPr>
              <w:jc w:val="center"/>
            </w:pPr>
            <w:r>
              <w:rPr>
                <w:rFonts w:ascii="宋体" w:hAnsi="宋体" w:eastAsia="宋体"/>
                <w:sz w:val="16"/>
              </w:rPr>
              <w:t>&gt;=14批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4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E4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51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7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5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B719">
            <w:pPr>
              <w:jc w:val="center"/>
            </w:pPr>
            <w:r>
              <w:rPr>
                <w:rFonts w:ascii="宋体" w:hAnsi="宋体" w:eastAsia="宋体"/>
                <w:sz w:val="16"/>
              </w:rPr>
              <w:t>=14批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84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2F8E">
            <w:pPr>
              <w:jc w:val="center"/>
            </w:pPr>
          </w:p>
        </w:tc>
      </w:tr>
      <w:tr w14:paraId="65E4A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1C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F3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85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11BE">
            <w:pPr>
              <w:jc w:val="center"/>
            </w:pPr>
            <w:r>
              <w:rPr>
                <w:rFonts w:ascii="宋体" w:hAnsi="宋体" w:eastAsia="宋体"/>
                <w:sz w:val="16"/>
              </w:rPr>
              <w:t>劳务结构优化月份（月）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862E">
            <w:pPr>
              <w:jc w:val="center"/>
            </w:pPr>
            <w:r>
              <w:rPr>
                <w:rFonts w:ascii="宋体" w:hAnsi="宋体" w:eastAsia="宋体"/>
                <w:sz w:val="16"/>
              </w:rPr>
              <w:t>&gt;=12个月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D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9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5E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1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F3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43C0">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F6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B89E">
            <w:pPr>
              <w:jc w:val="center"/>
            </w:pPr>
          </w:p>
        </w:tc>
      </w:tr>
      <w:tr w14:paraId="42830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D6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C4C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90D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7DDE">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22C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7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6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D5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E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E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D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D8E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54C5">
            <w:pPr>
              <w:jc w:val="center"/>
            </w:pPr>
          </w:p>
        </w:tc>
      </w:tr>
      <w:tr w14:paraId="6E0A9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BC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F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5F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DCDD">
            <w:pPr>
              <w:jc w:val="center"/>
            </w:pPr>
            <w:r>
              <w:rPr>
                <w:rFonts w:ascii="宋体" w:hAnsi="宋体" w:eastAsia="宋体"/>
                <w:sz w:val="16"/>
              </w:rPr>
              <w:t>委员培训合格率(%)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A1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A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E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0A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3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5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CB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A9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D9D79">
            <w:pPr>
              <w:jc w:val="center"/>
            </w:pPr>
          </w:p>
        </w:tc>
      </w:tr>
      <w:tr w14:paraId="381B0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B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4E6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9D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F53B">
            <w:pPr>
              <w:jc w:val="center"/>
            </w:pPr>
            <w:r>
              <w:rPr>
                <w:rFonts w:ascii="宋体" w:hAnsi="宋体" w:eastAsia="宋体"/>
                <w:sz w:val="16"/>
              </w:rPr>
              <w:t>办公设备购置的合格率(%)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BD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D3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7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EA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5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4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2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8C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B36C">
            <w:pPr>
              <w:jc w:val="center"/>
            </w:pPr>
          </w:p>
        </w:tc>
      </w:tr>
      <w:tr w14:paraId="6674C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B0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F4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AF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580E">
            <w:pPr>
              <w:jc w:val="center"/>
            </w:pPr>
            <w:r>
              <w:rPr>
                <w:rFonts w:ascii="宋体" w:hAnsi="宋体" w:eastAsia="宋体"/>
                <w:sz w:val="16"/>
              </w:rPr>
              <w:t>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4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A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2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6E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5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81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0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99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422F0">
            <w:pPr>
              <w:jc w:val="center"/>
            </w:pPr>
          </w:p>
        </w:tc>
      </w:tr>
      <w:tr w14:paraId="68647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EF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96C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4E3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475E">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33B0">
            <w:pPr>
              <w:jc w:val="center"/>
            </w:pPr>
            <w:r>
              <w:rPr>
                <w:rFonts w:ascii="宋体" w:hAnsi="宋体" w:eastAsia="宋体"/>
                <w:sz w:val="16"/>
              </w:rPr>
              <w:t>&lt;=4.56万元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6E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8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3F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0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0C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69AF">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6D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82AE9">
            <w:pPr>
              <w:jc w:val="center"/>
            </w:pPr>
            <w:r>
              <w:rPr>
                <w:rFonts w:ascii="宋体" w:hAnsi="宋体" w:eastAsia="宋体"/>
                <w:sz w:val="16"/>
              </w:rPr>
              <w:t>偏差原因：因部分业务需要在2025年完成后才能支付资金。改进措施：与业务科室及时联系，加快支付进程。</w:t>
            </w:r>
          </w:p>
        </w:tc>
      </w:tr>
      <w:tr w14:paraId="56EE1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0D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8D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28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29C9">
            <w:pPr>
              <w:jc w:val="center"/>
            </w:pPr>
            <w:r>
              <w:rPr>
                <w:rFonts w:ascii="宋体" w:hAnsi="宋体" w:eastAsia="宋体"/>
                <w:sz w:val="16"/>
              </w:rPr>
              <w:t>劳务成本费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26B">
            <w:pPr>
              <w:jc w:val="center"/>
            </w:pPr>
            <w:r>
              <w:rPr>
                <w:rFonts w:ascii="宋体" w:hAnsi="宋体" w:eastAsia="宋体"/>
                <w:sz w:val="16"/>
              </w:rPr>
              <w:t>=18000元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C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C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4D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4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BF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4494">
            <w:pPr>
              <w:jc w:val="center"/>
            </w:pPr>
            <w:r>
              <w:rPr>
                <w:rFonts w:ascii="宋体" w:hAnsi="宋体" w:eastAsia="宋体"/>
                <w:sz w:val="16"/>
              </w:rPr>
              <w:t>=18000元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87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4A71">
            <w:pPr>
              <w:jc w:val="center"/>
            </w:pPr>
          </w:p>
        </w:tc>
      </w:tr>
      <w:tr w14:paraId="219B3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6D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CE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25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7C98">
            <w:pPr>
              <w:jc w:val="center"/>
            </w:pPr>
            <w:r>
              <w:rPr>
                <w:rFonts w:ascii="宋体" w:hAnsi="宋体" w:eastAsia="宋体"/>
                <w:sz w:val="16"/>
              </w:rPr>
              <w:t>委员培训平均成本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A15D">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1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44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7B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7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04D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F7E6">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890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8067">
            <w:pPr>
              <w:jc w:val="center"/>
            </w:pPr>
          </w:p>
        </w:tc>
      </w:tr>
      <w:tr w14:paraId="25E98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7D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C2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B5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A685">
            <w:pPr>
              <w:jc w:val="center"/>
            </w:pPr>
            <w:r>
              <w:rPr>
                <w:rFonts w:ascii="宋体" w:hAnsi="宋体" w:eastAsia="宋体"/>
                <w:sz w:val="16"/>
              </w:rPr>
              <w:t>委员能力和水平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15D3">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C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A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9A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77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35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07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5E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BF89">
            <w:pPr>
              <w:jc w:val="center"/>
            </w:pPr>
          </w:p>
        </w:tc>
      </w:tr>
      <w:tr w14:paraId="5C8E8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7ED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C278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302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2E2A">
            <w:pPr>
              <w:jc w:val="center"/>
            </w:pPr>
            <w:r>
              <w:rPr>
                <w:rFonts w:ascii="宋体" w:hAnsi="宋体" w:eastAsia="宋体"/>
                <w:sz w:val="16"/>
              </w:rPr>
              <w:t>委员满意度（%）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C413">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8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3C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69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0F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2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339D">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26E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ADB09">
            <w:pPr>
              <w:jc w:val="center"/>
            </w:pPr>
          </w:p>
        </w:tc>
      </w:tr>
      <w:tr w14:paraId="4B52C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88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1C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E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AAE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D8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D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A4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FE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4C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4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1E0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33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4C082">
            <w:pPr>
              <w:jc w:val="center"/>
            </w:pPr>
          </w:p>
        </w:tc>
      </w:tr>
      <w:tr w14:paraId="22C8A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F55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C2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B1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A52A73">
            <w:pPr>
              <w:jc w:val="center"/>
            </w:pPr>
            <w:r>
              <w:rPr>
                <w:rFonts w:ascii="宋体" w:hAnsi="宋体" w:eastAsia="宋体"/>
                <w:sz w:val="16"/>
              </w:rPr>
              <w:t>90.35分</w:t>
            </w:r>
          </w:p>
        </w:tc>
      </w:tr>
    </w:tbl>
    <w:p w14:paraId="21682A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2A32410">
        <w:tblPrEx>
          <w:tblCellMar>
            <w:top w:w="0" w:type="dxa"/>
            <w:left w:w="108" w:type="dxa"/>
            <w:bottom w:w="0" w:type="dxa"/>
            <w:right w:w="108" w:type="dxa"/>
          </w:tblCellMar>
        </w:tblPrEx>
        <w:tc>
          <w:tcPr>
            <w:tcW w:w="8848" w:type="dxa"/>
            <w:gridSpan w:val="14"/>
            <w:vAlign w:val="center"/>
          </w:tcPr>
          <w:p w14:paraId="204838B9">
            <w:pPr>
              <w:jc w:val="center"/>
            </w:pPr>
            <w:r>
              <w:rPr>
                <w:rFonts w:ascii="宋体" w:hAnsi="宋体" w:eastAsia="宋体"/>
                <w:sz w:val="24"/>
              </w:rPr>
              <w:t>项目支出绩效自评表</w:t>
            </w:r>
          </w:p>
        </w:tc>
      </w:tr>
      <w:tr w14:paraId="5CB26F9D">
        <w:tblPrEx>
          <w:tblCellMar>
            <w:top w:w="0" w:type="dxa"/>
            <w:left w:w="108" w:type="dxa"/>
            <w:bottom w:w="0" w:type="dxa"/>
            <w:right w:w="108" w:type="dxa"/>
          </w:tblCellMar>
        </w:tblPrEx>
        <w:tc>
          <w:tcPr>
            <w:tcW w:w="8848" w:type="dxa"/>
            <w:gridSpan w:val="14"/>
            <w:vAlign w:val="center"/>
          </w:tcPr>
          <w:p w14:paraId="2737C0F4">
            <w:pPr>
              <w:jc w:val="center"/>
            </w:pPr>
            <w:r>
              <w:rPr>
                <w:rFonts w:ascii="宋体" w:hAnsi="宋体" w:eastAsia="宋体"/>
                <w:sz w:val="24"/>
              </w:rPr>
              <w:t>(2024年度)</w:t>
            </w:r>
          </w:p>
        </w:tc>
      </w:tr>
      <w:tr w14:paraId="73EF8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2A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718B8B">
            <w:pPr>
              <w:jc w:val="center"/>
            </w:pPr>
            <w:r>
              <w:rPr>
                <w:rFonts w:ascii="宋体" w:hAnsi="宋体" w:eastAsia="宋体"/>
                <w:sz w:val="16"/>
              </w:rPr>
              <w:t>基层政协补助经费</w:t>
            </w:r>
          </w:p>
        </w:tc>
      </w:tr>
      <w:tr w14:paraId="55502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99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05CD1">
            <w:pPr>
              <w:jc w:val="center"/>
            </w:pPr>
            <w:r>
              <w:rPr>
                <w:rFonts w:ascii="宋体" w:hAnsi="宋体" w:eastAsia="宋体"/>
                <w:sz w:val="16"/>
              </w:rPr>
              <w:t>中国人民政治协商会议克孜勒苏柯尔克孜自治州委员会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6B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C2A512">
            <w:pPr>
              <w:jc w:val="center"/>
            </w:pPr>
            <w:r>
              <w:rPr>
                <w:rFonts w:ascii="宋体" w:hAnsi="宋体" w:eastAsia="宋体"/>
                <w:sz w:val="16"/>
              </w:rPr>
              <w:t>中国人民政治协商会议克孜勒苏柯尔克孜自治州委员会</w:t>
            </w:r>
          </w:p>
        </w:tc>
      </w:tr>
      <w:tr w14:paraId="0947D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78B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68D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12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061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72C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8F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20E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AEE5">
            <w:pPr>
              <w:jc w:val="center"/>
            </w:pPr>
            <w:r>
              <w:rPr>
                <w:rFonts w:ascii="宋体" w:hAnsi="宋体" w:eastAsia="宋体"/>
                <w:sz w:val="16"/>
              </w:rPr>
              <w:t>得分</w:t>
            </w:r>
          </w:p>
        </w:tc>
      </w:tr>
      <w:tr w14:paraId="519D8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DA7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93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C04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993F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B20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15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F4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72E7">
            <w:pPr>
              <w:jc w:val="center"/>
            </w:pPr>
            <w:r>
              <w:rPr>
                <w:rFonts w:ascii="宋体" w:hAnsi="宋体" w:eastAsia="宋体"/>
                <w:sz w:val="16"/>
              </w:rPr>
              <w:t>10.00分</w:t>
            </w:r>
          </w:p>
        </w:tc>
      </w:tr>
      <w:tr w14:paraId="0D24C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9C5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67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CEA2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5B46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1C7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E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09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2904">
            <w:pPr>
              <w:jc w:val="center"/>
            </w:pPr>
            <w:r>
              <w:rPr>
                <w:rFonts w:ascii="宋体" w:hAnsi="宋体" w:eastAsia="宋体"/>
                <w:sz w:val="16"/>
              </w:rPr>
              <w:t>—</w:t>
            </w:r>
          </w:p>
        </w:tc>
      </w:tr>
      <w:tr w14:paraId="03D9C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73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06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F1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86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4D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C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E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6DD8">
            <w:pPr>
              <w:jc w:val="center"/>
            </w:pPr>
            <w:r>
              <w:rPr>
                <w:rFonts w:ascii="宋体" w:hAnsi="宋体" w:eastAsia="宋体"/>
                <w:sz w:val="16"/>
              </w:rPr>
              <w:t>—</w:t>
            </w:r>
          </w:p>
        </w:tc>
      </w:tr>
      <w:tr w14:paraId="2A8C70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054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3FC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B360C3">
            <w:pPr>
              <w:jc w:val="center"/>
            </w:pPr>
            <w:r>
              <w:rPr>
                <w:rFonts w:ascii="宋体" w:hAnsi="宋体" w:eastAsia="宋体"/>
                <w:sz w:val="16"/>
              </w:rPr>
              <w:t>实际完成情况</w:t>
            </w:r>
          </w:p>
        </w:tc>
      </w:tr>
      <w:tr w14:paraId="0768A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A9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3BFD47">
            <w:pPr>
              <w:jc w:val="both"/>
            </w:pPr>
            <w:r>
              <w:rPr>
                <w:rFonts w:ascii="宋体" w:hAnsi="宋体" w:eastAsia="宋体"/>
                <w:sz w:val="16"/>
              </w:rPr>
              <w:t>该项目资金投入总额为15万元，其中财政拨款15万元。2023年，克州政协坚持以习近平新时代中国特色社会主义思想为统领，深入</w:t>
            </w:r>
            <w:r>
              <w:rPr>
                <w:rFonts w:hint="eastAsia" w:ascii="宋体" w:hAnsi="宋体"/>
                <w:sz w:val="16"/>
                <w:lang w:eastAsia="zh-CN"/>
              </w:rPr>
              <w:t>学习贯彻党的二十大精神</w:t>
            </w:r>
            <w:r>
              <w:rPr>
                <w:rFonts w:ascii="宋体" w:hAnsi="宋体" w:eastAsia="宋体"/>
                <w:sz w:val="16"/>
              </w:rPr>
              <w:t>，第三次中央新疆工作座谈会精神，锐意进取、埋头苦干，为各项工作打下</w:t>
            </w:r>
            <w:r>
              <w:rPr>
                <w:rFonts w:hint="eastAsia" w:ascii="宋体" w:hAnsi="宋体"/>
                <w:sz w:val="16"/>
                <w:lang w:eastAsia="zh-CN"/>
              </w:rPr>
              <w:t>坚实</w:t>
            </w:r>
            <w:r>
              <w:rPr>
                <w:rFonts w:ascii="宋体" w:hAnsi="宋体" w:eastAsia="宋体"/>
                <w:sz w:val="16"/>
              </w:rPr>
              <w:t>基础，到三县一市共13个乡、18个村（社区）政协委员开展视察、调研活动形成调研报告以及完成提案工作，提交给州党委、州人民政府及有关部门；为了更好发挥基层政协工作的有序开展购买会议相关设备、开展系列活动，实施该项目能够提升政协委员服务水平，促进克州乡村振兴和经济政治持续稳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CDEF4E">
            <w:pPr>
              <w:jc w:val="both"/>
            </w:pPr>
            <w:r>
              <w:rPr>
                <w:rFonts w:hint="eastAsia" w:ascii="宋体" w:hAnsi="宋体"/>
                <w:sz w:val="16"/>
                <w:lang w:eastAsia="zh-CN"/>
              </w:rPr>
              <w:t>截至2024</w:t>
            </w:r>
            <w:r>
              <w:rPr>
                <w:rFonts w:ascii="宋体" w:hAnsi="宋体" w:eastAsia="宋体"/>
                <w:sz w:val="16"/>
              </w:rPr>
              <w:t>年12月31日。调研次数8次、购置办公设备1批、开展政策宣讲活动6次、政协委员培训4批次，到三县一市共13个乡、18个村（社区）政协委员开展视察、调研活动形成调研报告以及完成提案工作，提交给州党委、州人民政府及有关部门；为了更好发挥基层政协工作的有序开展购买会议相关设备、开展系列活动，实施该项目能够提升政协委员服务水平，促进克州乡村振兴和经济政治持续稳定发展。</w:t>
            </w:r>
          </w:p>
        </w:tc>
      </w:tr>
      <w:tr w14:paraId="1E970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A77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9D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56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5D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E2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22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58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9E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6B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D9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F6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CBE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3130">
            <w:pPr>
              <w:jc w:val="center"/>
            </w:pPr>
            <w:r>
              <w:rPr>
                <w:rFonts w:ascii="宋体" w:hAnsi="宋体" w:eastAsia="宋体"/>
                <w:sz w:val="16"/>
              </w:rPr>
              <w:t>偏差原因分析及改进措施</w:t>
            </w:r>
          </w:p>
        </w:tc>
      </w:tr>
      <w:tr w14:paraId="724231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B40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434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BFE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5ACD">
            <w:pPr>
              <w:jc w:val="center"/>
            </w:pPr>
            <w:r>
              <w:rPr>
                <w:rFonts w:ascii="宋体" w:hAnsi="宋体" w:eastAsia="宋体"/>
                <w:sz w:val="16"/>
              </w:rPr>
              <w:t>开展政策宣讲活动次数（次)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1A9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5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DA15">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0A4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C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4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FCF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9F0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3E005">
            <w:pPr>
              <w:jc w:val="center"/>
            </w:pPr>
          </w:p>
        </w:tc>
      </w:tr>
      <w:tr w14:paraId="6C381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57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9D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02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78F7">
            <w:pPr>
              <w:jc w:val="center"/>
            </w:pPr>
            <w:r>
              <w:rPr>
                <w:rFonts w:ascii="宋体" w:hAnsi="宋体" w:eastAsia="宋体"/>
                <w:sz w:val="16"/>
              </w:rPr>
              <w:t>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3D3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5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02B5">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CC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C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2EA0">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F4B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911E4">
            <w:pPr>
              <w:jc w:val="center"/>
            </w:pPr>
          </w:p>
        </w:tc>
      </w:tr>
      <w:tr w14:paraId="08CB7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8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E3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54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DD2F">
            <w:pPr>
              <w:jc w:val="center"/>
            </w:pPr>
            <w:r>
              <w:rPr>
                <w:rFonts w:ascii="宋体" w:hAnsi="宋体" w:eastAsia="宋体"/>
                <w:sz w:val="16"/>
              </w:rPr>
              <w:t>打造书香政协（次）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4B3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1F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117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11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3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2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B8E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06C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10FDA">
            <w:pPr>
              <w:jc w:val="center"/>
            </w:pPr>
          </w:p>
        </w:tc>
      </w:tr>
      <w:tr w14:paraId="7958F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C1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91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66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FA24">
            <w:pPr>
              <w:jc w:val="center"/>
            </w:pPr>
            <w:r>
              <w:rPr>
                <w:rFonts w:ascii="宋体" w:hAnsi="宋体" w:eastAsia="宋体"/>
                <w:sz w:val="16"/>
              </w:rPr>
              <w:t>政协培训场次（批次）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66EB">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2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19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DE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5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C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4857">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430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C3796">
            <w:pPr>
              <w:jc w:val="center"/>
            </w:pPr>
          </w:p>
        </w:tc>
      </w:tr>
      <w:tr w14:paraId="00828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E4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E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0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CF3E">
            <w:pPr>
              <w:jc w:val="center"/>
            </w:pPr>
            <w:r>
              <w:rPr>
                <w:rFonts w:ascii="宋体" w:hAnsi="宋体" w:eastAsia="宋体"/>
                <w:sz w:val="16"/>
              </w:rPr>
              <w:t>购置办公设备（批）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F350">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E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C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99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1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F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FFC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405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9713">
            <w:pPr>
              <w:jc w:val="center"/>
            </w:pPr>
          </w:p>
        </w:tc>
      </w:tr>
      <w:tr w14:paraId="71D6B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0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F73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E89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022F">
            <w:pPr>
              <w:jc w:val="center"/>
            </w:pPr>
            <w:r>
              <w:rPr>
                <w:rFonts w:ascii="宋体" w:hAnsi="宋体" w:eastAsia="宋体"/>
                <w:sz w:val="16"/>
              </w:rPr>
              <w:t>开展政策宣讲活动参与率（%）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E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0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C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2B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4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E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B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175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CB1CA">
            <w:pPr>
              <w:jc w:val="center"/>
            </w:pPr>
          </w:p>
        </w:tc>
      </w:tr>
      <w:tr w14:paraId="407C7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3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1D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6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9E1C">
            <w:pPr>
              <w:jc w:val="center"/>
            </w:pPr>
            <w:r>
              <w:rPr>
                <w:rFonts w:ascii="宋体" w:hAnsi="宋体" w:eastAsia="宋体"/>
                <w:sz w:val="16"/>
              </w:rPr>
              <w:t>开展调研视察覆盖率（%）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D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7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5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0B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F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B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B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F7C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4D6B1">
            <w:pPr>
              <w:jc w:val="center"/>
            </w:pPr>
          </w:p>
        </w:tc>
      </w:tr>
      <w:tr w14:paraId="1F781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C9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28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D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E25D">
            <w:pPr>
              <w:jc w:val="center"/>
            </w:pPr>
            <w:r>
              <w:rPr>
                <w:rFonts w:ascii="宋体" w:hAnsi="宋体" w:eastAsia="宋体"/>
                <w:sz w:val="16"/>
              </w:rPr>
              <w:t>打造书香政协验收合格率（%）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D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9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6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14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1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A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0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2EB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5223">
            <w:pPr>
              <w:jc w:val="center"/>
            </w:pPr>
          </w:p>
        </w:tc>
      </w:tr>
      <w:tr w14:paraId="44426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82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FB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3E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0304">
            <w:pPr>
              <w:jc w:val="center"/>
            </w:pPr>
            <w:r>
              <w:rPr>
                <w:rFonts w:ascii="宋体" w:hAnsi="宋体" w:eastAsia="宋体"/>
                <w:sz w:val="16"/>
              </w:rPr>
              <w:t>政协培训政策知晓率（%）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3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3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DD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7E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A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6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72F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A7E3">
            <w:pPr>
              <w:jc w:val="center"/>
            </w:pPr>
          </w:p>
        </w:tc>
      </w:tr>
      <w:tr w14:paraId="788C0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9C2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84F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27D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8F13">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B2A0">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7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48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4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3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3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96F3">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82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2068">
            <w:pPr>
              <w:jc w:val="center"/>
            </w:pPr>
          </w:p>
        </w:tc>
      </w:tr>
      <w:tr w14:paraId="7AA4B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2F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BE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13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C079">
            <w:pPr>
              <w:jc w:val="center"/>
            </w:pPr>
            <w:r>
              <w:rPr>
                <w:rFonts w:ascii="宋体" w:hAnsi="宋体" w:eastAsia="宋体"/>
                <w:sz w:val="16"/>
              </w:rPr>
              <w:t>开展调研视察及时率（%）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0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C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6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79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6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F9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E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47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2E2E">
            <w:pPr>
              <w:jc w:val="center"/>
            </w:pPr>
          </w:p>
        </w:tc>
      </w:tr>
      <w:tr w14:paraId="41681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69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B5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79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C572">
            <w:pPr>
              <w:jc w:val="center"/>
            </w:pPr>
            <w:r>
              <w:rPr>
                <w:rFonts w:ascii="宋体" w:hAnsi="宋体" w:eastAsia="宋体"/>
                <w:sz w:val="16"/>
              </w:rPr>
              <w:t>打造书香政协场所完工及时率（%）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5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5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6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5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56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7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2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49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3C16C">
            <w:pPr>
              <w:jc w:val="center"/>
            </w:pPr>
          </w:p>
        </w:tc>
      </w:tr>
      <w:tr w14:paraId="18C3D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EE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E78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2CE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7602">
            <w:pPr>
              <w:jc w:val="center"/>
            </w:pPr>
            <w:r>
              <w:rPr>
                <w:rFonts w:ascii="宋体" w:hAnsi="宋体" w:eastAsia="宋体"/>
                <w:sz w:val="16"/>
              </w:rPr>
              <w:t>开展政策宣讲活动（万元）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F5C6">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D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7C3A">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39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D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77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020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47A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24DC8">
            <w:pPr>
              <w:jc w:val="center"/>
            </w:pPr>
          </w:p>
        </w:tc>
      </w:tr>
      <w:tr w14:paraId="413D0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E6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48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6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2904">
            <w:pPr>
              <w:jc w:val="center"/>
            </w:pPr>
            <w:r>
              <w:rPr>
                <w:rFonts w:ascii="宋体" w:hAnsi="宋体" w:eastAsia="宋体"/>
                <w:sz w:val="16"/>
              </w:rPr>
              <w:t>开展调研视察活动经费（万元）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B510">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F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AC5C">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D2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C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DD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57A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8C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5CC8">
            <w:pPr>
              <w:jc w:val="center"/>
            </w:pPr>
          </w:p>
        </w:tc>
      </w:tr>
      <w:tr w14:paraId="4F6C2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3E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2F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91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BAFB">
            <w:pPr>
              <w:jc w:val="center"/>
            </w:pPr>
            <w:r>
              <w:rPr>
                <w:rFonts w:ascii="宋体" w:hAnsi="宋体" w:eastAsia="宋体"/>
                <w:sz w:val="16"/>
              </w:rPr>
              <w:t>打造书香政协（万元）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FA2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8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BBA1">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99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C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0E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5FF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54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0B59C">
            <w:pPr>
              <w:jc w:val="center"/>
            </w:pPr>
          </w:p>
        </w:tc>
      </w:tr>
      <w:tr w14:paraId="13826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185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EBB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2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58EF">
            <w:pPr>
              <w:jc w:val="center"/>
            </w:pPr>
            <w:r>
              <w:rPr>
                <w:rFonts w:ascii="宋体" w:hAnsi="宋体" w:eastAsia="宋体"/>
                <w:sz w:val="16"/>
              </w:rPr>
              <w:t>政协委员培训（万元）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FA9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B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A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57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C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E6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A21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361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3D04A">
            <w:pPr>
              <w:jc w:val="center"/>
            </w:pPr>
          </w:p>
        </w:tc>
      </w:tr>
      <w:tr w14:paraId="35121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02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42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5B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46C4">
            <w:pPr>
              <w:jc w:val="center"/>
            </w:pPr>
            <w:r>
              <w:rPr>
                <w:rFonts w:ascii="宋体" w:hAnsi="宋体" w:eastAsia="宋体"/>
                <w:sz w:val="16"/>
              </w:rPr>
              <w:t>购置办公室设备（万元）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AB8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D7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57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9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AF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E61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B45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3A7D4">
            <w:pPr>
              <w:jc w:val="center"/>
            </w:pPr>
          </w:p>
        </w:tc>
      </w:tr>
      <w:tr w14:paraId="788CA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1CD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2BA2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F5E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2CA0">
            <w:pPr>
              <w:jc w:val="center"/>
            </w:pPr>
            <w:r>
              <w:rPr>
                <w:rFonts w:ascii="宋体" w:hAnsi="宋体" w:eastAsia="宋体"/>
                <w:sz w:val="16"/>
              </w:rPr>
              <w:t>提高参政议政影响力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5DD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FB5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72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B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2D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B35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C5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E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D2774">
            <w:pPr>
              <w:jc w:val="center"/>
            </w:pPr>
          </w:p>
        </w:tc>
      </w:tr>
      <w:tr w14:paraId="7A514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5B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91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8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76C0">
            <w:pPr>
              <w:jc w:val="center"/>
            </w:pPr>
            <w:r>
              <w:rPr>
                <w:rFonts w:ascii="宋体" w:hAnsi="宋体" w:eastAsia="宋体"/>
                <w:sz w:val="16"/>
              </w:rPr>
              <w:t>意见建议采纳率（%）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0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E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5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3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E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1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3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4C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7CC5">
            <w:pPr>
              <w:jc w:val="center"/>
            </w:pPr>
          </w:p>
        </w:tc>
      </w:tr>
      <w:tr w14:paraId="3677E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24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FF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BF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CD8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956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A6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4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0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6F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F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F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0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3416">
            <w:pPr>
              <w:jc w:val="center"/>
            </w:pPr>
          </w:p>
        </w:tc>
      </w:tr>
      <w:tr w14:paraId="2E78AE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6B3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6FA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6E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2E2AAC">
            <w:pPr>
              <w:jc w:val="center"/>
            </w:pPr>
            <w:r>
              <w:rPr>
                <w:rFonts w:ascii="宋体" w:hAnsi="宋体" w:eastAsia="宋体"/>
                <w:sz w:val="16"/>
              </w:rPr>
              <w:t>100分</w:t>
            </w:r>
          </w:p>
        </w:tc>
      </w:tr>
    </w:tbl>
    <w:p w14:paraId="7E22768A">
      <w:r>
        <w:br w:type="page"/>
      </w:r>
    </w:p>
    <w:p w14:paraId="3AFBED22">
      <w:pPr>
        <w:spacing w:line="640" w:lineRule="exact"/>
        <w:ind w:firstLine="640"/>
        <w:jc w:val="both"/>
        <w:outlineLvl w:val="2"/>
      </w:pPr>
      <w:r>
        <w:rPr>
          <w:rFonts w:ascii="黑体" w:hAnsi="黑体" w:eastAsia="黑体"/>
          <w:sz w:val="32"/>
        </w:rPr>
        <w:t>十二、其他需说明的事项</w:t>
      </w:r>
    </w:p>
    <w:p w14:paraId="691EE50A">
      <w:pPr>
        <w:spacing w:line="580" w:lineRule="exact"/>
        <w:ind w:firstLine="640"/>
        <w:jc w:val="both"/>
      </w:pPr>
      <w:r>
        <w:rPr>
          <w:rFonts w:ascii="仿宋_GB2312" w:hAnsi="仿宋_GB2312" w:eastAsia="仿宋_GB2312"/>
          <w:b w:val="0"/>
          <w:sz w:val="32"/>
        </w:rPr>
        <w:t>本单位无其他需说明的事项。</w:t>
      </w:r>
    </w:p>
    <w:p w14:paraId="48A407C5">
      <w:r>
        <w:br w:type="page"/>
      </w:r>
    </w:p>
    <w:p w14:paraId="6D000180">
      <w:pPr>
        <w:spacing w:line="240" w:lineRule="auto"/>
        <w:jc w:val="center"/>
        <w:outlineLvl w:val="1"/>
      </w:pPr>
      <w:r>
        <w:rPr>
          <w:rFonts w:ascii="黑体" w:hAnsi="黑体" w:eastAsia="黑体"/>
          <w:sz w:val="32"/>
        </w:rPr>
        <w:t>第三部分 专业名词解释</w:t>
      </w:r>
    </w:p>
    <w:p w14:paraId="3443FFC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4029E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6114D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08374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96CA2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E28F5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8A5D1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68192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86726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525EB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0E7A5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E0817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FDCA7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2ADE5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9471DA5">
      <w:r>
        <w:br w:type="page"/>
      </w:r>
    </w:p>
    <w:p w14:paraId="4B8A4F43">
      <w:pPr>
        <w:spacing w:line="240" w:lineRule="auto"/>
        <w:jc w:val="center"/>
        <w:outlineLvl w:val="1"/>
      </w:pPr>
      <w:r>
        <w:rPr>
          <w:rFonts w:ascii="黑体" w:hAnsi="黑体" w:eastAsia="黑体"/>
          <w:sz w:val="32"/>
        </w:rPr>
        <w:t>第四部分 部门决算报表（见附表）</w:t>
      </w:r>
    </w:p>
    <w:p w14:paraId="20892819">
      <w:pPr>
        <w:spacing w:line="240" w:lineRule="auto"/>
        <w:ind w:firstLine="640"/>
        <w:jc w:val="both"/>
      </w:pPr>
      <w:r>
        <w:rPr>
          <w:rFonts w:ascii="仿宋_GB2312" w:hAnsi="仿宋_GB2312" w:eastAsia="仿宋_GB2312"/>
          <w:b w:val="0"/>
          <w:sz w:val="32"/>
        </w:rPr>
        <w:t>一、《收入支出决算总表》</w:t>
      </w:r>
    </w:p>
    <w:p w14:paraId="44EC3FC8">
      <w:pPr>
        <w:spacing w:line="240" w:lineRule="auto"/>
        <w:ind w:firstLine="640"/>
        <w:jc w:val="both"/>
      </w:pPr>
      <w:r>
        <w:rPr>
          <w:rFonts w:ascii="仿宋_GB2312" w:hAnsi="仿宋_GB2312" w:eastAsia="仿宋_GB2312"/>
          <w:b w:val="0"/>
          <w:sz w:val="32"/>
        </w:rPr>
        <w:t>二、《收入决算表》</w:t>
      </w:r>
    </w:p>
    <w:p w14:paraId="39C98EC7">
      <w:pPr>
        <w:spacing w:line="240" w:lineRule="auto"/>
        <w:ind w:firstLine="640"/>
        <w:jc w:val="both"/>
      </w:pPr>
      <w:r>
        <w:rPr>
          <w:rFonts w:ascii="仿宋_GB2312" w:hAnsi="仿宋_GB2312" w:eastAsia="仿宋_GB2312"/>
          <w:b w:val="0"/>
          <w:sz w:val="32"/>
        </w:rPr>
        <w:t>三、《支出决算表》</w:t>
      </w:r>
    </w:p>
    <w:p w14:paraId="5F405BBD">
      <w:pPr>
        <w:spacing w:line="240" w:lineRule="auto"/>
        <w:ind w:firstLine="640"/>
        <w:jc w:val="both"/>
      </w:pPr>
      <w:r>
        <w:rPr>
          <w:rFonts w:ascii="仿宋_GB2312" w:hAnsi="仿宋_GB2312" w:eastAsia="仿宋_GB2312"/>
          <w:b w:val="0"/>
          <w:sz w:val="32"/>
        </w:rPr>
        <w:t>四、《财政拨款收入支出决算总表》</w:t>
      </w:r>
    </w:p>
    <w:p w14:paraId="42EE80E9">
      <w:pPr>
        <w:spacing w:line="240" w:lineRule="auto"/>
        <w:ind w:firstLine="640"/>
        <w:jc w:val="both"/>
      </w:pPr>
      <w:r>
        <w:rPr>
          <w:rFonts w:ascii="仿宋_GB2312" w:hAnsi="仿宋_GB2312" w:eastAsia="仿宋_GB2312"/>
          <w:b w:val="0"/>
          <w:sz w:val="32"/>
        </w:rPr>
        <w:t>五、《一般公共预算财政拨款支出决算表》</w:t>
      </w:r>
    </w:p>
    <w:p w14:paraId="369C9178">
      <w:pPr>
        <w:spacing w:line="240" w:lineRule="auto"/>
        <w:ind w:firstLine="640"/>
        <w:jc w:val="both"/>
      </w:pPr>
      <w:r>
        <w:rPr>
          <w:rFonts w:ascii="仿宋_GB2312" w:hAnsi="仿宋_GB2312" w:eastAsia="仿宋_GB2312"/>
          <w:b w:val="0"/>
          <w:sz w:val="32"/>
        </w:rPr>
        <w:t>六、《一般公共预算财政拨款基本支出决算表》</w:t>
      </w:r>
    </w:p>
    <w:p w14:paraId="4B6F92CB">
      <w:pPr>
        <w:spacing w:line="240" w:lineRule="auto"/>
        <w:ind w:firstLine="640"/>
        <w:jc w:val="both"/>
      </w:pPr>
      <w:r>
        <w:rPr>
          <w:rFonts w:ascii="仿宋_GB2312" w:hAnsi="仿宋_GB2312" w:eastAsia="仿宋_GB2312"/>
          <w:b w:val="0"/>
          <w:sz w:val="32"/>
        </w:rPr>
        <w:t>七、《政府性基金预算财政拨款收入支出决算表》</w:t>
      </w:r>
    </w:p>
    <w:p w14:paraId="7DE69C05">
      <w:pPr>
        <w:spacing w:line="240" w:lineRule="auto"/>
        <w:ind w:firstLine="640"/>
        <w:jc w:val="both"/>
      </w:pPr>
      <w:r>
        <w:rPr>
          <w:rFonts w:ascii="仿宋_GB2312" w:hAnsi="仿宋_GB2312" w:eastAsia="仿宋_GB2312"/>
          <w:b w:val="0"/>
          <w:sz w:val="32"/>
        </w:rPr>
        <w:t>八、《国有资本经营预算财政拨款收入支出决算表》</w:t>
      </w:r>
    </w:p>
    <w:p w14:paraId="780D5980">
      <w:pPr>
        <w:spacing w:line="240" w:lineRule="auto"/>
        <w:ind w:firstLine="640"/>
        <w:jc w:val="both"/>
      </w:pPr>
      <w:r>
        <w:rPr>
          <w:rFonts w:ascii="仿宋_GB2312" w:hAnsi="仿宋_GB2312" w:eastAsia="仿宋_GB2312"/>
          <w:b w:val="0"/>
          <w:sz w:val="32"/>
        </w:rPr>
        <w:t>九、《财政拨款“三公”经费支出决算表》</w:t>
      </w:r>
    </w:p>
    <w:p w14:paraId="593328A0">
      <w:pPr>
        <w:spacing w:line="240" w:lineRule="auto"/>
        <w:ind w:firstLine="640"/>
        <w:jc w:val="both"/>
      </w:pPr>
    </w:p>
    <w:p w14:paraId="0D28FE86">
      <w:pPr>
        <w:spacing w:line="240" w:lineRule="auto"/>
        <w:ind w:firstLine="640"/>
        <w:jc w:val="both"/>
      </w:pPr>
    </w:p>
    <w:p w14:paraId="65D9399A">
      <w:pPr>
        <w:spacing w:line="240" w:lineRule="auto"/>
        <w:ind w:firstLine="640"/>
        <w:jc w:val="both"/>
      </w:pPr>
    </w:p>
    <w:p w14:paraId="7AB12791">
      <w:pPr>
        <w:spacing w:line="240" w:lineRule="auto"/>
        <w:ind w:firstLine="640"/>
        <w:jc w:val="both"/>
      </w:pPr>
    </w:p>
    <w:p w14:paraId="3165D81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57DD59-565F-42A3-8F0A-94F2207111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4114B96-741C-446C-B380-799A59AB4EE8}"/>
  </w:font>
  <w:font w:name="仿宋_GB2312">
    <w:panose1 w:val="02010609030101010101"/>
    <w:charset w:val="86"/>
    <w:family w:val="modern"/>
    <w:pitch w:val="default"/>
    <w:sig w:usb0="00000001" w:usb1="080E0000" w:usb2="00000000" w:usb3="00000000" w:csb0="00040000" w:csb1="00000000"/>
    <w:embedRegular r:id="rId3" w:fontKey="{797EAAE5-A1B5-4EF5-A6B8-1E87A40AB11B}"/>
  </w:font>
  <w:font w:name="楷体_GB2312">
    <w:panose1 w:val="02010609030101010101"/>
    <w:charset w:val="86"/>
    <w:family w:val="auto"/>
    <w:pitch w:val="default"/>
    <w:sig w:usb0="00000001" w:usb1="080E0000" w:usb2="00000000" w:usb3="00000000" w:csb0="00040000" w:csb1="00000000"/>
    <w:embedRegular r:id="rId4" w:fontKey="{ED22FE51-792B-41D8-A695-708437D47D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0D5DA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216BA0"/>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4565</Words>
  <Characters>5216</Characters>
  <Lines>0</Lines>
  <Paragraphs>0</Paragraphs>
  <TotalTime>3</TotalTime>
  <ScaleCrop>false</ScaleCrop>
  <LinksUpToDate>false</LinksUpToDate>
  <CharactersWithSpaces>5224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2025-09-02T04:02:31Z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