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克孜勒苏柯尔克孜自治州地震监测中心2024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830E9E">
      <w:r>
        <w:br w:type="page"/>
      </w:r>
    </w:p>
    <w:p w14:paraId="028964D3">
      <w:pPr>
        <w:spacing w:line="640" w:lineRule="exact"/>
        <w:jc w:val="center"/>
        <w:outlineLvl w:val="1"/>
      </w:pPr>
      <w:r>
        <w:rPr>
          <w:rFonts w:ascii="黑体" w:hAnsi="黑体" w:eastAsia="黑体"/>
          <w:sz w:val="32"/>
        </w:rPr>
        <w:t>第一部分 单位概况</w:t>
      </w:r>
    </w:p>
    <w:p w14:paraId="148449A7">
      <w:pPr>
        <w:spacing w:line="640" w:lineRule="exact"/>
        <w:ind w:firstLine="640"/>
        <w:jc w:val="both"/>
        <w:outlineLvl w:val="2"/>
      </w:pPr>
      <w:r>
        <w:rPr>
          <w:rFonts w:ascii="黑体" w:hAnsi="黑体" w:eastAsia="黑体"/>
          <w:sz w:val="32"/>
        </w:rPr>
        <w:t>一、主要职能</w:t>
      </w:r>
    </w:p>
    <w:p w14:paraId="6B221990">
      <w:pPr>
        <w:spacing w:line="580" w:lineRule="exact"/>
        <w:ind w:firstLine="640"/>
        <w:jc w:val="both"/>
      </w:pPr>
      <w:r>
        <w:rPr>
          <w:rFonts w:ascii="仿宋_GB2312" w:hAnsi="仿宋_GB2312" w:eastAsia="仿宋_GB2312"/>
          <w:sz w:val="32"/>
        </w:rPr>
        <w:t>克州地震监测中心认真贯彻执行国家防震减灾工作的方针和法规，编制并组织实施全州防震减灾事业中长期发展规划和年度计划，承担自治州地震监测预报预警工作，承担自治州人民政府防震减灾工作联席会议制度办事机构职能，建立震灾预防工作体系，参与制定自治州破坏性地震应急预案并检查落实情况，组织开展防震减灾知识的宣传教育工作，依法管理和执行以地震动参数和地震烈度表述的抗震设防标准，推进地震科技现代化，管理和组织地震科学技术研究与攻关科技成果的推广应用。</w:t>
      </w:r>
    </w:p>
    <w:p w14:paraId="788CBC3E">
      <w:pPr>
        <w:spacing w:line="640" w:lineRule="exact"/>
        <w:ind w:firstLine="640"/>
        <w:jc w:val="both"/>
        <w:outlineLvl w:val="2"/>
      </w:pPr>
      <w:r>
        <w:rPr>
          <w:rFonts w:ascii="黑体" w:hAnsi="黑体" w:eastAsia="黑体"/>
          <w:sz w:val="32"/>
        </w:rPr>
        <w:t>二、机构设置及人员情况</w:t>
      </w:r>
    </w:p>
    <w:p w14:paraId="7ADD991C">
      <w:pPr>
        <w:spacing w:line="580" w:lineRule="exact"/>
        <w:ind w:firstLine="640"/>
        <w:jc w:val="both"/>
      </w:pPr>
      <w:r>
        <w:rPr>
          <w:rFonts w:ascii="仿宋_GB2312" w:hAnsi="仿宋_GB2312" w:eastAsia="仿宋_GB2312"/>
          <w:sz w:val="32"/>
        </w:rPr>
        <w:t>克孜勒苏柯尔克孜自治州地震监测中心2024年度，实有人数28人，其中：在职人员16人，增加2人；离休人员0人，增加0人；退休人员12人,增加0人。</w:t>
      </w:r>
    </w:p>
    <w:p w14:paraId="7981866C">
      <w:pPr>
        <w:spacing w:line="580" w:lineRule="exact"/>
        <w:ind w:firstLine="640"/>
        <w:jc w:val="both"/>
      </w:pPr>
      <w:r>
        <w:rPr>
          <w:rFonts w:ascii="仿宋_GB2312" w:hAnsi="仿宋_GB2312" w:eastAsia="仿宋_GB2312"/>
          <w:sz w:val="32"/>
        </w:rPr>
        <w:t>克孜勒苏柯尔克孜自治州地震监测中心无下属预算单位，下设5个科室，分别是：办公室、震害防御科、科技监测科、应急服务科、阿图什地震台。</w:t>
      </w:r>
    </w:p>
    <w:p w14:paraId="766C5DF4">
      <w:r>
        <w:br w:type="page"/>
      </w:r>
    </w:p>
    <w:p w14:paraId="18379896">
      <w:pPr>
        <w:spacing w:line="240" w:lineRule="auto"/>
        <w:jc w:val="center"/>
        <w:outlineLvl w:val="1"/>
      </w:pPr>
      <w:r>
        <w:rPr>
          <w:rFonts w:ascii="黑体" w:hAnsi="黑体" w:eastAsia="黑体"/>
          <w:sz w:val="32"/>
        </w:rPr>
        <w:t>第二部分 部门决算情况说明</w:t>
      </w:r>
    </w:p>
    <w:p w14:paraId="224313BD">
      <w:pPr>
        <w:spacing w:line="640" w:lineRule="exact"/>
        <w:ind w:firstLine="640"/>
        <w:jc w:val="both"/>
        <w:outlineLvl w:val="2"/>
      </w:pPr>
      <w:r>
        <w:rPr>
          <w:rFonts w:ascii="黑体" w:hAnsi="黑体" w:eastAsia="黑体"/>
          <w:sz w:val="32"/>
        </w:rPr>
        <w:t>一、收入支出决算总体情况说明</w:t>
      </w:r>
    </w:p>
    <w:p w14:paraId="6D06F6A6">
      <w:pPr>
        <w:spacing w:line="580" w:lineRule="exact"/>
        <w:ind w:firstLine="640"/>
        <w:jc w:val="both"/>
      </w:pPr>
      <w:r>
        <w:rPr>
          <w:rFonts w:ascii="仿宋_GB2312" w:hAnsi="仿宋_GB2312" w:eastAsia="仿宋_GB2312"/>
          <w:b/>
          <w:sz w:val="32"/>
        </w:rPr>
        <w:t>2024年度收入总计401.02万元，</w:t>
      </w:r>
      <w:r>
        <w:rPr>
          <w:rFonts w:ascii="仿宋_GB2312" w:hAnsi="仿宋_GB2312" w:eastAsia="仿宋_GB2312"/>
          <w:b w:val="0"/>
          <w:sz w:val="32"/>
        </w:rPr>
        <w:t>其中：本年收入合计389.62万元，使用非财政拨款结余（含专用结余）0.00万元，年初结转和结余11.40万元。</w:t>
      </w:r>
    </w:p>
    <w:p w14:paraId="7F6A8E4C">
      <w:pPr>
        <w:spacing w:line="580" w:lineRule="exact"/>
        <w:ind w:firstLine="640"/>
        <w:jc w:val="both"/>
      </w:pPr>
      <w:r>
        <w:rPr>
          <w:rFonts w:ascii="仿宋_GB2312" w:hAnsi="仿宋_GB2312" w:eastAsia="仿宋_GB2312"/>
          <w:b/>
          <w:sz w:val="32"/>
        </w:rPr>
        <w:t>2024年度支出总计401.02万元，</w:t>
      </w:r>
      <w:r>
        <w:rPr>
          <w:rFonts w:ascii="仿宋_GB2312" w:hAnsi="仿宋_GB2312" w:eastAsia="仿宋_GB2312"/>
          <w:b w:val="0"/>
          <w:sz w:val="32"/>
        </w:rPr>
        <w:t>其中：本年支出合计382.93万元，结余分配0.00万元，年末结转和结余18.09万元。</w:t>
      </w:r>
    </w:p>
    <w:p w14:paraId="01136E16">
      <w:pPr>
        <w:spacing w:line="580" w:lineRule="exact"/>
        <w:ind w:firstLine="640"/>
        <w:jc w:val="both"/>
      </w:pPr>
      <w:r>
        <w:rPr>
          <w:rFonts w:ascii="仿宋_GB2312" w:hAnsi="仿宋_GB2312" w:eastAsia="仿宋_GB2312"/>
          <w:b w:val="0"/>
          <w:sz w:val="32"/>
        </w:rPr>
        <w:t>收入支出总体与上年相比，减少23.51万元，下降5.54%，主要原因是：2024年根据财政部门要求“三网一员”工作经费直接拨入县市，导致经费支出减少。</w:t>
      </w:r>
    </w:p>
    <w:p w14:paraId="06198542">
      <w:pPr>
        <w:spacing w:line="640" w:lineRule="exact"/>
        <w:ind w:firstLine="640"/>
        <w:jc w:val="both"/>
        <w:outlineLvl w:val="2"/>
      </w:pPr>
      <w:r>
        <w:rPr>
          <w:rFonts w:ascii="黑体" w:hAnsi="黑体" w:eastAsia="黑体"/>
          <w:sz w:val="32"/>
        </w:rPr>
        <w:t>二、收入决算情况说明</w:t>
      </w:r>
    </w:p>
    <w:p w14:paraId="2D2FE6AF">
      <w:pPr>
        <w:spacing w:line="580" w:lineRule="exact"/>
        <w:ind w:firstLine="640"/>
        <w:jc w:val="both"/>
      </w:pPr>
      <w:r>
        <w:rPr>
          <w:rFonts w:ascii="仿宋_GB2312" w:hAnsi="仿宋_GB2312" w:eastAsia="仿宋_GB2312"/>
          <w:b/>
          <w:sz w:val="32"/>
        </w:rPr>
        <w:t>本年收入389.62万元，</w:t>
      </w:r>
      <w:r>
        <w:rPr>
          <w:rFonts w:ascii="仿宋_GB2312" w:hAnsi="仿宋_GB2312" w:eastAsia="仿宋_GB2312"/>
          <w:b w:val="0"/>
          <w:sz w:val="32"/>
        </w:rPr>
        <w:t>其中：财政拨款收入355.57万元，占91.26%；上级补助收入0.00万元，占0.00%；事业收入0.00万元，占0.00%；经营收入0.00万元，占0.00%；附属单位上缴收入0.00万元，占0.00%；其他收入34.05万元，占8.74%。</w:t>
      </w:r>
    </w:p>
    <w:p w14:paraId="5D4A07CB">
      <w:pPr>
        <w:spacing w:line="640" w:lineRule="exact"/>
        <w:ind w:firstLine="640"/>
        <w:jc w:val="both"/>
        <w:outlineLvl w:val="2"/>
      </w:pPr>
      <w:r>
        <w:rPr>
          <w:rFonts w:ascii="黑体" w:hAnsi="黑体" w:eastAsia="黑体"/>
          <w:sz w:val="32"/>
        </w:rPr>
        <w:t>三、支出决算情况说明</w:t>
      </w:r>
    </w:p>
    <w:p w14:paraId="1DCE4D00">
      <w:pPr>
        <w:spacing w:line="580" w:lineRule="exact"/>
        <w:ind w:firstLine="640"/>
        <w:jc w:val="both"/>
      </w:pPr>
      <w:r>
        <w:rPr>
          <w:rFonts w:ascii="仿宋_GB2312" w:hAnsi="仿宋_GB2312" w:eastAsia="仿宋_GB2312"/>
          <w:b/>
          <w:sz w:val="32"/>
        </w:rPr>
        <w:t>本年支出382.93万元，</w:t>
      </w:r>
      <w:r>
        <w:rPr>
          <w:rFonts w:ascii="仿宋_GB2312" w:hAnsi="仿宋_GB2312" w:eastAsia="仿宋_GB2312"/>
          <w:b w:val="0"/>
          <w:sz w:val="32"/>
        </w:rPr>
        <w:t>其中：基本支出342.43万元，占89.42%；项目支出40.50万元，占10.58%；上缴上级支出0.00万元，占0.00%；经营支出0.00万元，占0.00%；对附属单位补助支出0.00万元，占0.00%。</w:t>
      </w:r>
    </w:p>
    <w:p w14:paraId="1FC2B499">
      <w:pPr>
        <w:spacing w:line="640" w:lineRule="exact"/>
        <w:ind w:firstLine="640"/>
        <w:jc w:val="both"/>
        <w:outlineLvl w:val="2"/>
      </w:pPr>
      <w:r>
        <w:rPr>
          <w:rFonts w:ascii="黑体" w:hAnsi="黑体" w:eastAsia="黑体"/>
          <w:sz w:val="32"/>
        </w:rPr>
        <w:t>四、财政拨款收入支出决算总体情况说明</w:t>
      </w:r>
    </w:p>
    <w:p w14:paraId="563B59B5">
      <w:pPr>
        <w:spacing w:line="580" w:lineRule="exact"/>
        <w:ind w:firstLine="640"/>
        <w:jc w:val="both"/>
      </w:pPr>
      <w:r>
        <w:rPr>
          <w:rFonts w:ascii="仿宋_GB2312" w:hAnsi="仿宋_GB2312" w:eastAsia="仿宋_GB2312"/>
          <w:b/>
          <w:sz w:val="32"/>
        </w:rPr>
        <w:t>2024年度财政拨款收入总计355.57万元，</w:t>
      </w:r>
      <w:r>
        <w:rPr>
          <w:rFonts w:ascii="仿宋_GB2312" w:hAnsi="仿宋_GB2312" w:eastAsia="仿宋_GB2312"/>
          <w:b w:val="0"/>
          <w:sz w:val="32"/>
        </w:rPr>
        <w:t>其中：年初财政拨款结转和结余0.00万元，本年财政拨款收入355.57万元。</w:t>
      </w:r>
      <w:r>
        <w:rPr>
          <w:rFonts w:ascii="仿宋_GB2312" w:hAnsi="仿宋_GB2312" w:eastAsia="仿宋_GB2312"/>
          <w:b/>
          <w:sz w:val="32"/>
        </w:rPr>
        <w:t>财政拨款支出总计355.57万元，</w:t>
      </w:r>
      <w:r>
        <w:rPr>
          <w:rFonts w:ascii="仿宋_GB2312" w:hAnsi="仿宋_GB2312" w:eastAsia="仿宋_GB2312"/>
          <w:b w:val="0"/>
          <w:sz w:val="32"/>
        </w:rPr>
        <w:t>其中：年末财政拨款结转和结余0.00万元，本年财政拨款支出355.57万元。</w:t>
      </w:r>
    </w:p>
    <w:p w14:paraId="54AF39C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减少32.83万元，下降8.45%，主要原因是：2024年根据财政部门要求“三网一员”工作经费直接拨入县市，导致经费支出减少</w:t>
      </w:r>
      <w:r>
        <w:rPr>
          <w:rFonts w:hint="eastAsia" w:ascii="仿宋_GB2312" w:hAnsi="仿宋_GB2312" w:eastAsia="仿宋_GB2312"/>
          <w:b w:val="0"/>
          <w:sz w:val="32"/>
          <w:lang w:eastAsia="zh-CN"/>
        </w:rPr>
        <w:t>；</w:t>
      </w:r>
      <w:r>
        <w:rPr>
          <w:rFonts w:ascii="仿宋_GB2312" w:hAnsi="仿宋_GB2312" w:eastAsia="仿宋_GB2312"/>
          <w:b w:val="0"/>
          <w:sz w:val="32"/>
        </w:rPr>
        <w:t>本年无新增退休人员，职业年金缴费较上年减少。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年初预算数339.52万元，决算数355.57万元，预决算差异率4.73%，主要原因是：本年在职人员增加，年中追加人员经费及人员工资、社保、公积金基数调增部分资金，导致预决算存在差异。</w:t>
      </w:r>
    </w:p>
    <w:p w14:paraId="5D10BEA3">
      <w:pPr>
        <w:spacing w:line="640" w:lineRule="exact"/>
        <w:ind w:firstLine="640"/>
        <w:jc w:val="both"/>
        <w:outlineLvl w:val="2"/>
      </w:pPr>
      <w:r>
        <w:rPr>
          <w:rFonts w:ascii="黑体" w:hAnsi="黑体" w:eastAsia="黑体"/>
          <w:sz w:val="32"/>
        </w:rPr>
        <w:t>五、一般公共预算财政拨款支出决算情况说明</w:t>
      </w:r>
    </w:p>
    <w:p w14:paraId="0E7CB62F">
      <w:pPr>
        <w:spacing w:line="640" w:lineRule="exact"/>
        <w:ind w:firstLine="640"/>
        <w:jc w:val="both"/>
        <w:outlineLvl w:val="3"/>
      </w:pPr>
      <w:r>
        <w:rPr>
          <w:rFonts w:ascii="楷体_GB2312" w:hAnsi="楷体_GB2312" w:eastAsia="楷体_GB2312"/>
          <w:b/>
          <w:sz w:val="32"/>
        </w:rPr>
        <w:t>（一）一般公共预算财政拨款支出决算总体情况</w:t>
      </w:r>
    </w:p>
    <w:p w14:paraId="49CCE5FB">
      <w:pPr>
        <w:spacing w:line="580" w:lineRule="exact"/>
        <w:ind w:firstLine="640"/>
        <w:jc w:val="both"/>
      </w:pPr>
      <w:r>
        <w:rPr>
          <w:rFonts w:ascii="仿宋_GB2312" w:hAnsi="仿宋_GB2312" w:eastAsia="仿宋_GB2312"/>
          <w:b/>
          <w:sz w:val="32"/>
        </w:rPr>
        <w:t>2024年度一般公共预算财政拨款支出355.57万元，</w:t>
      </w:r>
      <w:r>
        <w:rPr>
          <w:rFonts w:ascii="仿宋_GB2312" w:hAnsi="仿宋_GB2312" w:eastAsia="仿宋_GB2312"/>
          <w:b w:val="0"/>
          <w:sz w:val="32"/>
        </w:rPr>
        <w:t>占本年支出合计的92.86%。</w:t>
      </w:r>
      <w:r>
        <w:rPr>
          <w:rFonts w:ascii="仿宋_GB2312" w:hAnsi="仿宋_GB2312" w:eastAsia="仿宋_GB2312"/>
          <w:b/>
          <w:sz w:val="32"/>
        </w:rPr>
        <w:t>与上年相比，</w:t>
      </w:r>
      <w:r>
        <w:rPr>
          <w:rFonts w:ascii="仿宋_GB2312" w:hAnsi="仿宋_GB2312" w:eastAsia="仿宋_GB2312"/>
          <w:b w:val="0"/>
          <w:sz w:val="32"/>
        </w:rPr>
        <w:t>减少32.83万元，下降8.45%，主要原因是：2024年根据财政部门要求“三网一员”工作经费直接拨入县市，导致经费支出减少</w:t>
      </w:r>
      <w:r>
        <w:rPr>
          <w:rFonts w:hint="eastAsia" w:ascii="仿宋_GB2312" w:hAnsi="仿宋_GB2312" w:eastAsia="仿宋_GB2312"/>
          <w:b w:val="0"/>
          <w:sz w:val="32"/>
          <w:lang w:eastAsia="zh-CN"/>
        </w:rPr>
        <w:t>；</w:t>
      </w:r>
      <w:r>
        <w:rPr>
          <w:rFonts w:ascii="仿宋_GB2312" w:hAnsi="仿宋_GB2312" w:eastAsia="仿宋_GB2312"/>
          <w:b w:val="0"/>
          <w:sz w:val="32"/>
        </w:rPr>
        <w:t>本年无新增退休人员，职业年金缴费较上年减少。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年初预算数339.52万元，决算数355.57万元，预决算差异率4.73%，主要原因是：本年在职人员增加，年中追加人员经费及人员工资、社保、公积金基数调增部分资金，导致预决算存在差异。</w:t>
      </w:r>
    </w:p>
    <w:p w14:paraId="14B329ED">
      <w:pPr>
        <w:spacing w:line="640" w:lineRule="exact"/>
        <w:ind w:firstLine="640"/>
        <w:jc w:val="both"/>
        <w:outlineLvl w:val="3"/>
      </w:pPr>
      <w:r>
        <w:rPr>
          <w:rFonts w:ascii="楷体_GB2312" w:hAnsi="楷体_GB2312" w:eastAsia="楷体_GB2312"/>
          <w:b/>
          <w:sz w:val="32"/>
        </w:rPr>
        <w:t>（二）一般公共预算财政拨款支出决算结构情况</w:t>
      </w:r>
    </w:p>
    <w:p w14:paraId="41526B33">
      <w:pPr>
        <w:spacing w:line="580" w:lineRule="exact"/>
        <w:ind w:firstLine="640"/>
        <w:jc w:val="both"/>
      </w:pPr>
      <w:r>
        <w:rPr>
          <w:rFonts w:ascii="仿宋_GB2312" w:hAnsi="仿宋_GB2312" w:eastAsia="仿宋_GB2312"/>
          <w:b w:val="0"/>
          <w:sz w:val="32"/>
        </w:rPr>
        <w:t>1.社会保障和就业支出(类)51.53万元,占14.49%。</w:t>
      </w:r>
    </w:p>
    <w:p w14:paraId="07ACFFD4">
      <w:pPr>
        <w:spacing w:line="580" w:lineRule="exact"/>
        <w:ind w:firstLine="640"/>
        <w:jc w:val="both"/>
      </w:pPr>
      <w:r>
        <w:rPr>
          <w:rFonts w:ascii="仿宋_GB2312" w:hAnsi="仿宋_GB2312" w:eastAsia="仿宋_GB2312"/>
          <w:b w:val="0"/>
          <w:sz w:val="32"/>
        </w:rPr>
        <w:t>2.灾害防治及应急管理支出(类)304.04万元,占85.51%。</w:t>
      </w:r>
    </w:p>
    <w:p w14:paraId="367ECA5C">
      <w:pPr>
        <w:spacing w:line="640" w:lineRule="exact"/>
        <w:ind w:firstLine="640"/>
        <w:jc w:val="both"/>
        <w:outlineLvl w:val="3"/>
      </w:pPr>
      <w:r>
        <w:rPr>
          <w:rFonts w:ascii="楷体_GB2312" w:hAnsi="楷体_GB2312" w:eastAsia="楷体_GB2312"/>
          <w:b/>
          <w:sz w:val="32"/>
        </w:rPr>
        <w:t>（三）一般公共预算财政拨款支出决算具体情况</w:t>
      </w:r>
    </w:p>
    <w:p w14:paraId="528B66F2">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1.社会保障和就业支出(类)行政事业单位养老支出(款)行政单位离退休(项):支出决算数为20.65万元，比上年决算增加6.81万元，增长49.21%,主要原因是：本年增加退休人员基础绩效奖，退休费支出增加。</w:t>
      </w:r>
    </w:p>
    <w:p w14:paraId="253B3B4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29.74万元，比上年决算增加0.68万元，增长2.34%,主要原因是：人员工资基数调增，养老缴费基数上涨，相应支出增加。</w:t>
      </w:r>
    </w:p>
    <w:p w14:paraId="1DB726AE">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22.90万元，下降100.00%,主要原因是：本年无新增退休人员，职业年金缴费较上年减少。</w:t>
      </w:r>
    </w:p>
    <w:p w14:paraId="34187779">
      <w:pPr>
        <w:spacing w:line="580" w:lineRule="exact"/>
        <w:ind w:firstLine="640"/>
        <w:jc w:val="both"/>
      </w:pPr>
      <w:r>
        <w:rPr>
          <w:rFonts w:ascii="仿宋_GB2312" w:hAnsi="仿宋_GB2312" w:eastAsia="仿宋_GB2312"/>
          <w:b w:val="0"/>
          <w:sz w:val="32"/>
        </w:rPr>
        <w:t>4.社会保障和就业支出(类)就业补助(款)就业见习补贴(项):支出决算数为1.14万元，比上年决算增加0.65万元，增长132.65%,主要原因是：本年增加见习生补贴项目经费，相应支出增加。</w:t>
      </w:r>
    </w:p>
    <w:p w14:paraId="090EF233">
      <w:pPr>
        <w:spacing w:line="580" w:lineRule="exact"/>
        <w:ind w:firstLine="640"/>
        <w:jc w:val="both"/>
      </w:pPr>
      <w:r>
        <w:rPr>
          <w:rFonts w:ascii="仿宋_GB2312" w:hAnsi="仿宋_GB2312" w:eastAsia="仿宋_GB2312"/>
          <w:b w:val="0"/>
          <w:sz w:val="32"/>
        </w:rPr>
        <w:t>5.灾害防治及应急管理支出(类)地震事务(款)行政运行(项):支出决算数为292.04万元，比上年决算减少19.76万元，下降6.34%,主要原因是：本年功能科目调整，为民办实事经费由主科目调整至其他地震事务支出列支，导致经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3731142A">
      <w:pPr>
        <w:spacing w:line="580" w:lineRule="exact"/>
        <w:ind w:firstLine="640"/>
        <w:jc w:val="both"/>
      </w:pPr>
      <w:r>
        <w:rPr>
          <w:rFonts w:ascii="仿宋_GB2312" w:hAnsi="仿宋_GB2312" w:eastAsia="仿宋_GB2312"/>
          <w:b w:val="0"/>
          <w:sz w:val="32"/>
        </w:rPr>
        <w:t>6.灾害防治及应急管理支出(类)地震事务(款)地震事业机构(项):支出决算数为0.00万元，比上年决算减少10.32万元，下降100.00%,主要原因是：2024年根据财政部门要求“三网一员”工作经费直接拨入县市，相关支出减少。</w:t>
      </w:r>
    </w:p>
    <w:p w14:paraId="204D4174">
      <w:pPr>
        <w:spacing w:line="580" w:lineRule="exact"/>
        <w:ind w:firstLine="640"/>
        <w:jc w:val="both"/>
      </w:pPr>
      <w:r>
        <w:rPr>
          <w:rFonts w:ascii="仿宋_GB2312" w:hAnsi="仿宋_GB2312" w:eastAsia="仿宋_GB2312"/>
          <w:b w:val="0"/>
          <w:sz w:val="32"/>
        </w:rPr>
        <w:t>7.灾害防治及应急管理支出(类)地震事务(款)其他地震事务支出(项):支出决算数为12.00万元，比上年决算增加12.00万元，增长100.00%,主要原因是：本年功能科目调整，为民办实事经费由主科目调整至其他地震事务支出列支，导致经费增加。</w:t>
      </w:r>
    </w:p>
    <w:p w14:paraId="3634FEBA">
      <w:pPr>
        <w:spacing w:line="640" w:lineRule="exact"/>
        <w:ind w:firstLine="640"/>
        <w:jc w:val="both"/>
        <w:outlineLvl w:val="2"/>
      </w:pPr>
      <w:r>
        <w:rPr>
          <w:rFonts w:ascii="黑体" w:hAnsi="黑体" w:eastAsia="黑体"/>
          <w:sz w:val="32"/>
        </w:rPr>
        <w:t>六、一般公共预算财政拨款基本支出决算情况说明</w:t>
      </w:r>
    </w:p>
    <w:p w14:paraId="51DB53AD">
      <w:pPr>
        <w:spacing w:line="580" w:lineRule="exact"/>
        <w:ind w:firstLine="640"/>
        <w:jc w:val="both"/>
      </w:pPr>
      <w:r>
        <w:rPr>
          <w:rFonts w:ascii="仿宋_GB2312" w:hAnsi="仿宋_GB2312" w:eastAsia="仿宋_GB2312"/>
          <w:b w:val="0"/>
          <w:sz w:val="32"/>
        </w:rPr>
        <w:t>2024年度一般公共预算财政拨款基本支出342.43万元，其中：</w:t>
      </w:r>
      <w:r>
        <w:rPr>
          <w:rFonts w:ascii="仿宋_GB2312" w:hAnsi="仿宋_GB2312" w:eastAsia="仿宋_GB2312"/>
          <w:b/>
          <w:sz w:val="32"/>
        </w:rPr>
        <w:t>人员经费309.22万元，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包括：基本工资、津贴补贴、奖金、绩效工资、机关事业单位基本养老保险缴费、职工基本医疗保险缴费、其他社会保障缴费、住房公积金、退休费、奖励金。</w:t>
      </w:r>
    </w:p>
    <w:p w14:paraId="719A90DC">
      <w:pPr>
        <w:spacing w:line="580" w:lineRule="exact"/>
        <w:ind w:firstLine="640"/>
        <w:jc w:val="both"/>
      </w:pPr>
      <w:r>
        <w:rPr>
          <w:rFonts w:ascii="仿宋_GB2312" w:hAnsi="仿宋_GB2312" w:eastAsia="仿宋_GB2312"/>
          <w:b/>
          <w:sz w:val="32"/>
        </w:rPr>
        <w:t>公用经费33.21万元，</w:t>
      </w:r>
      <w:r>
        <w:rPr>
          <w:rFonts w:ascii="仿宋_GB2312" w:hAnsi="仿宋_GB2312" w:eastAsia="仿宋_GB2312"/>
          <w:b w:val="0"/>
          <w:sz w:val="32"/>
        </w:rPr>
        <w:t>包括：办公费、邮电费、取暖费、差旅费、工会经费、福利费、公务用车运行维护费、其他商品和服务支出。</w:t>
      </w:r>
    </w:p>
    <w:p w14:paraId="5164BF3B">
      <w:pPr>
        <w:spacing w:line="640" w:lineRule="exact"/>
        <w:ind w:firstLine="640"/>
        <w:jc w:val="both"/>
        <w:outlineLvl w:val="2"/>
      </w:pPr>
      <w:r>
        <w:rPr>
          <w:rFonts w:ascii="黑体" w:hAnsi="黑体" w:eastAsia="黑体"/>
          <w:sz w:val="32"/>
        </w:rPr>
        <w:t>七、政府性基金预算财政拨款收入支出决算情况说明</w:t>
      </w:r>
    </w:p>
    <w:p w14:paraId="1B95296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1E3A9E0">
      <w:pPr>
        <w:spacing w:line="640" w:lineRule="exact"/>
        <w:ind w:firstLine="640"/>
        <w:jc w:val="both"/>
        <w:outlineLvl w:val="2"/>
      </w:pPr>
      <w:r>
        <w:rPr>
          <w:rFonts w:ascii="黑体" w:hAnsi="黑体" w:eastAsia="黑体"/>
          <w:sz w:val="32"/>
        </w:rPr>
        <w:t>八、国有资本经营预算财政拨款收入支出决算情况说明</w:t>
      </w:r>
    </w:p>
    <w:p w14:paraId="0081300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913A694">
      <w:pPr>
        <w:spacing w:line="640" w:lineRule="exact"/>
        <w:ind w:firstLine="640"/>
        <w:jc w:val="both"/>
        <w:outlineLvl w:val="2"/>
      </w:pPr>
      <w:r>
        <w:rPr>
          <w:rFonts w:ascii="黑体" w:hAnsi="黑体" w:eastAsia="黑体"/>
          <w:sz w:val="32"/>
        </w:rPr>
        <w:t>九、财政拨款“三公”经费支出决算情况说明</w:t>
      </w:r>
    </w:p>
    <w:p w14:paraId="7C25087E">
      <w:pPr>
        <w:spacing w:line="580" w:lineRule="exact"/>
        <w:ind w:firstLine="640"/>
        <w:jc w:val="both"/>
      </w:pPr>
      <w:r>
        <w:rPr>
          <w:rFonts w:ascii="仿宋_GB2312" w:hAnsi="仿宋_GB2312" w:eastAsia="仿宋_GB2312"/>
          <w:b/>
          <w:sz w:val="32"/>
        </w:rPr>
        <w:t>2024年度财政拨款“三公”经费支出2.94万元，</w:t>
      </w:r>
      <w:r>
        <w:rPr>
          <w:rFonts w:ascii="仿宋_GB2312" w:hAnsi="仿宋_GB2312" w:eastAsia="仿宋_GB2312"/>
          <w:b w:val="0"/>
          <w:sz w:val="32"/>
        </w:rPr>
        <w:t>比上年减少0.13万元，下降4.23%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2.94万元，占100.00%，比上年减少0.13万元，下降4.23%，主要原因是：严格落实中央八项规定精神，厉行节约，减少公务用车运行维护费。公务接待费支出0.00万元，占0.00%，比上年增加0.00万元，增长0.00%，主要原因是：2023年与2024年均未安排公务接待费支出。</w:t>
      </w:r>
    </w:p>
    <w:p w14:paraId="60724970">
      <w:pPr>
        <w:spacing w:line="580" w:lineRule="exact"/>
        <w:ind w:firstLine="640"/>
        <w:jc w:val="both"/>
      </w:pPr>
      <w:r>
        <w:rPr>
          <w:rFonts w:ascii="仿宋_GB2312" w:hAnsi="仿宋_GB2312" w:eastAsia="仿宋_GB2312"/>
          <w:b/>
          <w:sz w:val="32"/>
        </w:rPr>
        <w:t>具体情况如下：</w:t>
      </w:r>
    </w:p>
    <w:p w14:paraId="79D7F4D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C348E8F">
      <w:pPr>
        <w:spacing w:line="580" w:lineRule="exact"/>
        <w:ind w:firstLine="640"/>
        <w:jc w:val="both"/>
      </w:pPr>
      <w:r>
        <w:rPr>
          <w:rFonts w:ascii="仿宋_GB2312" w:hAnsi="仿宋_GB2312" w:eastAsia="仿宋_GB2312"/>
          <w:b w:val="0"/>
          <w:sz w:val="32"/>
        </w:rPr>
        <w:t>公务用车购置及运行维护费2.94万元，其中：公务用车购置费0.00万元，公务用车运行维护费2.94万元。公务用车运行维护费开支内容包括车辆保险、加油、维修维护、过路费等。公务用车购置数0辆，公务用车保有量3辆。国有资产占用情况中固定资产车辆3辆，与公务用车保有量差异原因是：本单位固定资产车辆与公务用车保有量一致无差异。</w:t>
      </w:r>
    </w:p>
    <w:p w14:paraId="7EA2FED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4A7A4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2.94万元，决算数2.94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2.94万元，决算数2.94万元，预决算差异率0.00%，主要原因是：严格按照预算执行，预决算无差异。公务接待费全年预算数0.00万元，决算数0.00万元，预决算差异率0.00%，主要原因是：本单位无公务接待费。</w:t>
      </w:r>
    </w:p>
    <w:p w14:paraId="7DC5B180">
      <w:pPr>
        <w:spacing w:line="640" w:lineRule="exact"/>
        <w:ind w:firstLine="640"/>
        <w:jc w:val="both"/>
        <w:outlineLvl w:val="2"/>
      </w:pPr>
      <w:r>
        <w:rPr>
          <w:rFonts w:ascii="黑体" w:hAnsi="黑体" w:eastAsia="黑体"/>
          <w:sz w:val="32"/>
        </w:rPr>
        <w:t>十、其他重要事项的情况说明</w:t>
      </w:r>
    </w:p>
    <w:p w14:paraId="6E5B0DE4">
      <w:pPr>
        <w:spacing w:line="640" w:lineRule="exact"/>
        <w:ind w:firstLine="640"/>
        <w:jc w:val="both"/>
        <w:outlineLvl w:val="3"/>
      </w:pPr>
      <w:r>
        <w:rPr>
          <w:rFonts w:ascii="楷体_GB2312" w:hAnsi="楷体_GB2312" w:eastAsia="楷体_GB2312"/>
          <w:b/>
          <w:sz w:val="32"/>
        </w:rPr>
        <w:t>（一）机关运行经费及公用经费支出情况</w:t>
      </w:r>
    </w:p>
    <w:p w14:paraId="412E4C21">
      <w:pPr>
        <w:spacing w:line="580" w:lineRule="exact"/>
        <w:ind w:firstLine="640"/>
        <w:jc w:val="both"/>
      </w:pPr>
      <w:r>
        <w:rPr>
          <w:rFonts w:ascii="仿宋_GB2312" w:hAnsi="仿宋_GB2312" w:eastAsia="仿宋_GB2312"/>
          <w:b w:val="0"/>
          <w:sz w:val="32"/>
        </w:rPr>
        <w:t>2024年度克孜勒苏柯尔克孜自治州地震监测中心（行政单位和参照公务员法管理事业单位）机关运行经费支出33.21万元，比上年增加7.36万元，增长28.47%，主要原因是：本年业务量增加，办公费、差旅费等经费增加，</w:t>
      </w:r>
      <w:r>
        <w:rPr>
          <w:rFonts w:hint="eastAsia" w:ascii="仿宋_GB2312" w:hAnsi="仿宋_GB2312" w:eastAsia="仿宋_GB2312"/>
          <w:b w:val="0"/>
          <w:sz w:val="32"/>
          <w:lang w:val="en-US" w:eastAsia="zh-CN"/>
        </w:rPr>
        <w:t>导致</w:t>
      </w:r>
      <w:r>
        <w:rPr>
          <w:rFonts w:ascii="仿宋_GB2312" w:hAnsi="仿宋_GB2312" w:eastAsia="仿宋_GB2312"/>
          <w:b w:val="0"/>
          <w:sz w:val="32"/>
        </w:rPr>
        <w:t>机关运行经费支出增加。</w:t>
      </w:r>
    </w:p>
    <w:p w14:paraId="5C49A1C6">
      <w:pPr>
        <w:spacing w:line="640" w:lineRule="exact"/>
        <w:ind w:firstLine="640"/>
        <w:jc w:val="both"/>
        <w:outlineLvl w:val="3"/>
      </w:pPr>
      <w:r>
        <w:rPr>
          <w:rFonts w:ascii="楷体_GB2312" w:hAnsi="楷体_GB2312" w:eastAsia="楷体_GB2312"/>
          <w:b/>
          <w:sz w:val="32"/>
        </w:rPr>
        <w:t>（二）政府采购情况</w:t>
      </w:r>
    </w:p>
    <w:p w14:paraId="3A858875">
      <w:pPr>
        <w:spacing w:line="580" w:lineRule="exact"/>
        <w:ind w:firstLine="640"/>
        <w:jc w:val="both"/>
      </w:pPr>
      <w:r>
        <w:rPr>
          <w:rFonts w:ascii="仿宋_GB2312" w:hAnsi="仿宋_GB2312" w:eastAsia="仿宋_GB2312"/>
          <w:b w:val="0"/>
          <w:sz w:val="32"/>
        </w:rPr>
        <w:t>2024年度政府采购支出总额31.18万元，其中：政府采购货物支出22.37万元、政府采购工程支出0.00万元、政府采购服务支出8.82万元。</w:t>
      </w:r>
    </w:p>
    <w:p w14:paraId="577A4F9E">
      <w:pPr>
        <w:spacing w:line="580" w:lineRule="exact"/>
        <w:ind w:firstLine="640"/>
        <w:jc w:val="both"/>
      </w:pPr>
      <w:r>
        <w:rPr>
          <w:rFonts w:ascii="仿宋_GB2312" w:hAnsi="仿宋_GB2312" w:eastAsia="仿宋_GB2312"/>
          <w:b w:val="0"/>
          <w:sz w:val="32"/>
        </w:rPr>
        <w:t>授予中小企业合同金额29.39万元，占政府采购支出总额的94.26%，其中：授予小微企业合同金额28.52万元，占政府采购支出总额的91.47%。</w:t>
      </w:r>
    </w:p>
    <w:p w14:paraId="1D4B126E">
      <w:pPr>
        <w:spacing w:line="640" w:lineRule="exact"/>
        <w:ind w:firstLine="640"/>
        <w:jc w:val="both"/>
        <w:outlineLvl w:val="3"/>
      </w:pPr>
      <w:r>
        <w:rPr>
          <w:rFonts w:ascii="楷体_GB2312" w:hAnsi="楷体_GB2312" w:eastAsia="楷体_GB2312"/>
          <w:b/>
          <w:sz w:val="32"/>
        </w:rPr>
        <w:t>（三）国有资产占用情况说明</w:t>
      </w:r>
    </w:p>
    <w:p w14:paraId="1E2157D8">
      <w:pPr>
        <w:spacing w:line="580" w:lineRule="exact"/>
        <w:ind w:firstLine="640"/>
        <w:jc w:val="both"/>
      </w:pPr>
      <w:r>
        <w:rPr>
          <w:rFonts w:ascii="仿宋_GB2312" w:hAnsi="仿宋_GB2312" w:eastAsia="仿宋_GB2312"/>
          <w:b w:val="0"/>
          <w:sz w:val="32"/>
        </w:rPr>
        <w:t>截至2024年12月31日，房屋1,026.00平方米，价值189.74万元。车辆3辆，价值90.34万元，其中：副部（省）级及以上领导用车0辆、主要负责人用车0辆、机要通信用车0辆、应急保障用车3辆、执法执勤用车0辆、特种专业技术用车0辆、离退休干部服务用车0辆、其他用车0辆，其他用车主要是：本单位无其他用车。单价100万元（含）以上设备（不含车辆）0台（套）。</w:t>
      </w:r>
    </w:p>
    <w:p w14:paraId="73693073">
      <w:pPr>
        <w:spacing w:line="640" w:lineRule="exact"/>
        <w:ind w:firstLine="640"/>
        <w:jc w:val="both"/>
        <w:outlineLvl w:val="2"/>
      </w:pPr>
      <w:r>
        <w:rPr>
          <w:rFonts w:ascii="黑体" w:hAnsi="黑体" w:eastAsia="黑体"/>
          <w:sz w:val="32"/>
        </w:rPr>
        <w:t>十一、预算绩效的情况说明</w:t>
      </w:r>
    </w:p>
    <w:p w14:paraId="269DBEA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401.01万元，实际执行总额382.93万元；预算绩效评价项目3个，全年预算数59.41万元，全年执行数52.72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01B3283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BA33E5B">
        <w:tblPrEx>
          <w:tblCellMar>
            <w:top w:w="0" w:type="dxa"/>
            <w:left w:w="108" w:type="dxa"/>
            <w:bottom w:w="0" w:type="dxa"/>
            <w:right w:w="108" w:type="dxa"/>
          </w:tblCellMar>
        </w:tblPrEx>
        <w:tc>
          <w:tcPr>
            <w:tcW w:w="8840" w:type="dxa"/>
            <w:gridSpan w:val="8"/>
            <w:vAlign w:val="center"/>
          </w:tcPr>
          <w:p w14:paraId="7F004022">
            <w:pPr>
              <w:jc w:val="center"/>
            </w:pPr>
            <w:r>
              <w:rPr>
                <w:rFonts w:ascii="宋体" w:hAnsi="宋体" w:eastAsia="宋体"/>
                <w:sz w:val="24"/>
              </w:rPr>
              <w:t>单位整体支出绩效自评表</w:t>
            </w:r>
          </w:p>
        </w:tc>
      </w:tr>
      <w:tr w14:paraId="6EA97E7F">
        <w:tblPrEx>
          <w:tblCellMar>
            <w:top w:w="0" w:type="dxa"/>
            <w:left w:w="108" w:type="dxa"/>
            <w:bottom w:w="0" w:type="dxa"/>
            <w:right w:w="108" w:type="dxa"/>
          </w:tblCellMar>
        </w:tblPrEx>
        <w:tc>
          <w:tcPr>
            <w:tcW w:w="8840" w:type="dxa"/>
            <w:gridSpan w:val="8"/>
            <w:vAlign w:val="center"/>
          </w:tcPr>
          <w:p w14:paraId="17E12BAB">
            <w:pPr>
              <w:jc w:val="center"/>
            </w:pPr>
            <w:r>
              <w:rPr>
                <w:rFonts w:ascii="宋体" w:hAnsi="宋体" w:eastAsia="宋体"/>
                <w:sz w:val="24"/>
              </w:rPr>
              <w:t>（2024年度）</w:t>
            </w:r>
          </w:p>
        </w:tc>
      </w:tr>
      <w:tr w14:paraId="4145BFE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5724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B5844">
            <w:pPr>
              <w:jc w:val="center"/>
            </w:pPr>
            <w:r>
              <w:rPr>
                <w:rFonts w:ascii="宋体" w:hAnsi="宋体" w:eastAsia="宋体"/>
                <w:sz w:val="16"/>
              </w:rPr>
              <w:t>克孜勒苏柯尔克孜自治州地震监测中心</w:t>
            </w:r>
          </w:p>
        </w:tc>
      </w:tr>
      <w:tr w14:paraId="10E31D7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CB50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8B10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5E18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C54D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4AF367">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DFDED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1657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CB202">
            <w:pPr>
              <w:jc w:val="center"/>
            </w:pPr>
            <w:r>
              <w:rPr>
                <w:rFonts w:ascii="宋体" w:hAnsi="宋体" w:eastAsia="宋体"/>
                <w:sz w:val="16"/>
              </w:rPr>
              <w:t>得分</w:t>
            </w:r>
          </w:p>
        </w:tc>
      </w:tr>
      <w:tr w14:paraId="39A426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6280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0A75C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55433">
            <w:pPr>
              <w:jc w:val="center"/>
            </w:pPr>
            <w:r>
              <w:rPr>
                <w:rFonts w:ascii="宋体" w:hAnsi="宋体" w:eastAsia="宋体"/>
                <w:sz w:val="16"/>
              </w:rPr>
              <w:t>388.88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CBA8C">
            <w:pPr>
              <w:jc w:val="center"/>
            </w:pPr>
            <w:r>
              <w:rPr>
                <w:rFonts w:ascii="宋体" w:hAnsi="宋体" w:eastAsia="宋体"/>
                <w:sz w:val="16"/>
              </w:rPr>
              <w:t>401.01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35AC9">
            <w:pPr>
              <w:jc w:val="center"/>
            </w:pPr>
            <w:r>
              <w:rPr>
                <w:rFonts w:ascii="宋体" w:hAnsi="宋体" w:eastAsia="宋体"/>
                <w:sz w:val="16"/>
              </w:rPr>
              <w:t>382.93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EC91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3594C">
            <w:pPr>
              <w:jc w:val="center"/>
            </w:pPr>
            <w:r>
              <w:rPr>
                <w:rFonts w:ascii="宋体" w:hAnsi="宋体" w:eastAsia="宋体"/>
                <w:sz w:val="16"/>
              </w:rPr>
              <w:t>95.49%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A66AE0">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5</w:t>
            </w:r>
            <w:r>
              <w:rPr>
                <w:rFonts w:hint="eastAsia" w:ascii="宋体" w:hAnsi="宋体"/>
                <w:sz w:val="16"/>
                <w:lang w:val="en-US" w:eastAsia="zh-CN"/>
              </w:rPr>
              <w:t>5分</w:t>
            </w:r>
            <w:bookmarkStart w:id="0" w:name="_GoBack"/>
            <w:bookmarkEnd w:id="0"/>
          </w:p>
        </w:tc>
      </w:tr>
      <w:tr w14:paraId="20E710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66A5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BF4B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0F85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01E6E">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5D899">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050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6389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D25405">
            <w:pPr>
              <w:jc w:val="center"/>
            </w:pPr>
            <w:r>
              <w:rPr>
                <w:rFonts w:ascii="宋体" w:hAnsi="宋体" w:eastAsia="宋体"/>
                <w:sz w:val="16"/>
              </w:rPr>
              <w:t>—</w:t>
            </w:r>
          </w:p>
        </w:tc>
      </w:tr>
      <w:tr w14:paraId="727578B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1CC90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93A2D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30BDF">
            <w:pPr>
              <w:jc w:val="center"/>
            </w:pPr>
            <w:r>
              <w:rPr>
                <w:rFonts w:ascii="宋体" w:hAnsi="宋体" w:eastAsia="宋体"/>
                <w:sz w:val="16"/>
              </w:rPr>
              <w:t>339.52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59F73">
            <w:pPr>
              <w:jc w:val="center"/>
            </w:pPr>
            <w:r>
              <w:rPr>
                <w:rFonts w:ascii="宋体" w:hAnsi="宋体" w:eastAsia="宋体"/>
                <w:sz w:val="16"/>
              </w:rPr>
              <w:t>354.96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C896C">
            <w:pPr>
              <w:jc w:val="center"/>
            </w:pPr>
            <w:r>
              <w:rPr>
                <w:rFonts w:ascii="宋体" w:hAnsi="宋体" w:eastAsia="宋体"/>
                <w:sz w:val="16"/>
              </w:rPr>
              <w:t>343.57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511C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DCB8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A0C187">
            <w:pPr>
              <w:jc w:val="center"/>
            </w:pPr>
            <w:r>
              <w:rPr>
                <w:rFonts w:ascii="宋体" w:hAnsi="宋体" w:eastAsia="宋体"/>
                <w:sz w:val="16"/>
              </w:rPr>
              <w:t>—</w:t>
            </w:r>
          </w:p>
        </w:tc>
      </w:tr>
      <w:tr w14:paraId="05A3A4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8B18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F671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89EDB4">
            <w:pPr>
              <w:jc w:val="center"/>
            </w:pPr>
            <w:r>
              <w:rPr>
                <w:rFonts w:ascii="宋体" w:hAnsi="宋体" w:eastAsia="宋体"/>
                <w:sz w:val="16"/>
              </w:rPr>
              <w:t>49.36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5872F">
            <w:pPr>
              <w:jc w:val="center"/>
            </w:pPr>
            <w:r>
              <w:rPr>
                <w:rFonts w:ascii="宋体" w:hAnsi="宋体" w:eastAsia="宋体"/>
                <w:sz w:val="16"/>
              </w:rPr>
              <w:t>34.05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CA823">
            <w:pPr>
              <w:jc w:val="center"/>
            </w:pPr>
            <w:r>
              <w:rPr>
                <w:rFonts w:ascii="宋体" w:hAnsi="宋体" w:eastAsia="宋体"/>
                <w:sz w:val="16"/>
              </w:rPr>
              <w:t>27.36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5DF0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E4FD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C45EE">
            <w:pPr>
              <w:jc w:val="center"/>
            </w:pPr>
            <w:r>
              <w:rPr>
                <w:rFonts w:ascii="宋体" w:hAnsi="宋体" w:eastAsia="宋体"/>
                <w:sz w:val="16"/>
              </w:rPr>
              <w:t>—</w:t>
            </w:r>
          </w:p>
        </w:tc>
      </w:tr>
      <w:tr w14:paraId="7010D08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5A08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F8FAF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7B491F">
            <w:pPr>
              <w:jc w:val="center"/>
            </w:pPr>
            <w:r>
              <w:rPr>
                <w:rFonts w:hint="eastAsia" w:ascii="宋体" w:hAnsi="宋体" w:eastAsia="宋体"/>
                <w:sz w:val="16"/>
              </w:rPr>
              <w:t>实际完成情况</w:t>
            </w:r>
          </w:p>
        </w:tc>
      </w:tr>
      <w:tr w14:paraId="0923E2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2D0CB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6E20DD">
            <w:pPr>
              <w:jc w:val="both"/>
            </w:pPr>
            <w:r>
              <w:rPr>
                <w:rFonts w:ascii="宋体" w:hAnsi="宋体" w:eastAsia="宋体"/>
                <w:sz w:val="16"/>
              </w:rPr>
              <w:t>强化仪器正常运维，确保全州45台（套）测震、前兆仪器的正常运转；完善震情会商系统，强化震情监视跟踪协同工作机制，加强与新疆地震局、喀什地震监测中心站交流沟通，不断提升会商实效性；推动阿图什市、乌恰县开展活动断层详细探测与填图、断层活动性鉴定、地震危险性评价等工作；常态化开展多层次日常科普宣传,做好“全国防灾减灾日”等8个重点时段科普宣传工作，深入开展防震减灾科普宣传“六进”活动；组织2024年“地震科普 携手同行”主题活动，做好全州186所学校“五个一”活动；组织开展不同背景条件下的实战拉动、桌面推演、避险疏散等地震应急演练，总结经验、检验预案、锻炼队伍，不断提高地震应对处置能力；积极探索推广专群结合、群测群防工作模式，稳定壮大地震宏观观测员队伍；持续提升3.0级以上地震应急处置能力，严格落实全年24小时值班值守和领导带班制度，时刻保持2名工作人员在岗在位，第一时间对外进行发布震情信息，应急车辆随时出发；充分发挥克州防震减灾联席会议办公室作用，压紧压实成员单位防震减灾职责，合力推动全州防震减灾工作形成密切配合、各司其职、齐抓共管的工作格局。</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CFA5C8">
            <w:pPr>
              <w:jc w:val="both"/>
            </w:pPr>
            <w:r>
              <w:rPr>
                <w:rFonts w:ascii="宋体" w:hAnsi="宋体" w:eastAsia="宋体"/>
                <w:sz w:val="16"/>
              </w:rPr>
              <w:t>截至2024年12月31日，开展防震减灾科普宣传‘六进’活动覆盖全州重点防御区实际完成值为45%、开展地震科普“六进”活动，60万余名群众在活动期间通过地震专业人员的科普宣讲，提高了防震减灾意识和应急反应能力；持续开展地震业务“大练兵”活动，定期组织地震业务学习，每季度开展一次业务考评，合格率达到100%，全州45台（套）测震、前兆仪器的正常运转，加大地震台站周边观测环境保护，及时处置擅自破坏地震监测设备正常运转的事件升4.0级以上地震应急处置能力。严格落实24小时值班值守和领导带班制度，一旦发生4.0级以上地震，迅速报告及时应对、果断处置，4小时以内达到地震现场并开展各项应急处置工作。强化仪器正常运维，提升4.0级以上地震应急处置能力，实施地震</w:t>
            </w:r>
            <w:r>
              <w:rPr>
                <w:rFonts w:hint="eastAsia" w:ascii="宋体" w:hAnsi="宋体"/>
                <w:sz w:val="16"/>
                <w:lang w:eastAsia="zh-CN"/>
              </w:rPr>
              <w:t>应急</w:t>
            </w:r>
            <w:r>
              <w:rPr>
                <w:rFonts w:ascii="宋体" w:hAnsi="宋体" w:eastAsia="宋体"/>
                <w:sz w:val="16"/>
              </w:rPr>
              <w:t>科普宣传，州内4.0级以上地震启动防震减灾应急科普。通过以上工作的实施，保障了</w:t>
            </w:r>
            <w:r>
              <w:rPr>
                <w:rFonts w:hint="eastAsia" w:ascii="宋体" w:hAnsi="宋体"/>
                <w:sz w:val="16"/>
                <w:lang w:eastAsia="zh-CN"/>
              </w:rPr>
              <w:t>本单位</w:t>
            </w:r>
            <w:r>
              <w:rPr>
                <w:rFonts w:ascii="宋体" w:hAnsi="宋体" w:eastAsia="宋体"/>
                <w:sz w:val="16"/>
              </w:rPr>
              <w:t>15职工的工资、福利及社保正常发放及缴纳，确保民生工作落实到位；保障</w:t>
            </w:r>
            <w:r>
              <w:rPr>
                <w:rFonts w:hint="eastAsia" w:ascii="宋体" w:hAnsi="宋体"/>
                <w:sz w:val="16"/>
                <w:lang w:eastAsia="zh-CN"/>
              </w:rPr>
              <w:t>本单位</w:t>
            </w:r>
            <w:r>
              <w:rPr>
                <w:rFonts w:ascii="宋体" w:hAnsi="宋体" w:eastAsia="宋体"/>
                <w:sz w:val="16"/>
              </w:rPr>
              <w:t>3辆公务用车的运行及维护，保障单位各项工作的正常运转，确保机构运转正常。</w:t>
            </w:r>
          </w:p>
        </w:tc>
      </w:tr>
      <w:tr w14:paraId="0C2FA45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0528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CD0C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B6D7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8441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AB21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3D2C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6C3E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0DE45">
            <w:pPr>
              <w:jc w:val="center"/>
            </w:pPr>
            <w:r>
              <w:rPr>
                <w:rFonts w:ascii="宋体" w:hAnsi="宋体" w:eastAsia="宋体"/>
                <w:sz w:val="16"/>
              </w:rPr>
              <w:t>得分</w:t>
            </w:r>
          </w:p>
        </w:tc>
      </w:tr>
      <w:tr w14:paraId="237D056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B8F8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3D7F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33397C">
            <w:pPr>
              <w:jc w:val="center"/>
            </w:pPr>
            <w:r>
              <w:rPr>
                <w:rFonts w:ascii="宋体" w:hAnsi="宋体" w:eastAsia="宋体"/>
                <w:sz w:val="16"/>
              </w:rPr>
              <w:t>开展防震减灾科普宣传“六进”活</w:t>
            </w:r>
            <w:r>
              <w:rPr>
                <w:rFonts w:hint="eastAsia" w:ascii="宋体" w:hAnsi="宋体"/>
                <w:sz w:val="16"/>
                <w:lang w:eastAsia="zh-CN"/>
              </w:rPr>
              <w:t>动全</w:t>
            </w:r>
            <w:r>
              <w:rPr>
                <w:rFonts w:ascii="宋体" w:hAnsi="宋体" w:eastAsia="宋体"/>
                <w:sz w:val="16"/>
              </w:rPr>
              <w:t>面覆盖全州重点防御区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DEA89">
            <w:pPr>
              <w:jc w:val="center"/>
            </w:pPr>
            <w:r>
              <w:rPr>
                <w:rFonts w:ascii="宋体" w:hAnsi="宋体" w:eastAsia="宋体"/>
                <w:sz w:val="16"/>
              </w:rPr>
              <w:t>&gt;=45%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E447C">
            <w:pPr>
              <w:jc w:val="center"/>
            </w:pPr>
            <w:r>
              <w:rPr>
                <w:rFonts w:ascii="宋体" w:hAnsi="宋体" w:eastAsia="宋体"/>
                <w:sz w:val="16"/>
              </w:rPr>
              <w:t>2024年度计划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4098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7ECFA">
            <w:pPr>
              <w:jc w:val="center"/>
            </w:pPr>
            <w:r>
              <w:rPr>
                <w:rFonts w:ascii="宋体" w:hAnsi="宋体" w:eastAsia="宋体"/>
                <w:sz w:val="16"/>
              </w:rPr>
              <w:t>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AC81B">
            <w:pPr>
              <w:jc w:val="center"/>
            </w:pPr>
            <w:r>
              <w:rPr>
                <w:rFonts w:ascii="宋体" w:hAnsi="宋体" w:eastAsia="宋体"/>
                <w:sz w:val="16"/>
              </w:rPr>
              <w:t>30</w:t>
            </w:r>
          </w:p>
        </w:tc>
      </w:tr>
      <w:tr w14:paraId="691027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8072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AEEB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8B7C9">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1B79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F571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C1208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38678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D335F">
            <w:pPr>
              <w:jc w:val="center"/>
            </w:pPr>
            <w:r>
              <w:rPr>
                <w:rFonts w:ascii="宋体" w:hAnsi="宋体" w:eastAsia="宋体"/>
                <w:sz w:val="16"/>
              </w:rPr>
              <w:t>20</w:t>
            </w:r>
          </w:p>
        </w:tc>
      </w:tr>
      <w:tr w14:paraId="6AD4E8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E71A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4DFF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2D65B">
            <w:pPr>
              <w:jc w:val="center"/>
            </w:pPr>
            <w:r>
              <w:rPr>
                <w:rFonts w:ascii="宋体" w:hAnsi="宋体" w:eastAsia="宋体"/>
                <w:sz w:val="16"/>
              </w:rPr>
              <w:t>全州测震前兆仪器数量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FCDE1B">
            <w:pPr>
              <w:jc w:val="center"/>
            </w:pPr>
            <w:r>
              <w:rPr>
                <w:rFonts w:ascii="宋体" w:hAnsi="宋体" w:eastAsia="宋体"/>
                <w:sz w:val="16"/>
              </w:rPr>
              <w:t>&gt;=45台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9F7A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2AD1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14718">
            <w:pPr>
              <w:jc w:val="center"/>
            </w:pPr>
            <w:r>
              <w:rPr>
                <w:rFonts w:ascii="宋体" w:hAnsi="宋体" w:eastAsia="宋体"/>
                <w:sz w:val="16"/>
              </w:rPr>
              <w:t>45台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EC540">
            <w:pPr>
              <w:jc w:val="center"/>
            </w:pPr>
            <w:r>
              <w:rPr>
                <w:rFonts w:ascii="宋体" w:hAnsi="宋体" w:eastAsia="宋体"/>
                <w:sz w:val="16"/>
              </w:rPr>
              <w:t>20</w:t>
            </w:r>
          </w:p>
        </w:tc>
      </w:tr>
      <w:tr w14:paraId="2BA03F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1CEB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02CDB">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7F13A">
            <w:pPr>
              <w:jc w:val="center"/>
            </w:pPr>
            <w:r>
              <w:rPr>
                <w:rFonts w:ascii="宋体" w:hAnsi="宋体" w:eastAsia="宋体"/>
                <w:sz w:val="16"/>
              </w:rPr>
              <w:t>升4.0级以上地震应急处置能力</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D7AB2">
            <w:pPr>
              <w:jc w:val="center"/>
            </w:pPr>
            <w:r>
              <w:rPr>
                <w:rFonts w:ascii="宋体" w:hAnsi="宋体" w:eastAsia="宋体"/>
                <w:sz w:val="16"/>
              </w:rPr>
              <w:t>&lt;=4小时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FAAC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C644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28E0F">
            <w:pPr>
              <w:jc w:val="center"/>
            </w:pPr>
            <w:r>
              <w:rPr>
                <w:rFonts w:ascii="宋体" w:hAnsi="宋体" w:eastAsia="宋体"/>
                <w:sz w:val="16"/>
              </w:rPr>
              <w:t>4小时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FDD7A">
            <w:pPr>
              <w:jc w:val="center"/>
            </w:pPr>
            <w:r>
              <w:rPr>
                <w:rFonts w:ascii="宋体" w:hAnsi="宋体" w:eastAsia="宋体"/>
                <w:sz w:val="16"/>
              </w:rPr>
              <w:t>20</w:t>
            </w:r>
          </w:p>
        </w:tc>
      </w:tr>
    </w:tbl>
    <w:p w14:paraId="3E3E00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48AB153">
        <w:tblPrEx>
          <w:tblCellMar>
            <w:top w:w="0" w:type="dxa"/>
            <w:left w:w="108" w:type="dxa"/>
            <w:bottom w:w="0" w:type="dxa"/>
            <w:right w:w="108" w:type="dxa"/>
          </w:tblCellMar>
        </w:tblPrEx>
        <w:tc>
          <w:tcPr>
            <w:tcW w:w="8848" w:type="dxa"/>
            <w:gridSpan w:val="14"/>
            <w:vAlign w:val="center"/>
          </w:tcPr>
          <w:p w14:paraId="167F6E92">
            <w:pPr>
              <w:jc w:val="center"/>
            </w:pPr>
            <w:r>
              <w:rPr>
                <w:rFonts w:ascii="宋体" w:hAnsi="宋体" w:eastAsia="宋体"/>
                <w:sz w:val="24"/>
              </w:rPr>
              <w:t>项目支出绩效自评表</w:t>
            </w:r>
          </w:p>
        </w:tc>
      </w:tr>
      <w:tr w14:paraId="206E2EDE">
        <w:tblPrEx>
          <w:tblCellMar>
            <w:top w:w="0" w:type="dxa"/>
            <w:left w:w="108" w:type="dxa"/>
            <w:bottom w:w="0" w:type="dxa"/>
            <w:right w:w="108" w:type="dxa"/>
          </w:tblCellMar>
        </w:tblPrEx>
        <w:tc>
          <w:tcPr>
            <w:tcW w:w="8848" w:type="dxa"/>
            <w:gridSpan w:val="14"/>
            <w:vAlign w:val="center"/>
          </w:tcPr>
          <w:p w14:paraId="25875E62">
            <w:pPr>
              <w:jc w:val="center"/>
            </w:pPr>
            <w:r>
              <w:rPr>
                <w:rFonts w:ascii="宋体" w:hAnsi="宋体" w:eastAsia="宋体"/>
                <w:sz w:val="24"/>
              </w:rPr>
              <w:t>(2024年度)</w:t>
            </w:r>
          </w:p>
        </w:tc>
      </w:tr>
      <w:tr w14:paraId="4B896C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8C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649F7F">
            <w:pPr>
              <w:jc w:val="center"/>
            </w:pPr>
            <w:r>
              <w:rPr>
                <w:rFonts w:ascii="宋体" w:hAnsi="宋体" w:eastAsia="宋体"/>
                <w:sz w:val="16"/>
              </w:rPr>
              <w:t>2024年度为民办实事及第一书记工作经费</w:t>
            </w:r>
          </w:p>
        </w:tc>
      </w:tr>
      <w:tr w14:paraId="48164E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AB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F9215">
            <w:pPr>
              <w:jc w:val="center"/>
            </w:pPr>
            <w:r>
              <w:rPr>
                <w:rFonts w:ascii="宋体" w:hAnsi="宋体" w:eastAsia="宋体"/>
                <w:sz w:val="16"/>
              </w:rPr>
              <w:t>克孜勒苏柯尔克孜自治州地震监测中心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0E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FBF940">
            <w:pPr>
              <w:jc w:val="center"/>
            </w:pPr>
            <w:r>
              <w:rPr>
                <w:rFonts w:ascii="宋体" w:hAnsi="宋体" w:eastAsia="宋体"/>
                <w:sz w:val="16"/>
              </w:rPr>
              <w:t>克孜勒苏柯尔克孜自治州地震监测中心</w:t>
            </w:r>
          </w:p>
        </w:tc>
      </w:tr>
      <w:tr w14:paraId="1EEA0B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732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D6D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2E3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873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1A8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58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79E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3C7E">
            <w:pPr>
              <w:jc w:val="center"/>
            </w:pPr>
            <w:r>
              <w:rPr>
                <w:rFonts w:ascii="宋体" w:hAnsi="宋体" w:eastAsia="宋体"/>
                <w:sz w:val="16"/>
              </w:rPr>
              <w:t>得分</w:t>
            </w:r>
          </w:p>
        </w:tc>
      </w:tr>
      <w:tr w14:paraId="72304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01F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D0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4E1B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B8C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1245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64B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AA33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5BA8">
            <w:pPr>
              <w:jc w:val="center"/>
            </w:pPr>
            <w:r>
              <w:rPr>
                <w:rFonts w:ascii="宋体" w:hAnsi="宋体" w:eastAsia="宋体"/>
                <w:sz w:val="16"/>
              </w:rPr>
              <w:t>10.00分</w:t>
            </w:r>
          </w:p>
        </w:tc>
      </w:tr>
      <w:tr w14:paraId="0D303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B8F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BCA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92E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83B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72C5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3BD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3B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96C2">
            <w:pPr>
              <w:jc w:val="center"/>
            </w:pPr>
            <w:r>
              <w:rPr>
                <w:rFonts w:ascii="宋体" w:hAnsi="宋体" w:eastAsia="宋体"/>
                <w:sz w:val="16"/>
              </w:rPr>
              <w:t>—</w:t>
            </w:r>
          </w:p>
        </w:tc>
      </w:tr>
      <w:tr w14:paraId="2F4B0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48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A1D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F1C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DA8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458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B83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E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C438">
            <w:pPr>
              <w:jc w:val="center"/>
            </w:pPr>
            <w:r>
              <w:rPr>
                <w:rFonts w:ascii="宋体" w:hAnsi="宋体" w:eastAsia="宋体"/>
                <w:sz w:val="16"/>
              </w:rPr>
              <w:t>—</w:t>
            </w:r>
          </w:p>
        </w:tc>
      </w:tr>
      <w:tr w14:paraId="33DECB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256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C5A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C28F87">
            <w:pPr>
              <w:jc w:val="center"/>
            </w:pPr>
            <w:r>
              <w:rPr>
                <w:rFonts w:ascii="宋体" w:hAnsi="宋体" w:eastAsia="宋体"/>
                <w:sz w:val="16"/>
              </w:rPr>
              <w:t>实际完成情况</w:t>
            </w:r>
          </w:p>
        </w:tc>
      </w:tr>
      <w:tr w14:paraId="5EF96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F2E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A0AFA">
            <w:pPr>
              <w:jc w:val="both"/>
            </w:pPr>
            <w:r>
              <w:rPr>
                <w:rFonts w:ascii="宋体" w:hAnsi="宋体" w:eastAsia="宋体"/>
                <w:sz w:val="16"/>
              </w:rPr>
              <w:t>该项目总投资12万元，其中：财政资金12万元，其他资金0万元，该项目资金主要用于群众工作的开展。通过该项目的实施，解决生产生活中的实际困难，加强民族团结，增进民族互信，突出现代文化引领，落实民生建设任务，增加农牧民收入，开展各项文体活动,资助学生，形成良好学习氛围,关心关爱困难群众，实现增产增收,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F0D77D">
            <w:pPr>
              <w:jc w:val="both"/>
            </w:pPr>
            <w:r>
              <w:rPr>
                <w:rFonts w:ascii="宋体" w:hAnsi="宋体" w:eastAsia="宋体"/>
                <w:sz w:val="16"/>
              </w:rPr>
              <w:t>截至2024年12月31日，该项目执行数为12万元，已完成；开展文体活动6次，打造示范街材料1次，大中学生助学金20人，打造法治广场1次，通过该项目的实施，</w:t>
            </w:r>
            <w:r>
              <w:rPr>
                <w:rFonts w:hint="eastAsia" w:ascii="宋体" w:hAnsi="宋体"/>
                <w:sz w:val="16"/>
                <w:lang w:eastAsia="zh-CN"/>
              </w:rPr>
              <w:t>为人民</w:t>
            </w:r>
            <w:r>
              <w:rPr>
                <w:rFonts w:ascii="宋体" w:hAnsi="宋体" w:eastAsia="宋体"/>
                <w:sz w:val="16"/>
              </w:rPr>
              <w:t>群众带去温暖，宣传国家相关政策及法律法规，维护社会稳定和长治久安，从而提高群众幸福度和归属感。</w:t>
            </w:r>
          </w:p>
        </w:tc>
      </w:tr>
      <w:tr w14:paraId="3BDAD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20D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04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5C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FD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52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6B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62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D4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86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23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FB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F1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D3837">
            <w:pPr>
              <w:jc w:val="center"/>
            </w:pPr>
            <w:r>
              <w:rPr>
                <w:rFonts w:ascii="宋体" w:hAnsi="宋体" w:eastAsia="宋体"/>
                <w:sz w:val="16"/>
              </w:rPr>
              <w:t>偏差原因分析及改进措施</w:t>
            </w:r>
          </w:p>
        </w:tc>
      </w:tr>
      <w:tr w14:paraId="256FCC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1FC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3C3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E01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2403">
            <w:pPr>
              <w:jc w:val="center"/>
            </w:pPr>
            <w:r>
              <w:rPr>
                <w:rFonts w:ascii="宋体" w:hAnsi="宋体" w:eastAsia="宋体"/>
                <w:sz w:val="16"/>
              </w:rPr>
              <w:t>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2EB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9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F46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89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3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A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3451">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46F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118EF">
            <w:pPr>
              <w:jc w:val="center"/>
            </w:pPr>
          </w:p>
        </w:tc>
      </w:tr>
      <w:tr w14:paraId="5E3EA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78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CE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B3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6DCF">
            <w:pPr>
              <w:jc w:val="center"/>
            </w:pPr>
            <w:r>
              <w:rPr>
                <w:rFonts w:ascii="宋体" w:hAnsi="宋体" w:eastAsia="宋体"/>
                <w:sz w:val="16"/>
              </w:rPr>
              <w:t>打造示范街材料（次）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221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A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037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F6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4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E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5D1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041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85054">
            <w:pPr>
              <w:jc w:val="center"/>
            </w:pPr>
          </w:p>
        </w:tc>
      </w:tr>
      <w:tr w14:paraId="0D715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6D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89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2B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B1DF">
            <w:pPr>
              <w:jc w:val="center"/>
            </w:pPr>
            <w:r>
              <w:rPr>
                <w:rFonts w:ascii="宋体" w:hAnsi="宋体" w:eastAsia="宋体"/>
                <w:sz w:val="16"/>
              </w:rPr>
              <w:t>打造法治广场（次）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10C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69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9BC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CC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F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E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0FB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48D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4955">
            <w:pPr>
              <w:jc w:val="center"/>
            </w:pPr>
          </w:p>
        </w:tc>
      </w:tr>
      <w:tr w14:paraId="46E6E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6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3D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EF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E028">
            <w:pPr>
              <w:jc w:val="center"/>
            </w:pPr>
            <w:r>
              <w:rPr>
                <w:rFonts w:ascii="宋体" w:hAnsi="宋体" w:eastAsia="宋体"/>
                <w:sz w:val="16"/>
              </w:rPr>
              <w:t>大中学生助学金（人）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2F2E">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8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FAD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9F0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C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3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FACF">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76B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872D">
            <w:pPr>
              <w:jc w:val="center"/>
            </w:pPr>
          </w:p>
        </w:tc>
      </w:tr>
      <w:tr w14:paraId="626FD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AE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6D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19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9B3D">
            <w:pPr>
              <w:jc w:val="center"/>
            </w:pPr>
            <w:r>
              <w:rPr>
                <w:rFonts w:ascii="宋体" w:hAnsi="宋体" w:eastAsia="宋体"/>
                <w:sz w:val="16"/>
              </w:rPr>
              <w:t>开展文体活动参与率（%）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E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5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2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21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C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5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E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812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6844A">
            <w:pPr>
              <w:jc w:val="center"/>
            </w:pPr>
          </w:p>
        </w:tc>
      </w:tr>
      <w:tr w14:paraId="120C4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FE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72D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97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6F7B">
            <w:pPr>
              <w:jc w:val="center"/>
            </w:pPr>
            <w:r>
              <w:rPr>
                <w:rFonts w:ascii="宋体" w:hAnsi="宋体" w:eastAsia="宋体"/>
                <w:sz w:val="16"/>
              </w:rPr>
              <w:t>文体活动开展及时率（%）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D36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D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9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E9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AF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5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5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A8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8C2B">
            <w:pPr>
              <w:jc w:val="center"/>
            </w:pPr>
          </w:p>
        </w:tc>
      </w:tr>
      <w:tr w14:paraId="52478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E1A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7CB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C8D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4DEE">
            <w:pPr>
              <w:jc w:val="center"/>
            </w:pPr>
            <w:r>
              <w:rPr>
                <w:rFonts w:ascii="宋体" w:hAnsi="宋体" w:eastAsia="宋体"/>
                <w:sz w:val="16"/>
              </w:rPr>
              <w:t>开展文体活动成本（万元）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B907">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9D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E42F">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47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9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3B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D687">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2B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E31E5">
            <w:pPr>
              <w:jc w:val="center"/>
            </w:pPr>
          </w:p>
        </w:tc>
      </w:tr>
      <w:tr w14:paraId="26677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81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89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48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69BB">
            <w:pPr>
              <w:jc w:val="center"/>
            </w:pPr>
            <w:r>
              <w:rPr>
                <w:rFonts w:ascii="宋体" w:hAnsi="宋体" w:eastAsia="宋体"/>
                <w:sz w:val="16"/>
              </w:rPr>
              <w:t>打造示范街材料成本（万元）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0B48">
            <w:pPr>
              <w:jc w:val="center"/>
            </w:pPr>
            <w:r>
              <w:rPr>
                <w:rFonts w:ascii="宋体" w:hAnsi="宋体" w:eastAsia="宋体"/>
                <w:sz w:val="16"/>
              </w:rPr>
              <w:t>&lt;=5.2万元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9F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D59F">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A2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4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8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A96A">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00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E4915">
            <w:pPr>
              <w:jc w:val="center"/>
            </w:pPr>
          </w:p>
        </w:tc>
      </w:tr>
      <w:tr w14:paraId="6F7CB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B9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86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24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DEDD">
            <w:pPr>
              <w:jc w:val="center"/>
            </w:pPr>
            <w:r>
              <w:rPr>
                <w:rFonts w:ascii="宋体" w:hAnsi="宋体" w:eastAsia="宋体"/>
                <w:sz w:val="16"/>
              </w:rPr>
              <w:t>打造法治广场成本（万元）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573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EF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33F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AA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F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50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360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EA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3D0D9">
            <w:pPr>
              <w:jc w:val="center"/>
            </w:pPr>
          </w:p>
        </w:tc>
      </w:tr>
      <w:tr w14:paraId="43602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48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1F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30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C8EA">
            <w:pPr>
              <w:jc w:val="center"/>
            </w:pPr>
            <w:r>
              <w:rPr>
                <w:rFonts w:ascii="宋体" w:hAnsi="宋体" w:eastAsia="宋体"/>
                <w:sz w:val="16"/>
              </w:rPr>
              <w:t>大中学生助学金成本（万元）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03E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A5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BEF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A3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E4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41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DFD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8D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0EC1">
            <w:pPr>
              <w:jc w:val="center"/>
            </w:pPr>
          </w:p>
        </w:tc>
      </w:tr>
      <w:tr w14:paraId="56AF3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CD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7E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4D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FA37">
            <w:pPr>
              <w:jc w:val="center"/>
            </w:pPr>
            <w:r>
              <w:rPr>
                <w:rFonts w:ascii="宋体" w:hAnsi="宋体" w:eastAsia="宋体"/>
                <w:sz w:val="16"/>
              </w:rPr>
              <w:t>提高农牧民的幸福感和归属感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85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2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FE5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BA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E9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E94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348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57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13AE3">
            <w:pPr>
              <w:jc w:val="center"/>
            </w:pPr>
          </w:p>
        </w:tc>
      </w:tr>
      <w:tr w14:paraId="286F0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590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033B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C02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9C4C">
            <w:pPr>
              <w:jc w:val="center"/>
            </w:pPr>
            <w:r>
              <w:rPr>
                <w:rFonts w:ascii="宋体" w:hAnsi="宋体" w:eastAsia="宋体"/>
                <w:sz w:val="16"/>
              </w:rPr>
              <w:t>驻村工作队员满意度（%）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47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7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49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04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1C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C6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53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52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43336">
            <w:pPr>
              <w:jc w:val="center"/>
            </w:pPr>
          </w:p>
        </w:tc>
      </w:tr>
      <w:tr w14:paraId="31606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D8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C8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F7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A159">
            <w:pPr>
              <w:jc w:val="center"/>
            </w:pPr>
            <w:r>
              <w:rPr>
                <w:rFonts w:hint="eastAsia" w:ascii="宋体" w:hAnsi="宋体"/>
                <w:sz w:val="16"/>
                <w:lang w:eastAsia="zh-CN"/>
              </w:rPr>
              <w:t>村“两委”</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C8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4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39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F5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68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2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85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3A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70A75">
            <w:pPr>
              <w:jc w:val="center"/>
            </w:pPr>
          </w:p>
        </w:tc>
      </w:tr>
      <w:tr w14:paraId="48FF4F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FB3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25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C6E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9EF361">
            <w:pPr>
              <w:jc w:val="center"/>
            </w:pPr>
            <w:r>
              <w:rPr>
                <w:rFonts w:ascii="宋体" w:hAnsi="宋体" w:eastAsia="宋体"/>
                <w:sz w:val="16"/>
              </w:rPr>
              <w:t>100分</w:t>
            </w:r>
          </w:p>
        </w:tc>
      </w:tr>
    </w:tbl>
    <w:p w14:paraId="7C3DDD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DCF8E00">
        <w:tblPrEx>
          <w:tblCellMar>
            <w:top w:w="0" w:type="dxa"/>
            <w:left w:w="108" w:type="dxa"/>
            <w:bottom w:w="0" w:type="dxa"/>
            <w:right w:w="108" w:type="dxa"/>
          </w:tblCellMar>
        </w:tblPrEx>
        <w:tc>
          <w:tcPr>
            <w:tcW w:w="8848" w:type="dxa"/>
            <w:gridSpan w:val="14"/>
            <w:vAlign w:val="center"/>
          </w:tcPr>
          <w:p w14:paraId="1131F051">
            <w:pPr>
              <w:jc w:val="center"/>
            </w:pPr>
            <w:r>
              <w:rPr>
                <w:rFonts w:ascii="宋体" w:hAnsi="宋体" w:eastAsia="宋体"/>
                <w:sz w:val="24"/>
              </w:rPr>
              <w:t>项目支出绩效自评表</w:t>
            </w:r>
          </w:p>
        </w:tc>
      </w:tr>
      <w:tr w14:paraId="62B2116B">
        <w:tblPrEx>
          <w:tblCellMar>
            <w:top w:w="0" w:type="dxa"/>
            <w:left w:w="108" w:type="dxa"/>
            <w:bottom w:w="0" w:type="dxa"/>
            <w:right w:w="108" w:type="dxa"/>
          </w:tblCellMar>
        </w:tblPrEx>
        <w:tc>
          <w:tcPr>
            <w:tcW w:w="8848" w:type="dxa"/>
            <w:gridSpan w:val="14"/>
            <w:vAlign w:val="center"/>
          </w:tcPr>
          <w:p w14:paraId="4FD741BE">
            <w:pPr>
              <w:jc w:val="center"/>
            </w:pPr>
            <w:r>
              <w:rPr>
                <w:rFonts w:ascii="宋体" w:hAnsi="宋体" w:eastAsia="宋体"/>
                <w:sz w:val="24"/>
              </w:rPr>
              <w:t>(2024年度)</w:t>
            </w:r>
          </w:p>
        </w:tc>
      </w:tr>
      <w:tr w14:paraId="7C4760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4D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D5D08B">
            <w:pPr>
              <w:jc w:val="center"/>
            </w:pPr>
            <w:r>
              <w:rPr>
                <w:rFonts w:ascii="宋体" w:hAnsi="宋体" w:eastAsia="宋体"/>
                <w:sz w:val="16"/>
              </w:rPr>
              <w:t>2024年度其他资金结余收入项目</w:t>
            </w:r>
          </w:p>
        </w:tc>
      </w:tr>
      <w:tr w14:paraId="584D3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13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BC3AD4">
            <w:pPr>
              <w:jc w:val="center"/>
            </w:pPr>
            <w:r>
              <w:rPr>
                <w:rFonts w:ascii="宋体" w:hAnsi="宋体" w:eastAsia="宋体"/>
                <w:sz w:val="16"/>
              </w:rPr>
              <w:t>克孜勒苏柯尔克孜自治州地震监测中心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08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0CA8AC">
            <w:pPr>
              <w:jc w:val="center"/>
            </w:pPr>
            <w:r>
              <w:rPr>
                <w:rFonts w:ascii="宋体" w:hAnsi="宋体" w:eastAsia="宋体"/>
                <w:sz w:val="16"/>
              </w:rPr>
              <w:t>克孜勒苏柯尔克孜自治州地震监测中心</w:t>
            </w:r>
          </w:p>
        </w:tc>
      </w:tr>
      <w:tr w14:paraId="1254D6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9AB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49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70E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21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2AA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BF4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519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0FEB">
            <w:pPr>
              <w:jc w:val="center"/>
            </w:pPr>
            <w:r>
              <w:rPr>
                <w:rFonts w:ascii="宋体" w:hAnsi="宋体" w:eastAsia="宋体"/>
                <w:sz w:val="16"/>
              </w:rPr>
              <w:t>得分</w:t>
            </w:r>
          </w:p>
        </w:tc>
      </w:tr>
      <w:tr w14:paraId="1BD68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FD6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29F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14D7B">
            <w:pPr>
              <w:jc w:val="center"/>
            </w:pPr>
            <w:r>
              <w:rPr>
                <w:rFonts w:ascii="宋体" w:hAnsi="宋体" w:eastAsia="宋体"/>
                <w:sz w:val="16"/>
              </w:rPr>
              <w:t>13.36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32BA3">
            <w:pPr>
              <w:jc w:val="center"/>
            </w:pPr>
            <w:r>
              <w:rPr>
                <w:rFonts w:ascii="宋体" w:hAnsi="宋体" w:eastAsia="宋体"/>
                <w:sz w:val="16"/>
              </w:rPr>
              <w:t>13.36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95BA8">
            <w:pPr>
              <w:jc w:val="center"/>
            </w:pPr>
            <w:r>
              <w:rPr>
                <w:rFonts w:ascii="宋体" w:hAnsi="宋体" w:eastAsia="宋体"/>
                <w:sz w:val="16"/>
              </w:rPr>
              <w:t>13.36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70C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17F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0E6D">
            <w:pPr>
              <w:jc w:val="center"/>
            </w:pPr>
            <w:r>
              <w:rPr>
                <w:rFonts w:ascii="宋体" w:hAnsi="宋体" w:eastAsia="宋体"/>
                <w:sz w:val="16"/>
              </w:rPr>
              <w:t>10.00分</w:t>
            </w:r>
          </w:p>
        </w:tc>
      </w:tr>
      <w:tr w14:paraId="0D4CB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94E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D1D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8F5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9C5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39E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B9F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819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ADDB">
            <w:pPr>
              <w:jc w:val="center"/>
            </w:pPr>
            <w:r>
              <w:rPr>
                <w:rFonts w:ascii="宋体" w:hAnsi="宋体" w:eastAsia="宋体"/>
                <w:sz w:val="16"/>
              </w:rPr>
              <w:t>—</w:t>
            </w:r>
          </w:p>
        </w:tc>
      </w:tr>
      <w:tr w14:paraId="5ACC8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1DE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F6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C0BB0">
            <w:pPr>
              <w:jc w:val="center"/>
            </w:pPr>
            <w:r>
              <w:rPr>
                <w:rFonts w:ascii="宋体" w:hAnsi="宋体" w:eastAsia="宋体"/>
                <w:sz w:val="16"/>
              </w:rPr>
              <w:t>13.36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DA5A3">
            <w:pPr>
              <w:jc w:val="center"/>
            </w:pPr>
            <w:r>
              <w:rPr>
                <w:rFonts w:ascii="宋体" w:hAnsi="宋体" w:eastAsia="宋体"/>
                <w:sz w:val="16"/>
              </w:rPr>
              <w:t>13.36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C9BD3">
            <w:pPr>
              <w:jc w:val="center"/>
            </w:pPr>
            <w:r>
              <w:rPr>
                <w:rFonts w:ascii="宋体" w:hAnsi="宋体" w:eastAsia="宋体"/>
                <w:sz w:val="16"/>
              </w:rPr>
              <w:t>13.36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E2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8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5022">
            <w:pPr>
              <w:jc w:val="center"/>
            </w:pPr>
            <w:r>
              <w:rPr>
                <w:rFonts w:ascii="宋体" w:hAnsi="宋体" w:eastAsia="宋体"/>
                <w:sz w:val="16"/>
              </w:rPr>
              <w:t>—</w:t>
            </w:r>
          </w:p>
        </w:tc>
      </w:tr>
      <w:tr w14:paraId="62283D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611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66E0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2C7ED3">
            <w:pPr>
              <w:jc w:val="center"/>
            </w:pPr>
            <w:r>
              <w:rPr>
                <w:rFonts w:ascii="宋体" w:hAnsi="宋体" w:eastAsia="宋体"/>
                <w:sz w:val="16"/>
              </w:rPr>
              <w:t>实际完成情况</w:t>
            </w:r>
          </w:p>
        </w:tc>
      </w:tr>
      <w:tr w14:paraId="262FD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311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639FB">
            <w:pPr>
              <w:jc w:val="both"/>
            </w:pPr>
            <w:r>
              <w:rPr>
                <w:rFonts w:ascii="宋体" w:hAnsi="宋体" w:eastAsia="宋体"/>
                <w:sz w:val="16"/>
              </w:rPr>
              <w:t>该项目总投资13.36</w:t>
            </w:r>
            <w:r>
              <w:rPr>
                <w:rFonts w:hint="eastAsia" w:ascii="宋体" w:hAnsi="宋体"/>
                <w:sz w:val="16"/>
                <w:lang w:eastAsia="zh-CN"/>
              </w:rPr>
              <w:t>万元</w:t>
            </w:r>
            <w:r>
              <w:rPr>
                <w:rFonts w:ascii="宋体" w:hAnsi="宋体" w:eastAsia="宋体"/>
                <w:sz w:val="16"/>
              </w:rPr>
              <w:t>，其中：财政资金0万元，其他资金13.36万元。按照习近平总书记防灾减灾“两个坚持三个转变”的思想，增强地震重防区震情趋势跟踪、研判服务水平，提高震后趋势判定和短临预测预报能力，全面提高社会公众防震减灾意识，切实增强全社会抵御地震灾害风险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602386">
            <w:pPr>
              <w:jc w:val="both"/>
            </w:pPr>
            <w:r>
              <w:rPr>
                <w:rFonts w:hint="eastAsia" w:ascii="宋体" w:hAnsi="宋体"/>
                <w:sz w:val="16"/>
                <w:lang w:eastAsia="zh-CN"/>
              </w:rPr>
              <w:t>截至12月</w:t>
            </w:r>
            <w:r>
              <w:rPr>
                <w:rFonts w:ascii="宋体" w:hAnsi="宋体" w:eastAsia="宋体"/>
                <w:sz w:val="16"/>
              </w:rPr>
              <w:t>31日，其他结余资金共支出13.36万元，为一个县市地震服务中心拨付补助1次，办公经费支出10批次，3辆公务用车维修维护费，印刷宣传资料2次。按照习近平总书记防灾减灾“两个坚持三个转变”的思想，有效</w:t>
            </w:r>
            <w:r>
              <w:rPr>
                <w:rFonts w:hint="eastAsia" w:ascii="宋体" w:hAnsi="宋体"/>
                <w:sz w:val="16"/>
                <w:lang w:eastAsia="zh-CN"/>
              </w:rPr>
              <w:t>地</w:t>
            </w:r>
            <w:r>
              <w:rPr>
                <w:rFonts w:ascii="宋体" w:hAnsi="宋体" w:eastAsia="宋体"/>
                <w:sz w:val="16"/>
              </w:rPr>
              <w:t>增强地震重防区震情趋势跟踪、研判服务水平，提高震后趋势判定和短临预测预报能力，全面提高社会公众防震减灾意识，切实增强全社会抵御地震灾害风险的能力</w:t>
            </w:r>
          </w:p>
        </w:tc>
      </w:tr>
      <w:tr w14:paraId="02ABF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F29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D7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8B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2A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46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73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CC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5E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AD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BE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22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24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09F79">
            <w:pPr>
              <w:jc w:val="center"/>
            </w:pPr>
            <w:r>
              <w:rPr>
                <w:rFonts w:ascii="宋体" w:hAnsi="宋体" w:eastAsia="宋体"/>
                <w:sz w:val="16"/>
              </w:rPr>
              <w:t>偏差原因分析及改进措施</w:t>
            </w:r>
          </w:p>
        </w:tc>
      </w:tr>
      <w:tr w14:paraId="2B4C3D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64A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002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CD5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8B3B">
            <w:pPr>
              <w:jc w:val="center"/>
            </w:pPr>
            <w:r>
              <w:rPr>
                <w:rFonts w:ascii="宋体" w:hAnsi="宋体" w:eastAsia="宋体"/>
                <w:sz w:val="16"/>
              </w:rPr>
              <w:t>补助县市地震服务中心（个）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879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7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88F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F1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7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50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A3A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BB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C3A16">
            <w:pPr>
              <w:jc w:val="center"/>
            </w:pPr>
          </w:p>
        </w:tc>
      </w:tr>
      <w:tr w14:paraId="05011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0E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3C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17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BC7F">
            <w:pPr>
              <w:jc w:val="center"/>
            </w:pPr>
            <w:r>
              <w:rPr>
                <w:rFonts w:ascii="宋体" w:hAnsi="宋体" w:eastAsia="宋体"/>
                <w:sz w:val="16"/>
              </w:rPr>
              <w:t>保障车辆（辆）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4206">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7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3849">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D2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B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8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2DEB">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85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2D6B1">
            <w:pPr>
              <w:jc w:val="center"/>
            </w:pPr>
          </w:p>
        </w:tc>
      </w:tr>
      <w:tr w14:paraId="68365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6B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03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7F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746C">
            <w:pPr>
              <w:jc w:val="center"/>
            </w:pPr>
            <w:r>
              <w:rPr>
                <w:rFonts w:ascii="宋体" w:hAnsi="宋体" w:eastAsia="宋体"/>
                <w:sz w:val="16"/>
              </w:rPr>
              <w:t>印刷宣传资料（次）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55C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E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BC4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A1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DD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0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0FD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B4C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8E8DE">
            <w:pPr>
              <w:jc w:val="center"/>
            </w:pPr>
          </w:p>
        </w:tc>
      </w:tr>
      <w:tr w14:paraId="07B99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5E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BF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08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82B8">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0482">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F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7724">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D7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5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C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4CC1">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29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28B8">
            <w:pPr>
              <w:jc w:val="center"/>
            </w:pPr>
          </w:p>
        </w:tc>
      </w:tr>
      <w:tr w14:paraId="28BAE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5C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67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E8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12B9">
            <w:pPr>
              <w:jc w:val="center"/>
            </w:pPr>
            <w:r>
              <w:rPr>
                <w:rFonts w:ascii="宋体" w:hAnsi="宋体" w:eastAsia="宋体"/>
                <w:sz w:val="16"/>
              </w:rPr>
              <w:t>保障台站运行正常率（%）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5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B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7F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8B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2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A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F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6B0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0E859">
            <w:pPr>
              <w:jc w:val="center"/>
            </w:pPr>
          </w:p>
        </w:tc>
      </w:tr>
      <w:tr w14:paraId="27E72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0B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9B4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BEB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EC75">
            <w:pPr>
              <w:jc w:val="center"/>
            </w:pPr>
            <w:r>
              <w:rPr>
                <w:rFonts w:ascii="宋体" w:hAnsi="宋体" w:eastAsia="宋体"/>
                <w:sz w:val="16"/>
              </w:rPr>
              <w:t>3级以上地震处置时间（分钟）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4001">
            <w:pPr>
              <w:jc w:val="center"/>
            </w:pPr>
            <w:r>
              <w:rPr>
                <w:rFonts w:ascii="宋体" w:hAnsi="宋体" w:eastAsia="宋体"/>
                <w:sz w:val="16"/>
              </w:rPr>
              <w:t>&lt;=30分钟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A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46F5">
            <w:pPr>
              <w:jc w:val="center"/>
            </w:pPr>
            <w:r>
              <w:rPr>
                <w:rFonts w:ascii="宋体" w:hAnsi="宋体" w:eastAsia="宋体"/>
                <w:sz w:val="16"/>
              </w:rPr>
              <w: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82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5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23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0EB9">
            <w:pPr>
              <w:jc w:val="center"/>
            </w:pPr>
            <w:r>
              <w:rPr>
                <w:rFonts w:ascii="宋体" w:hAnsi="宋体" w:eastAsia="宋体"/>
                <w:sz w:val="16"/>
              </w:rPr>
              <w: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45A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10591">
            <w:pPr>
              <w:jc w:val="center"/>
            </w:pPr>
          </w:p>
        </w:tc>
      </w:tr>
      <w:tr w14:paraId="11977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3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56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D3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BCE4">
            <w:pPr>
              <w:jc w:val="center"/>
            </w:pPr>
            <w:r>
              <w:rPr>
                <w:rFonts w:ascii="宋体" w:hAnsi="宋体" w:eastAsia="宋体"/>
                <w:sz w:val="16"/>
              </w:rPr>
              <w:t>宣传资料印刷及时率（%）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0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B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E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0E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E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C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8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7A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211F4">
            <w:pPr>
              <w:jc w:val="center"/>
            </w:pPr>
          </w:p>
        </w:tc>
      </w:tr>
      <w:tr w14:paraId="25944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49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325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25D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92B3">
            <w:pPr>
              <w:jc w:val="center"/>
            </w:pPr>
            <w:r>
              <w:rPr>
                <w:rFonts w:ascii="宋体" w:hAnsi="宋体" w:eastAsia="宋体"/>
                <w:sz w:val="16"/>
              </w:rPr>
              <w:t>补助县市地震服务中心经费（万元）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A7F6">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3B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D1F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D0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93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3F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E1FC">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5B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A4A4">
            <w:pPr>
              <w:jc w:val="center"/>
            </w:pPr>
          </w:p>
        </w:tc>
      </w:tr>
      <w:tr w14:paraId="19CF4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E0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1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9F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3C55">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2D0F">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2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ED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7A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B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2D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2777">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80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10394">
            <w:pPr>
              <w:jc w:val="center"/>
            </w:pPr>
          </w:p>
        </w:tc>
      </w:tr>
      <w:tr w14:paraId="75B6B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EF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F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B7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CE5E">
            <w:pPr>
              <w:jc w:val="center"/>
            </w:pPr>
            <w:r>
              <w:rPr>
                <w:rFonts w:ascii="宋体" w:hAnsi="宋体" w:eastAsia="宋体"/>
                <w:sz w:val="16"/>
              </w:rPr>
              <w:t>印刷宣传费（万元）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A93D">
            <w:pPr>
              <w:jc w:val="center"/>
            </w:pPr>
            <w:r>
              <w:rPr>
                <w:rFonts w:ascii="宋体" w:hAnsi="宋体" w:eastAsia="宋体"/>
                <w:sz w:val="16"/>
              </w:rPr>
              <w:t>&lt;=0.16万元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A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B294">
            <w:pPr>
              <w:jc w:val="center"/>
            </w:pPr>
            <w:r>
              <w:rPr>
                <w:rFonts w:ascii="宋体" w:hAnsi="宋体" w:eastAsia="宋体"/>
                <w:sz w:val="16"/>
              </w:rPr>
              <w: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EE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F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E6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3178">
            <w:pPr>
              <w:jc w:val="center"/>
            </w:pPr>
            <w:r>
              <w:rPr>
                <w:rFonts w:ascii="宋体" w:hAnsi="宋体" w:eastAsia="宋体"/>
                <w:sz w:val="16"/>
              </w:rPr>
              <w: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BF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5F03D">
            <w:pPr>
              <w:jc w:val="center"/>
            </w:pPr>
          </w:p>
        </w:tc>
      </w:tr>
      <w:tr w14:paraId="16413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F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A6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EE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09A2">
            <w:pPr>
              <w:jc w:val="center"/>
            </w:pPr>
            <w:r>
              <w:rPr>
                <w:rFonts w:ascii="宋体" w:hAnsi="宋体" w:eastAsia="宋体"/>
                <w:sz w:val="16"/>
              </w:rPr>
              <w:t>公务用车运行维护费（万元）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62B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8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C19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D8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A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75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E64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18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E51B0">
            <w:pPr>
              <w:jc w:val="center"/>
            </w:pPr>
          </w:p>
        </w:tc>
      </w:tr>
      <w:tr w14:paraId="398BF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A4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CD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D3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FF76">
            <w:pPr>
              <w:jc w:val="center"/>
            </w:pPr>
            <w:r>
              <w:rPr>
                <w:rFonts w:ascii="宋体" w:hAnsi="宋体" w:eastAsia="宋体"/>
                <w:sz w:val="16"/>
              </w:rPr>
              <w:t>地震监测水平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D800">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4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D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44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2C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3D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91BF">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8F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3349B">
            <w:pPr>
              <w:jc w:val="center"/>
            </w:pPr>
          </w:p>
        </w:tc>
      </w:tr>
      <w:tr w14:paraId="72B3A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6D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18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FE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20D3">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60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8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8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6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CF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60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67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CB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DC94F">
            <w:pPr>
              <w:jc w:val="center"/>
            </w:pPr>
          </w:p>
        </w:tc>
      </w:tr>
      <w:tr w14:paraId="02D91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4B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6ED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EC7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DE6832">
            <w:pPr>
              <w:jc w:val="center"/>
            </w:pPr>
            <w:r>
              <w:rPr>
                <w:rFonts w:ascii="宋体" w:hAnsi="宋体" w:eastAsia="宋体"/>
                <w:sz w:val="16"/>
              </w:rPr>
              <w:t>100分</w:t>
            </w:r>
          </w:p>
        </w:tc>
      </w:tr>
    </w:tbl>
    <w:p w14:paraId="14A22B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B344332">
        <w:tblPrEx>
          <w:tblCellMar>
            <w:top w:w="0" w:type="dxa"/>
            <w:left w:w="108" w:type="dxa"/>
            <w:bottom w:w="0" w:type="dxa"/>
            <w:right w:w="108" w:type="dxa"/>
          </w:tblCellMar>
        </w:tblPrEx>
        <w:tc>
          <w:tcPr>
            <w:tcW w:w="8848" w:type="dxa"/>
            <w:gridSpan w:val="14"/>
            <w:vAlign w:val="center"/>
          </w:tcPr>
          <w:p w14:paraId="2DFBEAE4">
            <w:pPr>
              <w:jc w:val="center"/>
            </w:pPr>
            <w:r>
              <w:rPr>
                <w:rFonts w:ascii="宋体" w:hAnsi="宋体" w:eastAsia="宋体"/>
                <w:sz w:val="24"/>
              </w:rPr>
              <w:t>项目支出绩效自评表</w:t>
            </w:r>
          </w:p>
        </w:tc>
      </w:tr>
      <w:tr w14:paraId="76D57F63">
        <w:tblPrEx>
          <w:tblCellMar>
            <w:top w:w="0" w:type="dxa"/>
            <w:left w:w="108" w:type="dxa"/>
            <w:bottom w:w="0" w:type="dxa"/>
            <w:right w:w="108" w:type="dxa"/>
          </w:tblCellMar>
        </w:tblPrEx>
        <w:tc>
          <w:tcPr>
            <w:tcW w:w="8848" w:type="dxa"/>
            <w:gridSpan w:val="14"/>
            <w:vAlign w:val="center"/>
          </w:tcPr>
          <w:p w14:paraId="29DDE69E">
            <w:pPr>
              <w:jc w:val="center"/>
            </w:pPr>
            <w:r>
              <w:rPr>
                <w:rFonts w:ascii="宋体" w:hAnsi="宋体" w:eastAsia="宋体"/>
                <w:sz w:val="24"/>
              </w:rPr>
              <w:t>(2024年度)</w:t>
            </w:r>
          </w:p>
        </w:tc>
      </w:tr>
      <w:tr w14:paraId="671DB0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35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3465D5">
            <w:pPr>
              <w:jc w:val="center"/>
            </w:pPr>
            <w:r>
              <w:rPr>
                <w:rFonts w:ascii="宋体" w:hAnsi="宋体" w:eastAsia="宋体"/>
                <w:sz w:val="16"/>
              </w:rPr>
              <w:t>2024年度其他资金项目</w:t>
            </w:r>
          </w:p>
        </w:tc>
      </w:tr>
      <w:tr w14:paraId="7F6F15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8A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F0D31">
            <w:pPr>
              <w:jc w:val="center"/>
            </w:pPr>
            <w:r>
              <w:rPr>
                <w:rFonts w:ascii="宋体" w:hAnsi="宋体" w:eastAsia="宋体"/>
                <w:sz w:val="16"/>
              </w:rPr>
              <w:t>克孜勒苏柯尔克孜自治州地震监测中心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BD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B474A">
            <w:pPr>
              <w:jc w:val="center"/>
            </w:pPr>
            <w:r>
              <w:rPr>
                <w:rFonts w:ascii="宋体" w:hAnsi="宋体" w:eastAsia="宋体"/>
                <w:sz w:val="16"/>
              </w:rPr>
              <w:t>克孜勒苏柯尔克孜自治州地震监测中心</w:t>
            </w:r>
          </w:p>
        </w:tc>
      </w:tr>
      <w:tr w14:paraId="4765DA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CB2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5E5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2D1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4E2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1A0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BB2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925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5135">
            <w:pPr>
              <w:jc w:val="center"/>
            </w:pPr>
            <w:r>
              <w:rPr>
                <w:rFonts w:ascii="宋体" w:hAnsi="宋体" w:eastAsia="宋体"/>
                <w:sz w:val="16"/>
              </w:rPr>
              <w:t>得分</w:t>
            </w:r>
          </w:p>
        </w:tc>
      </w:tr>
      <w:tr w14:paraId="07866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21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4CA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11A80">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FCDF">
            <w:pPr>
              <w:jc w:val="center"/>
            </w:pPr>
            <w:r>
              <w:rPr>
                <w:rFonts w:ascii="宋体" w:hAnsi="宋体" w:eastAsia="宋体"/>
                <w:sz w:val="16"/>
              </w:rPr>
              <w:t>34.05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CAB2B">
            <w:pPr>
              <w:jc w:val="center"/>
            </w:pPr>
            <w:r>
              <w:rPr>
                <w:rFonts w:ascii="宋体" w:hAnsi="宋体" w:eastAsia="宋体"/>
                <w:sz w:val="16"/>
              </w:rPr>
              <w:t>27.36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3B8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985F5">
            <w:pPr>
              <w:jc w:val="center"/>
            </w:pPr>
            <w:r>
              <w:rPr>
                <w:rFonts w:ascii="宋体" w:hAnsi="宋体" w:eastAsia="宋体"/>
                <w:sz w:val="16"/>
              </w:rPr>
              <w:t>80.4%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3BBD">
            <w:pPr>
              <w:jc w:val="center"/>
            </w:pPr>
            <w:r>
              <w:rPr>
                <w:rFonts w:ascii="宋体" w:hAnsi="宋体" w:eastAsia="宋体"/>
                <w:sz w:val="16"/>
              </w:rPr>
              <w:t>5.09分</w:t>
            </w:r>
          </w:p>
        </w:tc>
      </w:tr>
      <w:tr w14:paraId="793BE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5BE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FD3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A2E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31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40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7B6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6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595A">
            <w:pPr>
              <w:jc w:val="center"/>
            </w:pPr>
            <w:r>
              <w:rPr>
                <w:rFonts w:ascii="宋体" w:hAnsi="宋体" w:eastAsia="宋体"/>
                <w:sz w:val="16"/>
              </w:rPr>
              <w:t>—</w:t>
            </w:r>
          </w:p>
        </w:tc>
      </w:tr>
      <w:tr w14:paraId="3D4E4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B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DAA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FD7A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A2D5A">
            <w:pPr>
              <w:jc w:val="center"/>
            </w:pPr>
            <w:r>
              <w:rPr>
                <w:rFonts w:ascii="宋体" w:hAnsi="宋体" w:eastAsia="宋体"/>
                <w:sz w:val="16"/>
              </w:rPr>
              <w:t>34.05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7902B">
            <w:pPr>
              <w:jc w:val="center"/>
            </w:pPr>
            <w:r>
              <w:rPr>
                <w:rFonts w:ascii="宋体" w:hAnsi="宋体" w:eastAsia="宋体"/>
                <w:sz w:val="16"/>
              </w:rPr>
              <w:t>27.36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B9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25A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B2C7">
            <w:pPr>
              <w:jc w:val="center"/>
            </w:pPr>
            <w:r>
              <w:rPr>
                <w:rFonts w:ascii="宋体" w:hAnsi="宋体" w:eastAsia="宋体"/>
                <w:sz w:val="16"/>
              </w:rPr>
              <w:t>—</w:t>
            </w:r>
          </w:p>
        </w:tc>
      </w:tr>
      <w:tr w14:paraId="03B610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FB4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016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106DAA">
            <w:pPr>
              <w:jc w:val="center"/>
            </w:pPr>
            <w:r>
              <w:rPr>
                <w:rFonts w:ascii="宋体" w:hAnsi="宋体" w:eastAsia="宋体"/>
                <w:sz w:val="16"/>
              </w:rPr>
              <w:t>实际完成情况</w:t>
            </w:r>
          </w:p>
        </w:tc>
      </w:tr>
      <w:tr w14:paraId="3A78A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1D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4957B">
            <w:pPr>
              <w:jc w:val="both"/>
            </w:pPr>
            <w:r>
              <w:rPr>
                <w:rFonts w:ascii="宋体" w:hAnsi="宋体" w:eastAsia="宋体"/>
                <w:sz w:val="16"/>
              </w:rPr>
              <w:t>该项目总投资34.05</w:t>
            </w:r>
            <w:r>
              <w:rPr>
                <w:rFonts w:hint="eastAsia" w:ascii="宋体" w:hAnsi="宋体"/>
                <w:sz w:val="16"/>
                <w:lang w:eastAsia="zh-CN"/>
              </w:rPr>
              <w:t>万元</w:t>
            </w:r>
            <w:r>
              <w:rPr>
                <w:rFonts w:ascii="宋体" w:hAnsi="宋体" w:eastAsia="宋体"/>
                <w:sz w:val="16"/>
              </w:rPr>
              <w:t>，其中：财政资金0万元，其他资金34.05万元，主要加大防震减灾宣传力度。按照习近平总书记防灾减灾“两个坚持三个转变”的思想，增强地震重防区震情趋势跟踪、研判服务水平，提高震后趋势判定和短临预测预报能力，全面提高社会公众防震减灾意识，切实增强全社会抵御地震灾害风险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2B219">
            <w:pPr>
              <w:jc w:val="both"/>
            </w:pPr>
            <w:r>
              <w:rPr>
                <w:rFonts w:hint="eastAsia" w:ascii="宋体" w:hAnsi="宋体"/>
                <w:sz w:val="16"/>
                <w:lang w:eastAsia="zh-CN"/>
              </w:rPr>
              <w:t>截至</w:t>
            </w:r>
            <w:r>
              <w:rPr>
                <w:rFonts w:ascii="宋体" w:hAnsi="宋体" w:eastAsia="宋体"/>
                <w:sz w:val="16"/>
              </w:rPr>
              <w:t>12月31日，为一个县市地震服务中心拨付补助1次，办公经费支出20批次，3辆公务用车维修维护费，印刷宣传资料2次。按照习近平总书记防灾减灾“两个坚持三个转变”的思想，有效</w:t>
            </w:r>
            <w:r>
              <w:rPr>
                <w:rFonts w:hint="eastAsia" w:ascii="宋体" w:hAnsi="宋体"/>
                <w:sz w:val="16"/>
                <w:lang w:eastAsia="zh-CN"/>
              </w:rPr>
              <w:t>地</w:t>
            </w:r>
            <w:r>
              <w:rPr>
                <w:rFonts w:ascii="宋体" w:hAnsi="宋体" w:eastAsia="宋体"/>
                <w:sz w:val="16"/>
              </w:rPr>
              <w:t>增强地震重防区震情趋势跟踪、研判服务水平，提高震后趋势判定和短临预测预报能力，全面提高社会公众防震减灾意识，切实增强全社会抵御地震灾害风险的能力</w:t>
            </w:r>
          </w:p>
        </w:tc>
      </w:tr>
      <w:tr w14:paraId="2520F1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950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B4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B8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62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D8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F0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D1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7C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F7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3C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CE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4F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7F20D">
            <w:pPr>
              <w:jc w:val="center"/>
            </w:pPr>
            <w:r>
              <w:rPr>
                <w:rFonts w:ascii="宋体" w:hAnsi="宋体" w:eastAsia="宋体"/>
                <w:sz w:val="16"/>
              </w:rPr>
              <w:t>偏差原因分析及改进措施</w:t>
            </w:r>
          </w:p>
        </w:tc>
      </w:tr>
      <w:tr w14:paraId="0030A8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99C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366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B21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C7A7">
            <w:pPr>
              <w:jc w:val="center"/>
            </w:pPr>
            <w:r>
              <w:rPr>
                <w:rFonts w:ascii="宋体" w:hAnsi="宋体" w:eastAsia="宋体"/>
                <w:sz w:val="16"/>
              </w:rPr>
              <w:t>补助县市地震服务中心（个）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3AA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9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729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FD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2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B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1E0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37D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B5688">
            <w:pPr>
              <w:jc w:val="center"/>
            </w:pPr>
          </w:p>
        </w:tc>
      </w:tr>
      <w:tr w14:paraId="6DB53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7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B7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7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DF5E">
            <w:pPr>
              <w:jc w:val="center"/>
            </w:pPr>
            <w:r>
              <w:rPr>
                <w:rFonts w:ascii="宋体" w:hAnsi="宋体" w:eastAsia="宋体"/>
                <w:sz w:val="16"/>
              </w:rPr>
              <w:t>保障车辆（辆）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1183">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C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16BB">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C5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8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0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4BAC">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60F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6FC59">
            <w:pPr>
              <w:jc w:val="center"/>
            </w:pPr>
          </w:p>
        </w:tc>
      </w:tr>
      <w:tr w14:paraId="7CED8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0C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5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8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70C9">
            <w:pPr>
              <w:jc w:val="center"/>
            </w:pPr>
            <w:r>
              <w:rPr>
                <w:rFonts w:ascii="宋体" w:hAnsi="宋体" w:eastAsia="宋体"/>
                <w:sz w:val="16"/>
              </w:rPr>
              <w:t>保障地震台站（个）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9277">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D2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16C1">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2A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D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7B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1985">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19B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2096E">
            <w:pPr>
              <w:jc w:val="center"/>
            </w:pPr>
          </w:p>
        </w:tc>
      </w:tr>
      <w:tr w14:paraId="7A41B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2B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A4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B73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EC49">
            <w:pPr>
              <w:jc w:val="center"/>
            </w:pPr>
            <w:r>
              <w:rPr>
                <w:rFonts w:ascii="宋体" w:hAnsi="宋体" w:eastAsia="宋体"/>
                <w:sz w:val="16"/>
              </w:rPr>
              <w:t>采购服务器扫描仪（台）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1B9B">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3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EF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77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7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E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5781">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7E6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D0DAC">
            <w:pPr>
              <w:jc w:val="center"/>
            </w:pPr>
          </w:p>
        </w:tc>
      </w:tr>
      <w:tr w14:paraId="70B9D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B4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E8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CF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3EE3">
            <w:pPr>
              <w:jc w:val="center"/>
            </w:pPr>
            <w:r>
              <w:rPr>
                <w:rFonts w:ascii="宋体" w:hAnsi="宋体" w:eastAsia="宋体"/>
                <w:sz w:val="16"/>
              </w:rPr>
              <w:t>印刷宣传资料（次）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FE5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FA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6FE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51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7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8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9FE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367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841C">
            <w:pPr>
              <w:jc w:val="center"/>
            </w:pPr>
          </w:p>
        </w:tc>
      </w:tr>
      <w:tr w14:paraId="43D2E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38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DE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F0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466C">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4F16">
            <w:pPr>
              <w:jc w:val="center"/>
            </w:pPr>
            <w:r>
              <w:rPr>
                <w:rFonts w:ascii="宋体" w:hAnsi="宋体" w:eastAsia="宋体"/>
                <w:sz w:val="16"/>
              </w:rPr>
              <w:t>&gt;=20批次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C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C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B1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5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F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CD9E">
            <w:pPr>
              <w:jc w:val="center"/>
            </w:pPr>
            <w:r>
              <w:rPr>
                <w:rFonts w:ascii="宋体" w:hAnsi="宋体" w:eastAsia="宋体"/>
                <w:sz w:val="16"/>
              </w:rPr>
              <w: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A48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91728">
            <w:pPr>
              <w:jc w:val="center"/>
            </w:pPr>
          </w:p>
        </w:tc>
      </w:tr>
      <w:tr w14:paraId="7FBB3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2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74F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845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37E4">
            <w:pPr>
              <w:jc w:val="center"/>
            </w:pPr>
            <w:r>
              <w:rPr>
                <w:rFonts w:ascii="宋体" w:hAnsi="宋体" w:eastAsia="宋体"/>
                <w:sz w:val="16"/>
              </w:rPr>
              <w:t>保障台站运行正常率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A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1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3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D9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0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71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4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668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4A3D8">
            <w:pPr>
              <w:jc w:val="center"/>
            </w:pPr>
          </w:p>
        </w:tc>
      </w:tr>
      <w:tr w14:paraId="48BE3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BA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15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65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07B7">
            <w:pPr>
              <w:jc w:val="center"/>
            </w:pPr>
            <w:r>
              <w:rPr>
                <w:rFonts w:ascii="宋体" w:hAnsi="宋体" w:eastAsia="宋体"/>
                <w:sz w:val="16"/>
              </w:rPr>
              <w:t>服务器扫描仪质量验收合格率（%）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E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8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BC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B2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9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7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2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FE0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F5DB6">
            <w:pPr>
              <w:jc w:val="center"/>
            </w:pPr>
          </w:p>
        </w:tc>
      </w:tr>
      <w:tr w14:paraId="74B28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37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7CC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0F6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93BB">
            <w:pPr>
              <w:jc w:val="center"/>
            </w:pPr>
            <w:r>
              <w:rPr>
                <w:rFonts w:ascii="宋体" w:hAnsi="宋体" w:eastAsia="宋体"/>
                <w:sz w:val="16"/>
              </w:rPr>
              <w:t>3级以上地震处置时间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4724">
            <w:pPr>
              <w:jc w:val="center"/>
            </w:pPr>
            <w:r>
              <w:rPr>
                <w:rFonts w:ascii="宋体" w:hAnsi="宋体" w:eastAsia="宋体"/>
                <w:sz w:val="16"/>
              </w:rPr>
              <w:t>&lt;=30分钟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D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8B3E">
            <w:pPr>
              <w:jc w:val="center"/>
            </w:pPr>
            <w:r>
              <w:rPr>
                <w:rFonts w:ascii="宋体" w:hAnsi="宋体" w:eastAsia="宋体"/>
                <w:sz w:val="16"/>
              </w:rPr>
              <w: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C9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2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F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E4EC">
            <w:pPr>
              <w:jc w:val="center"/>
            </w:pPr>
            <w:r>
              <w:rPr>
                <w:rFonts w:ascii="宋体" w:hAnsi="宋体" w:eastAsia="宋体"/>
                <w:sz w:val="16"/>
              </w:rPr>
              <w: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F0E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499C">
            <w:pPr>
              <w:jc w:val="center"/>
            </w:pPr>
          </w:p>
        </w:tc>
      </w:tr>
      <w:tr w14:paraId="35747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B4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A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98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E60F">
            <w:pPr>
              <w:jc w:val="center"/>
            </w:pPr>
            <w:r>
              <w:rPr>
                <w:rFonts w:ascii="宋体" w:hAnsi="宋体" w:eastAsia="宋体"/>
                <w:sz w:val="16"/>
              </w:rPr>
              <w:t>宣传资料印刷及时率（%）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2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B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D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71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5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5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E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6F6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1DA21">
            <w:pPr>
              <w:jc w:val="center"/>
            </w:pPr>
          </w:p>
        </w:tc>
      </w:tr>
      <w:tr w14:paraId="6474F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8A7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AD00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12D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5688">
            <w:pPr>
              <w:jc w:val="center"/>
            </w:pPr>
            <w:r>
              <w:rPr>
                <w:rFonts w:ascii="宋体" w:hAnsi="宋体" w:eastAsia="宋体"/>
                <w:sz w:val="16"/>
              </w:rPr>
              <w:t>补助县市地震服务中心经费（万元）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F7A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A2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9EA5">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9D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C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E7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0A8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AB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88E19">
            <w:pPr>
              <w:jc w:val="center"/>
            </w:pPr>
            <w:r>
              <w:rPr>
                <w:rFonts w:ascii="宋体" w:hAnsi="宋体" w:eastAsia="宋体"/>
                <w:sz w:val="16"/>
              </w:rPr>
              <w:t>偏差原因：年初预算受实际发放情况有变。改进措施：根据预算方案随实际发放情况实施校准。</w:t>
            </w:r>
          </w:p>
        </w:tc>
      </w:tr>
      <w:tr w14:paraId="0B079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F1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9B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5F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227C">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F842">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A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81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4B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4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DA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A642">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AB8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CD758">
            <w:pPr>
              <w:jc w:val="center"/>
            </w:pPr>
          </w:p>
        </w:tc>
      </w:tr>
      <w:tr w14:paraId="41767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9D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ED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8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EEA8">
            <w:pPr>
              <w:jc w:val="center"/>
            </w:pPr>
            <w:r>
              <w:rPr>
                <w:rFonts w:ascii="宋体" w:hAnsi="宋体" w:eastAsia="宋体"/>
                <w:sz w:val="16"/>
              </w:rPr>
              <w:t>维修维护费（万元）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E208">
            <w:pPr>
              <w:jc w:val="center"/>
            </w:pPr>
            <w:r>
              <w:rPr>
                <w:rFonts w:ascii="宋体" w:hAnsi="宋体" w:eastAsia="宋体"/>
                <w:sz w:val="16"/>
              </w:rPr>
              <w:t>&lt;=5.05万元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34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C66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E8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1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E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1964">
            <w:pPr>
              <w:jc w:val="center"/>
            </w:pPr>
            <w:r>
              <w:rPr>
                <w:rFonts w:ascii="宋体" w:hAnsi="宋体" w:eastAsia="宋体"/>
                <w:sz w:val="16"/>
              </w:rPr>
              <w:t>=5.05万元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B35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C555">
            <w:pPr>
              <w:jc w:val="center"/>
            </w:pPr>
          </w:p>
        </w:tc>
      </w:tr>
      <w:tr w14:paraId="11308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095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25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94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0356">
            <w:pPr>
              <w:jc w:val="center"/>
            </w:pPr>
            <w:r>
              <w:rPr>
                <w:rFonts w:ascii="宋体" w:hAnsi="宋体" w:eastAsia="宋体"/>
                <w:sz w:val="16"/>
              </w:rPr>
              <w:t>印刷宣传费（万元）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628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A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680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D1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7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DF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9BF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594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77410">
            <w:pPr>
              <w:jc w:val="center"/>
            </w:pPr>
          </w:p>
        </w:tc>
      </w:tr>
      <w:tr w14:paraId="28C7C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B9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D8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0F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B11D">
            <w:pPr>
              <w:jc w:val="center"/>
            </w:pPr>
            <w:r>
              <w:rPr>
                <w:rFonts w:ascii="宋体" w:hAnsi="宋体" w:eastAsia="宋体"/>
                <w:sz w:val="16"/>
              </w:rPr>
              <w:t>公务用车运行维护费（万元）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8E8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5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8C9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7F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5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AC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E2BF">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9EA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E5500">
            <w:pPr>
              <w:jc w:val="center"/>
            </w:pPr>
            <w:r>
              <w:rPr>
                <w:rFonts w:ascii="宋体" w:hAnsi="宋体" w:eastAsia="宋体"/>
                <w:sz w:val="16"/>
              </w:rPr>
              <w:t>偏差原因：今年厉行节约公务用车维护费。改进措施：继续厉行节约公务用车维护费</w:t>
            </w:r>
          </w:p>
        </w:tc>
      </w:tr>
      <w:tr w14:paraId="7AC47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91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DC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99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74DC">
            <w:pPr>
              <w:jc w:val="center"/>
            </w:pPr>
            <w:r>
              <w:rPr>
                <w:rFonts w:ascii="宋体" w:hAnsi="宋体" w:eastAsia="宋体"/>
                <w:sz w:val="16"/>
              </w:rPr>
              <w:t>采购服务器和扫描仪（万元）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B6D6">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6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1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3A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8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FA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7256">
            <w:pPr>
              <w:jc w:val="center"/>
            </w:pPr>
            <w:r>
              <w:rPr>
                <w:rFonts w:ascii="宋体" w:hAnsi="宋体" w:eastAsia="宋体"/>
                <w:sz w:val="16"/>
              </w:rPr>
              <w:t>=2.41万元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D8DE">
            <w:pPr>
              <w:jc w:val="center"/>
            </w:pPr>
            <w:r>
              <w:rPr>
                <w:rFonts w:ascii="宋体" w:hAnsi="宋体" w:eastAsia="宋体"/>
                <w:sz w:val="16"/>
              </w:rPr>
              <w:t>2.73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68B5">
            <w:pPr>
              <w:jc w:val="center"/>
            </w:pPr>
            <w:r>
              <w:rPr>
                <w:rFonts w:ascii="宋体" w:hAnsi="宋体" w:eastAsia="宋体"/>
                <w:sz w:val="16"/>
              </w:rPr>
              <w:t>偏差原因：业务工作方面的计划有变化未采购。改进措施：每季度开展需求符合性审查，进行采购量弹性调整</w:t>
            </w:r>
          </w:p>
        </w:tc>
      </w:tr>
      <w:tr w14:paraId="5C754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A5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11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A6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C064">
            <w:pPr>
              <w:jc w:val="center"/>
            </w:pPr>
            <w:r>
              <w:rPr>
                <w:rFonts w:ascii="宋体" w:hAnsi="宋体" w:eastAsia="宋体"/>
                <w:sz w:val="16"/>
              </w:rPr>
              <w:t>地震监测水平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F4CE">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3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9A1E">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8C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C1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644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0664">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C9CF">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69C0A">
            <w:pPr>
              <w:jc w:val="center"/>
            </w:pPr>
            <w:r>
              <w:rPr>
                <w:rFonts w:ascii="宋体" w:hAnsi="宋体" w:eastAsia="宋体"/>
                <w:sz w:val="16"/>
              </w:rPr>
              <w:t>偏差原因：地震</w:t>
            </w:r>
            <w:r>
              <w:rPr>
                <w:rFonts w:hint="eastAsia" w:ascii="宋体" w:hAnsi="宋体"/>
                <w:sz w:val="16"/>
                <w:lang w:eastAsia="zh-CN"/>
              </w:rPr>
              <w:t>检测</w:t>
            </w:r>
            <w:r>
              <w:rPr>
                <w:rFonts w:ascii="宋体" w:hAnsi="宋体" w:eastAsia="宋体"/>
                <w:sz w:val="16"/>
              </w:rPr>
              <w:t>设备使用年限较长，</w:t>
            </w:r>
            <w:r>
              <w:rPr>
                <w:rFonts w:hint="eastAsia" w:ascii="宋体" w:hAnsi="宋体"/>
                <w:sz w:val="16"/>
                <w:lang w:eastAsia="zh-CN"/>
              </w:rPr>
              <w:t>元件</w:t>
            </w:r>
            <w:r>
              <w:rPr>
                <w:rFonts w:ascii="宋体" w:hAnsi="宋体" w:eastAsia="宋体"/>
                <w:sz w:val="16"/>
              </w:rPr>
              <w:t>老化，干扰因素较多。改进措施：更新老化设备，优化设备配置，加强技术人员培训。</w:t>
            </w:r>
          </w:p>
        </w:tc>
      </w:tr>
      <w:tr w14:paraId="334E5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BCC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7A16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F95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FC13">
            <w:pPr>
              <w:jc w:val="center"/>
            </w:pPr>
            <w:r>
              <w:rPr>
                <w:rFonts w:ascii="宋体" w:hAnsi="宋体" w:eastAsia="宋体"/>
                <w:sz w:val="16"/>
              </w:rPr>
              <w:t>联席会议成员单位满意率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36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0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57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22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61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C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7E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5C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948AB">
            <w:pPr>
              <w:jc w:val="center"/>
            </w:pPr>
          </w:p>
        </w:tc>
      </w:tr>
      <w:tr w14:paraId="4A047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93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3E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CE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850F">
            <w:pPr>
              <w:jc w:val="center"/>
            </w:pPr>
            <w:r>
              <w:rPr>
                <w:rFonts w:ascii="宋体" w:hAnsi="宋体" w:eastAsia="宋体"/>
                <w:sz w:val="16"/>
              </w:rPr>
              <w:t>单位职工满意率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42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1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0F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E8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F0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AA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C8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63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1492">
            <w:pPr>
              <w:jc w:val="center"/>
            </w:pPr>
          </w:p>
        </w:tc>
      </w:tr>
      <w:tr w14:paraId="415348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523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E0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80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9FB74C">
            <w:pPr>
              <w:jc w:val="center"/>
            </w:pPr>
            <w:r>
              <w:rPr>
                <w:rFonts w:ascii="宋体" w:hAnsi="宋体" w:eastAsia="宋体"/>
                <w:sz w:val="16"/>
              </w:rPr>
              <w:t>83.82分</w:t>
            </w:r>
          </w:p>
        </w:tc>
      </w:tr>
    </w:tbl>
    <w:p w14:paraId="29D0CDBF">
      <w:r>
        <w:br w:type="page"/>
      </w:r>
    </w:p>
    <w:p w14:paraId="6290B79C">
      <w:pPr>
        <w:spacing w:line="640" w:lineRule="exact"/>
        <w:ind w:firstLine="640"/>
        <w:jc w:val="both"/>
        <w:outlineLvl w:val="2"/>
      </w:pPr>
      <w:r>
        <w:rPr>
          <w:rFonts w:ascii="黑体" w:hAnsi="黑体" w:eastAsia="黑体"/>
          <w:sz w:val="32"/>
        </w:rPr>
        <w:t>十二、其他需说明的事项</w:t>
      </w:r>
    </w:p>
    <w:p w14:paraId="4D38B4F1">
      <w:pPr>
        <w:spacing w:line="580" w:lineRule="exact"/>
        <w:ind w:firstLine="640"/>
        <w:jc w:val="both"/>
      </w:pPr>
      <w:r>
        <w:rPr>
          <w:rFonts w:ascii="仿宋_GB2312" w:hAnsi="仿宋_GB2312" w:eastAsia="仿宋_GB2312"/>
          <w:b w:val="0"/>
          <w:sz w:val="32"/>
        </w:rPr>
        <w:t>本单位无其他需说明的事项。</w:t>
      </w:r>
    </w:p>
    <w:p w14:paraId="3C96AABB">
      <w:r>
        <w:br w:type="page"/>
      </w:r>
    </w:p>
    <w:p w14:paraId="28990B27">
      <w:pPr>
        <w:spacing w:line="240" w:lineRule="auto"/>
        <w:jc w:val="center"/>
        <w:outlineLvl w:val="1"/>
      </w:pPr>
      <w:r>
        <w:rPr>
          <w:rFonts w:ascii="黑体" w:hAnsi="黑体" w:eastAsia="黑体"/>
          <w:sz w:val="32"/>
        </w:rPr>
        <w:t>第三部分 专业名词解释</w:t>
      </w:r>
    </w:p>
    <w:p w14:paraId="1D91A07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4C9CF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BFCE6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DF88D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5390C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9839A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A4E66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A604D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5991E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824E29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A922EB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8F2A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5BDD4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57388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29FA12">
      <w:r>
        <w:br w:type="page"/>
      </w:r>
    </w:p>
    <w:p w14:paraId="4409E78E">
      <w:pPr>
        <w:spacing w:line="240" w:lineRule="auto"/>
        <w:jc w:val="center"/>
        <w:outlineLvl w:val="1"/>
      </w:pPr>
      <w:r>
        <w:rPr>
          <w:rFonts w:ascii="黑体" w:hAnsi="黑体" w:eastAsia="黑体"/>
          <w:sz w:val="32"/>
        </w:rPr>
        <w:t>第四部分 部门决算报表（见附表）</w:t>
      </w:r>
    </w:p>
    <w:p w14:paraId="313FDF81">
      <w:pPr>
        <w:spacing w:line="240" w:lineRule="auto"/>
        <w:ind w:firstLine="640"/>
        <w:jc w:val="both"/>
      </w:pPr>
      <w:r>
        <w:rPr>
          <w:rFonts w:ascii="仿宋_GB2312" w:hAnsi="仿宋_GB2312" w:eastAsia="仿宋_GB2312"/>
          <w:b w:val="0"/>
          <w:sz w:val="32"/>
        </w:rPr>
        <w:t>一、《收入支出决算总表》</w:t>
      </w:r>
    </w:p>
    <w:p w14:paraId="7E9261C0">
      <w:pPr>
        <w:spacing w:line="240" w:lineRule="auto"/>
        <w:ind w:firstLine="640"/>
        <w:jc w:val="both"/>
      </w:pPr>
      <w:r>
        <w:rPr>
          <w:rFonts w:ascii="仿宋_GB2312" w:hAnsi="仿宋_GB2312" w:eastAsia="仿宋_GB2312"/>
          <w:b w:val="0"/>
          <w:sz w:val="32"/>
        </w:rPr>
        <w:t>二、《收入决算表》</w:t>
      </w:r>
    </w:p>
    <w:p w14:paraId="010F2B3C">
      <w:pPr>
        <w:spacing w:line="240" w:lineRule="auto"/>
        <w:ind w:firstLine="640"/>
        <w:jc w:val="both"/>
      </w:pPr>
      <w:r>
        <w:rPr>
          <w:rFonts w:ascii="仿宋_GB2312" w:hAnsi="仿宋_GB2312" w:eastAsia="仿宋_GB2312"/>
          <w:b w:val="0"/>
          <w:sz w:val="32"/>
        </w:rPr>
        <w:t>三、《支出决算表》</w:t>
      </w:r>
    </w:p>
    <w:p w14:paraId="72829552">
      <w:pPr>
        <w:spacing w:line="240" w:lineRule="auto"/>
        <w:ind w:firstLine="640"/>
        <w:jc w:val="both"/>
      </w:pPr>
      <w:r>
        <w:rPr>
          <w:rFonts w:ascii="仿宋_GB2312" w:hAnsi="仿宋_GB2312" w:eastAsia="仿宋_GB2312"/>
          <w:b w:val="0"/>
          <w:sz w:val="32"/>
        </w:rPr>
        <w:t>四、《财政拨款收入支出决算总表》</w:t>
      </w:r>
    </w:p>
    <w:p w14:paraId="65AF448B">
      <w:pPr>
        <w:spacing w:line="240" w:lineRule="auto"/>
        <w:ind w:firstLine="640"/>
        <w:jc w:val="both"/>
      </w:pPr>
      <w:r>
        <w:rPr>
          <w:rFonts w:ascii="仿宋_GB2312" w:hAnsi="仿宋_GB2312" w:eastAsia="仿宋_GB2312"/>
          <w:b w:val="0"/>
          <w:sz w:val="32"/>
        </w:rPr>
        <w:t>五、《一般公共预算财政拨款支出决算表》</w:t>
      </w:r>
    </w:p>
    <w:p w14:paraId="35BDDC95">
      <w:pPr>
        <w:spacing w:line="240" w:lineRule="auto"/>
        <w:ind w:firstLine="640"/>
        <w:jc w:val="both"/>
      </w:pPr>
      <w:r>
        <w:rPr>
          <w:rFonts w:ascii="仿宋_GB2312" w:hAnsi="仿宋_GB2312" w:eastAsia="仿宋_GB2312"/>
          <w:b w:val="0"/>
          <w:sz w:val="32"/>
        </w:rPr>
        <w:t>六、《一般公共预算财政拨款基本支出决算表》</w:t>
      </w:r>
    </w:p>
    <w:p w14:paraId="4155A89B">
      <w:pPr>
        <w:spacing w:line="240" w:lineRule="auto"/>
        <w:ind w:firstLine="640"/>
        <w:jc w:val="both"/>
      </w:pPr>
      <w:r>
        <w:rPr>
          <w:rFonts w:ascii="仿宋_GB2312" w:hAnsi="仿宋_GB2312" w:eastAsia="仿宋_GB2312"/>
          <w:b w:val="0"/>
          <w:sz w:val="32"/>
        </w:rPr>
        <w:t>七、《政府性基金预算财政拨款收入支出决算表》</w:t>
      </w:r>
    </w:p>
    <w:p w14:paraId="4E10B756">
      <w:pPr>
        <w:spacing w:line="240" w:lineRule="auto"/>
        <w:ind w:firstLine="640"/>
        <w:jc w:val="both"/>
      </w:pPr>
      <w:r>
        <w:rPr>
          <w:rFonts w:ascii="仿宋_GB2312" w:hAnsi="仿宋_GB2312" w:eastAsia="仿宋_GB2312"/>
          <w:b w:val="0"/>
          <w:sz w:val="32"/>
        </w:rPr>
        <w:t>八、《国有资本经营预算财政拨款收入支出决算表》</w:t>
      </w:r>
    </w:p>
    <w:p w14:paraId="34B902F4">
      <w:pPr>
        <w:spacing w:line="240" w:lineRule="auto"/>
        <w:ind w:firstLine="640"/>
        <w:jc w:val="both"/>
      </w:pPr>
      <w:r>
        <w:rPr>
          <w:rFonts w:ascii="仿宋_GB2312" w:hAnsi="仿宋_GB2312" w:eastAsia="仿宋_GB2312"/>
          <w:b w:val="0"/>
          <w:sz w:val="32"/>
        </w:rPr>
        <w:t>九、《财政拨款“三公”经费支出决算表》</w:t>
      </w:r>
    </w:p>
    <w:p w14:paraId="58D4C2F9">
      <w:pPr>
        <w:spacing w:line="240" w:lineRule="auto"/>
        <w:ind w:firstLine="640"/>
        <w:jc w:val="both"/>
      </w:pPr>
    </w:p>
    <w:p w14:paraId="60F2D4B4">
      <w:pPr>
        <w:spacing w:line="240" w:lineRule="auto"/>
        <w:ind w:firstLine="640"/>
        <w:jc w:val="both"/>
      </w:pPr>
    </w:p>
    <w:p w14:paraId="4E65D4BD">
      <w:pPr>
        <w:spacing w:line="240" w:lineRule="auto"/>
        <w:ind w:firstLine="640"/>
        <w:jc w:val="both"/>
      </w:pPr>
    </w:p>
    <w:p w14:paraId="2E802393">
      <w:pPr>
        <w:spacing w:line="240" w:lineRule="auto"/>
        <w:ind w:firstLine="640"/>
        <w:jc w:val="both"/>
      </w:pPr>
    </w:p>
    <w:p w14:paraId="4CA606E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319C82-482E-401E-9019-3160E74E72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795C313-E271-4179-A948-464681A00B2B}"/>
  </w:font>
  <w:font w:name="仿宋_GB2312">
    <w:altName w:val="仿宋"/>
    <w:panose1 w:val="02010609030101010101"/>
    <w:charset w:val="86"/>
    <w:family w:val="modern"/>
    <w:pitch w:val="default"/>
    <w:sig w:usb0="00000000" w:usb1="00000000" w:usb2="00000000" w:usb3="00000000" w:csb0="00040000" w:csb1="00000000"/>
    <w:embedRegular r:id="rId3" w:fontKey="{BDD011B7-6094-40CA-A2E1-28F0195822BB}"/>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AF2CCF0D-597C-4C9D-A650-1BA309CB6B74}"/>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1F4DDC"/>
    <w:rsid w:val="11E15093"/>
    <w:rsid w:val="120E0809"/>
    <w:rsid w:val="19071D6C"/>
    <w:rsid w:val="19390E43"/>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3959D1"/>
    <w:rsid w:val="543D17CB"/>
    <w:rsid w:val="55012F1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4673</Words>
  <Characters>5304</Characters>
  <Lines>0</Lines>
  <Paragraphs>0</Paragraphs>
  <TotalTime>12</TotalTime>
  <ScaleCrop>false</ScaleCrop>
  <LinksUpToDate>false</LinksUpToDate>
  <CharactersWithSpaces>5312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2025-09-02T03:37:02Z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