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阿克陶县人民法院2024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EB88E84">
      <w:r>
        <w:br w:type="page"/>
      </w:r>
    </w:p>
    <w:p w14:paraId="50E702A5">
      <w:pPr>
        <w:spacing w:line="640" w:lineRule="exact"/>
        <w:jc w:val="center"/>
        <w:outlineLvl w:val="1"/>
      </w:pPr>
      <w:r>
        <w:rPr>
          <w:rFonts w:ascii="黑体" w:hAnsi="黑体" w:eastAsia="黑体"/>
          <w:sz w:val="32"/>
        </w:rPr>
        <w:t>第一部分 单位概况</w:t>
      </w:r>
    </w:p>
    <w:p w14:paraId="19253BEF">
      <w:pPr>
        <w:spacing w:line="640" w:lineRule="exact"/>
        <w:ind w:firstLine="640"/>
        <w:jc w:val="both"/>
        <w:outlineLvl w:val="2"/>
      </w:pPr>
      <w:r>
        <w:rPr>
          <w:rFonts w:ascii="黑体" w:hAnsi="黑体" w:eastAsia="黑体"/>
          <w:sz w:val="32"/>
        </w:rPr>
        <w:t>一、主要职能</w:t>
      </w:r>
    </w:p>
    <w:p w14:paraId="230DFAE1">
      <w:pPr>
        <w:spacing w:line="580" w:lineRule="exact"/>
        <w:ind w:firstLine="640"/>
        <w:jc w:val="both"/>
      </w:pPr>
      <w:r>
        <w:rPr>
          <w:rFonts w:ascii="仿宋_GB2312" w:hAnsi="仿宋_GB2312" w:eastAsia="仿宋_GB2312"/>
          <w:sz w:val="32"/>
        </w:rPr>
        <w:t>本单位主要职能SM不予公开。</w:t>
      </w:r>
    </w:p>
    <w:p w14:paraId="081A3373">
      <w:pPr>
        <w:spacing w:line="640" w:lineRule="exact"/>
        <w:ind w:firstLine="640"/>
        <w:jc w:val="both"/>
        <w:outlineLvl w:val="2"/>
      </w:pPr>
      <w:r>
        <w:rPr>
          <w:rFonts w:ascii="黑体" w:hAnsi="黑体" w:eastAsia="黑体"/>
          <w:sz w:val="32"/>
        </w:rPr>
        <w:t>二、机构设置及人员情况</w:t>
      </w:r>
    </w:p>
    <w:p w14:paraId="7EBCD31A">
      <w:pPr>
        <w:spacing w:line="580" w:lineRule="exact"/>
        <w:ind w:firstLine="640"/>
        <w:jc w:val="both"/>
      </w:pPr>
      <w:r>
        <w:rPr>
          <w:rFonts w:ascii="仿宋_GB2312" w:hAnsi="仿宋_GB2312" w:eastAsia="仿宋_GB2312"/>
          <w:sz w:val="32"/>
        </w:rPr>
        <w:t>本单位机构设置及人员情况SM不予公开。</w:t>
      </w:r>
    </w:p>
    <w:p w14:paraId="0B0E2B7A">
      <w:r>
        <w:br w:type="page"/>
      </w:r>
    </w:p>
    <w:p w14:paraId="2F4A987C">
      <w:pPr>
        <w:spacing w:line="240" w:lineRule="auto"/>
        <w:jc w:val="center"/>
        <w:outlineLvl w:val="1"/>
      </w:pPr>
      <w:r>
        <w:rPr>
          <w:rFonts w:ascii="黑体" w:hAnsi="黑体" w:eastAsia="黑体"/>
          <w:sz w:val="32"/>
        </w:rPr>
        <w:t>第二部分 部门决算情况说明</w:t>
      </w:r>
    </w:p>
    <w:p w14:paraId="4F3D1324">
      <w:pPr>
        <w:spacing w:line="640" w:lineRule="exact"/>
        <w:ind w:firstLine="640"/>
        <w:jc w:val="both"/>
        <w:outlineLvl w:val="2"/>
      </w:pPr>
      <w:r>
        <w:rPr>
          <w:rFonts w:ascii="黑体" w:hAnsi="黑体" w:eastAsia="黑体"/>
          <w:sz w:val="32"/>
        </w:rPr>
        <w:t>一、收入支出决算总体情况说明</w:t>
      </w:r>
    </w:p>
    <w:p w14:paraId="0637D246">
      <w:pPr>
        <w:spacing w:line="580" w:lineRule="exact"/>
        <w:ind w:firstLine="640"/>
        <w:jc w:val="both"/>
      </w:pPr>
      <w:r>
        <w:rPr>
          <w:rFonts w:ascii="仿宋_GB2312" w:hAnsi="仿宋_GB2312" w:eastAsia="仿宋_GB2312"/>
          <w:b/>
          <w:sz w:val="32"/>
        </w:rPr>
        <w:t>2024年度收入总计3,425.12万元，</w:t>
      </w:r>
      <w:r>
        <w:rPr>
          <w:rFonts w:ascii="仿宋_GB2312" w:hAnsi="仿宋_GB2312" w:eastAsia="仿宋_GB2312"/>
          <w:b w:val="0"/>
          <w:sz w:val="32"/>
        </w:rPr>
        <w:t>其中：本年收入合计3,312.80万元，使用非财政拨款结余（含专用结余）0.00万元，年初结转和结余112.33万元。</w:t>
      </w:r>
    </w:p>
    <w:p w14:paraId="20E94941">
      <w:pPr>
        <w:spacing w:line="580" w:lineRule="exact"/>
        <w:ind w:firstLine="640"/>
        <w:jc w:val="both"/>
      </w:pPr>
      <w:r>
        <w:rPr>
          <w:rFonts w:ascii="仿宋_GB2312" w:hAnsi="仿宋_GB2312" w:eastAsia="仿宋_GB2312"/>
          <w:b/>
          <w:sz w:val="32"/>
        </w:rPr>
        <w:t>2024年度支出总计3,425.12万元，</w:t>
      </w:r>
      <w:r>
        <w:rPr>
          <w:rFonts w:ascii="仿宋_GB2312" w:hAnsi="仿宋_GB2312" w:eastAsia="仿宋_GB2312"/>
          <w:b w:val="0"/>
          <w:sz w:val="32"/>
        </w:rPr>
        <w:t>其中：本年支出合计3,193.51万元，结余分配0.00万元，年末结转和结余231.61万元。</w:t>
      </w:r>
    </w:p>
    <w:p w14:paraId="276E18C3">
      <w:pPr>
        <w:spacing w:line="580" w:lineRule="exact"/>
        <w:ind w:firstLine="640"/>
        <w:jc w:val="both"/>
      </w:pPr>
      <w:r>
        <w:rPr>
          <w:rFonts w:ascii="仿宋_GB2312" w:hAnsi="仿宋_GB2312" w:eastAsia="仿宋_GB2312"/>
          <w:b w:val="0"/>
          <w:sz w:val="32"/>
        </w:rPr>
        <w:t>收入支出总体与上年相比，减少112.72万元，下降3.19%，主要原因是：本年在职人员转退休，人员工资减少，相关人员经费减少；专项业务经费减少，导致经费较上年减少。</w:t>
      </w:r>
    </w:p>
    <w:p w14:paraId="124824DE">
      <w:pPr>
        <w:spacing w:line="640" w:lineRule="exact"/>
        <w:ind w:firstLine="640"/>
        <w:jc w:val="both"/>
        <w:outlineLvl w:val="2"/>
      </w:pPr>
      <w:r>
        <w:rPr>
          <w:rFonts w:ascii="黑体" w:hAnsi="黑体" w:eastAsia="黑体"/>
          <w:sz w:val="32"/>
        </w:rPr>
        <w:t>二、收入决算情况说明</w:t>
      </w:r>
    </w:p>
    <w:p w14:paraId="51EFF4F1">
      <w:pPr>
        <w:spacing w:line="580" w:lineRule="exact"/>
        <w:ind w:firstLine="640"/>
        <w:jc w:val="both"/>
      </w:pPr>
      <w:r>
        <w:rPr>
          <w:rFonts w:ascii="仿宋_GB2312" w:hAnsi="仿宋_GB2312" w:eastAsia="仿宋_GB2312"/>
          <w:b/>
          <w:sz w:val="32"/>
        </w:rPr>
        <w:t>本年收入3,312.80万元，</w:t>
      </w:r>
      <w:r>
        <w:rPr>
          <w:rFonts w:ascii="仿宋_GB2312" w:hAnsi="仿宋_GB2312" w:eastAsia="仿宋_GB2312"/>
          <w:b w:val="0"/>
          <w:sz w:val="32"/>
        </w:rPr>
        <w:t>其中：财政拨款收入3,111.85万元，占93.93%；上级补助收入0.00万元，占0.00%；事业收入0.00万元，占0.00%；经营收入0.00万元，占0.00%；附属单位上缴收入0.00万元，占0.00%；其他收入200.94万元，占6.07%。</w:t>
      </w:r>
    </w:p>
    <w:p w14:paraId="636A596C">
      <w:pPr>
        <w:spacing w:line="640" w:lineRule="exact"/>
        <w:ind w:firstLine="640"/>
        <w:jc w:val="both"/>
        <w:outlineLvl w:val="2"/>
      </w:pPr>
      <w:r>
        <w:rPr>
          <w:rFonts w:ascii="黑体" w:hAnsi="黑体" w:eastAsia="黑体"/>
          <w:sz w:val="32"/>
        </w:rPr>
        <w:t>三、支出决算情况说明</w:t>
      </w:r>
    </w:p>
    <w:p w14:paraId="27ED47B2">
      <w:pPr>
        <w:spacing w:line="580" w:lineRule="exact"/>
        <w:ind w:firstLine="640"/>
        <w:jc w:val="both"/>
      </w:pPr>
      <w:r>
        <w:rPr>
          <w:rFonts w:ascii="仿宋_GB2312" w:hAnsi="仿宋_GB2312" w:eastAsia="仿宋_GB2312"/>
          <w:b/>
          <w:sz w:val="32"/>
        </w:rPr>
        <w:t>本年支出3,193.51万元，</w:t>
      </w:r>
      <w:r>
        <w:rPr>
          <w:rFonts w:ascii="仿宋_GB2312" w:hAnsi="仿宋_GB2312" w:eastAsia="仿宋_GB2312"/>
          <w:b w:val="0"/>
          <w:sz w:val="32"/>
        </w:rPr>
        <w:t>其中：基本支出2,538.02万元，占79.47%；项目支出655.49万元，占20.53%；上缴上级支出0.00万元，占0.00%；经营支出0.00万元，占0.00%；对附属单位补助支出0.00万元，占0.00%。</w:t>
      </w:r>
    </w:p>
    <w:p w14:paraId="09A0A24D">
      <w:pPr>
        <w:spacing w:line="640" w:lineRule="exact"/>
        <w:ind w:firstLine="640"/>
        <w:jc w:val="both"/>
        <w:outlineLvl w:val="2"/>
      </w:pPr>
      <w:r>
        <w:rPr>
          <w:rFonts w:ascii="黑体" w:hAnsi="黑体" w:eastAsia="黑体"/>
          <w:sz w:val="32"/>
        </w:rPr>
        <w:t>四、财政拨款收入支出决算总体情况说明</w:t>
      </w:r>
    </w:p>
    <w:p w14:paraId="55E76054">
      <w:pPr>
        <w:spacing w:line="580" w:lineRule="exact"/>
        <w:ind w:firstLine="640"/>
        <w:jc w:val="both"/>
      </w:pPr>
      <w:r>
        <w:rPr>
          <w:rFonts w:ascii="仿宋_GB2312" w:hAnsi="仿宋_GB2312" w:eastAsia="仿宋_GB2312"/>
          <w:b/>
          <w:sz w:val="32"/>
        </w:rPr>
        <w:t>2024年度财政拨款收入总计3,111.85万元，</w:t>
      </w:r>
      <w:r>
        <w:rPr>
          <w:rFonts w:ascii="仿宋_GB2312" w:hAnsi="仿宋_GB2312" w:eastAsia="仿宋_GB2312"/>
          <w:b w:val="0"/>
          <w:sz w:val="32"/>
        </w:rPr>
        <w:t>其中：年初财政拨款结转和结余0.00万元，本年财政拨款收入3,111.85万元。</w:t>
      </w:r>
      <w:r>
        <w:rPr>
          <w:rFonts w:ascii="仿宋_GB2312" w:hAnsi="仿宋_GB2312" w:eastAsia="仿宋_GB2312"/>
          <w:b/>
          <w:sz w:val="32"/>
        </w:rPr>
        <w:t>财政拨款支出总计3,111.85万元，</w:t>
      </w:r>
      <w:r>
        <w:rPr>
          <w:rFonts w:ascii="仿宋_GB2312" w:hAnsi="仿宋_GB2312" w:eastAsia="仿宋_GB2312"/>
          <w:b w:val="0"/>
          <w:sz w:val="32"/>
        </w:rPr>
        <w:t>其中：年末财政拨款结转和结余0.00万元，本年财政拨款支出3,111.85万元。</w:t>
      </w:r>
    </w:p>
    <w:p w14:paraId="76E54E9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减少129.11万元，下降3.98%，主要原因是：本年在职人员转退休，人员工资减少，相关人员经费减少；专项业务经费减少，导致经费较上年减少。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年初预算数2,771.39万元，决算数3,111.85万元，预决算差异率12.28%，主要原因是：年中追加中央政法纪检监察转移支付资金；本年在职人员工资调薪，社保基数调整等相关人员经费增加，年中追加人员经费。</w:t>
      </w:r>
    </w:p>
    <w:p w14:paraId="505DC906">
      <w:pPr>
        <w:spacing w:line="640" w:lineRule="exact"/>
        <w:ind w:firstLine="640"/>
        <w:jc w:val="both"/>
        <w:outlineLvl w:val="2"/>
      </w:pPr>
      <w:r>
        <w:rPr>
          <w:rFonts w:ascii="黑体" w:hAnsi="黑体" w:eastAsia="黑体"/>
          <w:sz w:val="32"/>
        </w:rPr>
        <w:t>五、一般公共预算财政拨款支出决算情况说明</w:t>
      </w:r>
    </w:p>
    <w:p w14:paraId="45BDB6D6">
      <w:pPr>
        <w:spacing w:line="640" w:lineRule="exact"/>
        <w:ind w:firstLine="640"/>
        <w:jc w:val="both"/>
        <w:outlineLvl w:val="3"/>
      </w:pPr>
      <w:r>
        <w:rPr>
          <w:rFonts w:ascii="楷体_GB2312" w:hAnsi="楷体_GB2312" w:eastAsia="楷体_GB2312"/>
          <w:b/>
          <w:sz w:val="32"/>
        </w:rPr>
        <w:t>（一）一般公共预算财政拨款支出决算总体情况</w:t>
      </w:r>
    </w:p>
    <w:p w14:paraId="59CF14CA">
      <w:pPr>
        <w:spacing w:line="580" w:lineRule="exact"/>
        <w:ind w:firstLine="640"/>
        <w:jc w:val="both"/>
      </w:pPr>
      <w:r>
        <w:rPr>
          <w:rFonts w:ascii="仿宋_GB2312" w:hAnsi="仿宋_GB2312" w:eastAsia="仿宋_GB2312"/>
          <w:b/>
          <w:sz w:val="32"/>
        </w:rPr>
        <w:t>2024年度一般公共预算财政拨款支出3,111.85万元，</w:t>
      </w:r>
      <w:r>
        <w:rPr>
          <w:rFonts w:ascii="仿宋_GB2312" w:hAnsi="仿宋_GB2312" w:eastAsia="仿宋_GB2312"/>
          <w:b w:val="0"/>
          <w:sz w:val="32"/>
        </w:rPr>
        <w:t>占本年支出合计的97.44%。</w:t>
      </w:r>
      <w:r>
        <w:rPr>
          <w:rFonts w:ascii="仿宋_GB2312" w:hAnsi="仿宋_GB2312" w:eastAsia="仿宋_GB2312"/>
          <w:b/>
          <w:sz w:val="32"/>
        </w:rPr>
        <w:t>与上年相比，</w:t>
      </w:r>
      <w:r>
        <w:rPr>
          <w:rFonts w:ascii="仿宋_GB2312" w:hAnsi="仿宋_GB2312" w:eastAsia="仿宋_GB2312"/>
          <w:b w:val="0"/>
          <w:sz w:val="32"/>
        </w:rPr>
        <w:t>减少129.11万元，下降3.98%，主要原因是：本年在职人员转退休，人员工资减少，相关人员经费减少；专项业务经费减少，导致经费较上年减少。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年初预算数2,771.39万元，决算数3,111.85万元，预决算差异率12.28%，主要原因是：年中追加中央政法纪检监察转移支付资金；本年在职人员工资调薪，社保基数调整等相关人员经费增加，年中追加人员经费。</w:t>
      </w:r>
    </w:p>
    <w:p w14:paraId="7DB207F4">
      <w:pPr>
        <w:spacing w:line="640" w:lineRule="exact"/>
        <w:ind w:firstLine="640"/>
        <w:jc w:val="both"/>
        <w:outlineLvl w:val="3"/>
      </w:pPr>
      <w:r>
        <w:rPr>
          <w:rFonts w:ascii="楷体_GB2312" w:hAnsi="楷体_GB2312" w:eastAsia="楷体_GB2312"/>
          <w:b/>
          <w:sz w:val="32"/>
        </w:rPr>
        <w:t>（二）一般公共预算财政拨款支出决算结构情况</w:t>
      </w:r>
    </w:p>
    <w:p w14:paraId="2149C8D9">
      <w:pPr>
        <w:spacing w:line="580" w:lineRule="exact"/>
        <w:ind w:firstLine="640"/>
        <w:jc w:val="both"/>
      </w:pPr>
      <w:r>
        <w:rPr>
          <w:rFonts w:ascii="仿宋_GB2312" w:hAnsi="仿宋_GB2312" w:eastAsia="仿宋_GB2312"/>
          <w:b w:val="0"/>
          <w:sz w:val="32"/>
        </w:rPr>
        <w:t>1.公共安全支出(类)2,795.64万元,占89.84%。</w:t>
      </w:r>
    </w:p>
    <w:p w14:paraId="67B9CC59">
      <w:pPr>
        <w:spacing w:line="580" w:lineRule="exact"/>
        <w:ind w:firstLine="640"/>
        <w:jc w:val="both"/>
      </w:pPr>
      <w:r>
        <w:rPr>
          <w:rFonts w:ascii="仿宋_GB2312" w:hAnsi="仿宋_GB2312" w:eastAsia="仿宋_GB2312"/>
          <w:b w:val="0"/>
          <w:sz w:val="32"/>
        </w:rPr>
        <w:t>2.社会保障和就业支出(类)316.21万元,占10.16%。</w:t>
      </w:r>
    </w:p>
    <w:p w14:paraId="5D0A88E0">
      <w:pPr>
        <w:spacing w:line="640" w:lineRule="exact"/>
        <w:ind w:firstLine="640"/>
        <w:jc w:val="both"/>
        <w:outlineLvl w:val="3"/>
      </w:pPr>
      <w:r>
        <w:rPr>
          <w:rFonts w:ascii="楷体_GB2312" w:hAnsi="楷体_GB2312" w:eastAsia="楷体_GB2312"/>
          <w:b/>
          <w:sz w:val="32"/>
        </w:rPr>
        <w:t>（三）一般公共预算财政拨款支出决算具体情况</w:t>
      </w:r>
    </w:p>
    <w:p w14:paraId="2191EF98">
      <w:pPr>
        <w:spacing w:line="580" w:lineRule="exact"/>
        <w:ind w:firstLine="640"/>
        <w:jc w:val="both"/>
      </w:pPr>
      <w:r>
        <w:rPr>
          <w:rFonts w:ascii="仿宋_GB2312" w:hAnsi="仿宋_GB2312" w:eastAsia="仿宋_GB2312"/>
          <w:b w:val="0"/>
          <w:sz w:val="32"/>
        </w:rPr>
        <w:t>1.公共安全支出(类)法院(款)行政运行(项):支出决算数为1,751.13万元，比上年决算减少155.95万元，下降8.18%,主要原因是：本年减少专项业务经费。</w:t>
      </w:r>
    </w:p>
    <w:p w14:paraId="11B6E4D9">
      <w:pPr>
        <w:spacing w:line="580" w:lineRule="exact"/>
        <w:ind w:firstLine="640"/>
        <w:jc w:val="both"/>
      </w:pPr>
      <w:r>
        <w:rPr>
          <w:rFonts w:ascii="仿宋_GB2312" w:hAnsi="仿宋_GB2312" w:eastAsia="仿宋_GB2312"/>
          <w:b w:val="0"/>
          <w:sz w:val="32"/>
        </w:rPr>
        <w:t>2.公共安全支出(类)法院(款)一般行政管理事务(项):支出决算数为43.77万元，比上年决算减少260.23万元，下降85.60%,主要原因是：本年减少专项业务经费。</w:t>
      </w:r>
    </w:p>
    <w:p w14:paraId="4BB2B4B1">
      <w:pPr>
        <w:spacing w:line="580" w:lineRule="exact"/>
        <w:ind w:firstLine="640"/>
        <w:jc w:val="both"/>
      </w:pPr>
      <w:r>
        <w:rPr>
          <w:rFonts w:ascii="仿宋_GB2312" w:hAnsi="仿宋_GB2312" w:eastAsia="仿宋_GB2312"/>
          <w:b w:val="0"/>
          <w:sz w:val="32"/>
        </w:rPr>
        <w:t>3.公共安全支出(类)法院(款)事业运行(项):支出决算数为470.68万元，比上年决算增加215.45万元，增长84.41%,主要原因是：本年度新增招录聘用制书记员工资，人员工资调增，相关人员经费增加。</w:t>
      </w:r>
    </w:p>
    <w:p w14:paraId="2BA3F97D">
      <w:pPr>
        <w:spacing w:line="580" w:lineRule="exact"/>
        <w:ind w:firstLine="640"/>
        <w:jc w:val="both"/>
      </w:pPr>
      <w:r>
        <w:rPr>
          <w:rFonts w:ascii="仿宋_GB2312" w:hAnsi="仿宋_GB2312" w:eastAsia="仿宋_GB2312"/>
          <w:b w:val="0"/>
          <w:sz w:val="32"/>
        </w:rPr>
        <w:t>4.公共安全支出(类)法院(款)其他法院支出(项):支出决算数为530.06万元，比上年决算增加5.29万元，增长1.01%,主要原因是：较上年办案量增加，导致经费增加。</w:t>
      </w:r>
    </w:p>
    <w:p w14:paraId="65E097C9">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5.社会保障和就业支出(类)行政事业单位养老支出(款)行政单位离退休(项):支出决算数为49.27万元，比上年决算增加8.60万元，增长21.15%,主要原因是：本年在职人员转退休，导致退休费增加。</w:t>
      </w:r>
    </w:p>
    <w:p w14:paraId="39F07B8F">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251.44万元，比上年决算增加47.31万元，增长23.18%,主要原因是：本年在职人员增加，工资基数调增，养老缴费基数上涨，相应支出增加。</w:t>
      </w:r>
    </w:p>
    <w:p w14:paraId="0D765A41">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15.51万元，比上年决算增加10.45万元，增长206.52%,主要原因是：本年度退休人员增加，机关事业单位职业年金缴费支出增加。</w:t>
      </w:r>
    </w:p>
    <w:p w14:paraId="374C0A4E">
      <w:pPr>
        <w:spacing w:line="640" w:lineRule="exact"/>
        <w:ind w:firstLine="640"/>
        <w:jc w:val="both"/>
        <w:outlineLvl w:val="2"/>
      </w:pPr>
      <w:r>
        <w:rPr>
          <w:rFonts w:ascii="黑体" w:hAnsi="黑体" w:eastAsia="黑体"/>
          <w:sz w:val="32"/>
        </w:rPr>
        <w:t>六、一般公共预算财政拨款基本支出决算情况说明</w:t>
      </w:r>
    </w:p>
    <w:p w14:paraId="19497837">
      <w:pPr>
        <w:spacing w:line="580" w:lineRule="exact"/>
        <w:ind w:firstLine="640"/>
        <w:jc w:val="both"/>
      </w:pPr>
      <w:r>
        <w:rPr>
          <w:rFonts w:ascii="仿宋_GB2312" w:hAnsi="仿宋_GB2312" w:eastAsia="仿宋_GB2312"/>
          <w:b w:val="0"/>
          <w:sz w:val="32"/>
        </w:rPr>
        <w:t>2024年度一般公共预算财政拨款基本支出2,538.02万元，其中：</w:t>
      </w:r>
      <w:r>
        <w:rPr>
          <w:rFonts w:ascii="仿宋_GB2312" w:hAnsi="仿宋_GB2312" w:eastAsia="仿宋_GB2312"/>
          <w:b/>
          <w:sz w:val="32"/>
        </w:rPr>
        <w:t>人员经费2,447.57万元，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其他对个人和家庭的补助。</w:t>
      </w:r>
    </w:p>
    <w:p w14:paraId="05F7F340">
      <w:pPr>
        <w:spacing w:line="580" w:lineRule="exact"/>
        <w:ind w:firstLine="640"/>
        <w:jc w:val="both"/>
      </w:pPr>
      <w:r>
        <w:rPr>
          <w:rFonts w:ascii="仿宋_GB2312" w:hAnsi="仿宋_GB2312" w:eastAsia="仿宋_GB2312"/>
          <w:b/>
          <w:sz w:val="32"/>
        </w:rPr>
        <w:t>公用经费90.44万元，</w:t>
      </w:r>
      <w:r>
        <w:rPr>
          <w:rFonts w:ascii="仿宋_GB2312" w:hAnsi="仿宋_GB2312" w:eastAsia="仿宋_GB2312"/>
          <w:b w:val="0"/>
          <w:sz w:val="32"/>
        </w:rPr>
        <w:t>包括：水费、电费、取暖费、维修（护）费、委托业务费、工会经费、福利费、公务用车运行维护费。</w:t>
      </w:r>
    </w:p>
    <w:p w14:paraId="08DFB453">
      <w:pPr>
        <w:spacing w:line="640" w:lineRule="exact"/>
        <w:ind w:firstLine="640"/>
        <w:jc w:val="both"/>
        <w:outlineLvl w:val="2"/>
      </w:pPr>
      <w:r>
        <w:rPr>
          <w:rFonts w:ascii="黑体" w:hAnsi="黑体" w:eastAsia="黑体"/>
          <w:sz w:val="32"/>
        </w:rPr>
        <w:t>七、政府性基金预算财政拨款收入支出决算情况说明</w:t>
      </w:r>
    </w:p>
    <w:p w14:paraId="0151816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988EAA1">
      <w:pPr>
        <w:spacing w:line="640" w:lineRule="exact"/>
        <w:ind w:firstLine="640"/>
        <w:jc w:val="both"/>
        <w:outlineLvl w:val="2"/>
      </w:pPr>
      <w:r>
        <w:rPr>
          <w:rFonts w:ascii="黑体" w:hAnsi="黑体" w:eastAsia="黑体"/>
          <w:sz w:val="32"/>
        </w:rPr>
        <w:t>八、国有资本经营预算财政拨款收入支出决算情况说明</w:t>
      </w:r>
    </w:p>
    <w:p w14:paraId="626A0AC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83E1639">
      <w:pPr>
        <w:spacing w:line="640" w:lineRule="exact"/>
        <w:ind w:firstLine="640"/>
        <w:jc w:val="both"/>
        <w:outlineLvl w:val="2"/>
      </w:pPr>
      <w:r>
        <w:rPr>
          <w:rFonts w:ascii="黑体" w:hAnsi="黑体" w:eastAsia="黑体"/>
          <w:sz w:val="32"/>
        </w:rPr>
        <w:t>九、财政拨款“三公”经费支出决算情况说明</w:t>
      </w:r>
    </w:p>
    <w:p w14:paraId="56522816">
      <w:pPr>
        <w:spacing w:line="580" w:lineRule="exact"/>
        <w:ind w:firstLine="640"/>
        <w:jc w:val="both"/>
      </w:pPr>
      <w:r>
        <w:rPr>
          <w:rFonts w:ascii="仿宋_GB2312" w:hAnsi="仿宋_GB2312" w:eastAsia="仿宋_GB2312"/>
          <w:b/>
          <w:sz w:val="32"/>
        </w:rPr>
        <w:t>2024年度财政拨款“三公”经费支出41.88万元，</w:t>
      </w:r>
      <w:r>
        <w:rPr>
          <w:rFonts w:ascii="仿宋_GB2312" w:hAnsi="仿宋_GB2312" w:eastAsia="仿宋_GB2312"/>
          <w:b w:val="0"/>
          <w:sz w:val="32"/>
        </w:rPr>
        <w:t>比上年减少45.18万元，下降51.90%，主要原因是：严格执行中央八项规定精神，厉行节约，减少</w:t>
      </w:r>
      <w:r>
        <w:rPr>
          <w:rFonts w:hint="eastAsia" w:ascii="仿宋_GB2312" w:hAnsi="仿宋_GB2312" w:eastAsia="仿宋_GB2312"/>
          <w:b w:val="0"/>
          <w:sz w:val="32"/>
          <w:lang w:val="en-US" w:eastAsia="zh-CN"/>
        </w:rPr>
        <w:t>车辆使用，</w:t>
      </w:r>
      <w:r>
        <w:rPr>
          <w:rFonts w:ascii="仿宋_GB2312" w:hAnsi="仿宋_GB2312" w:eastAsia="仿宋_GB2312"/>
          <w:b w:val="0"/>
          <w:sz w:val="32"/>
        </w:rPr>
        <w:t>公务用车运行维护费</w:t>
      </w:r>
      <w:r>
        <w:rPr>
          <w:rFonts w:hint="eastAsia" w:ascii="仿宋_GB2312" w:hAnsi="仿宋_GB2312" w:eastAsia="仿宋_GB2312"/>
          <w:b w:val="0"/>
          <w:sz w:val="32"/>
          <w:lang w:val="en-US" w:eastAsia="zh-CN"/>
        </w:rPr>
        <w:t>减少</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41.88万元，占100.00%，比上年减少45.18万元，下降51.90%，主要原因是：严格执行中央八项规定精神，厉行节约，减少</w:t>
      </w:r>
      <w:r>
        <w:rPr>
          <w:rFonts w:hint="eastAsia" w:ascii="仿宋_GB2312" w:hAnsi="仿宋_GB2312" w:eastAsia="仿宋_GB2312"/>
          <w:b w:val="0"/>
          <w:sz w:val="32"/>
          <w:lang w:val="en-US" w:eastAsia="zh-CN"/>
        </w:rPr>
        <w:t>车辆使用，</w:t>
      </w:r>
      <w:r>
        <w:rPr>
          <w:rFonts w:ascii="仿宋_GB2312" w:hAnsi="仿宋_GB2312" w:eastAsia="仿宋_GB2312"/>
          <w:b w:val="0"/>
          <w:sz w:val="32"/>
        </w:rPr>
        <w:t>公务用车运行维护费</w:t>
      </w:r>
      <w:r>
        <w:rPr>
          <w:rFonts w:hint="eastAsia" w:ascii="仿宋_GB2312" w:hAnsi="仿宋_GB2312" w:eastAsia="仿宋_GB2312"/>
          <w:b w:val="0"/>
          <w:sz w:val="32"/>
          <w:lang w:val="en-US" w:eastAsia="zh-CN"/>
        </w:rPr>
        <w:t>减少</w:t>
      </w:r>
      <w:r>
        <w:rPr>
          <w:rFonts w:ascii="仿宋_GB2312" w:hAnsi="仿宋_GB2312" w:eastAsia="仿宋_GB2312"/>
          <w:b w:val="0"/>
          <w:sz w:val="32"/>
        </w:rPr>
        <w:t>。公务接待费支出0.00万元，占0.00%，比上年增加0.00万元，增长0.00%，主要原因是：2023年与2024年均未安排公务接待费支出。</w:t>
      </w:r>
    </w:p>
    <w:p w14:paraId="6D63D977">
      <w:pPr>
        <w:spacing w:line="580" w:lineRule="exact"/>
        <w:ind w:firstLine="640"/>
        <w:jc w:val="both"/>
      </w:pPr>
      <w:r>
        <w:rPr>
          <w:rFonts w:ascii="仿宋_GB2312" w:hAnsi="仿宋_GB2312" w:eastAsia="仿宋_GB2312"/>
          <w:b/>
          <w:sz w:val="32"/>
        </w:rPr>
        <w:t>具体情况如下：</w:t>
      </w:r>
    </w:p>
    <w:p w14:paraId="2E50A8B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631A366">
      <w:pPr>
        <w:spacing w:line="580" w:lineRule="exact"/>
        <w:ind w:firstLine="640"/>
        <w:jc w:val="both"/>
      </w:pPr>
      <w:r>
        <w:rPr>
          <w:rFonts w:ascii="仿宋_GB2312" w:hAnsi="仿宋_GB2312" w:eastAsia="仿宋_GB2312"/>
          <w:b w:val="0"/>
          <w:sz w:val="32"/>
        </w:rPr>
        <w:t>公务用车购置及运行维护费41.88万元，其中：公务用车购置费0.00万元，公务用车运行维护费41.88万元。公务用车运行维护费开支内容包括车辆加油费、保险费、过路费、维修费。公务用车购置数0辆，公务用车保有量21辆。国有资产占用情况中固定资产车辆21辆，与公务用车保有量差异原因是：本单位固定资产车辆与公务用车保有量一致无差异。</w:t>
      </w:r>
    </w:p>
    <w:p w14:paraId="5DD1657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17E54B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41.88万元，决算数41.88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41.88万元，决算数41.88万元，预决算差异率0.00%，主要原因是：严格按照预算执行，预决算无差异。公务接待费全年预算数0.00万元，决算数0.00万元，预决算差异率0.00%，主要原因是：本单位无公务接待费。</w:t>
      </w:r>
    </w:p>
    <w:p w14:paraId="1081D077">
      <w:pPr>
        <w:spacing w:line="640" w:lineRule="exact"/>
        <w:ind w:firstLine="640"/>
        <w:jc w:val="both"/>
        <w:outlineLvl w:val="2"/>
      </w:pPr>
      <w:r>
        <w:rPr>
          <w:rFonts w:ascii="黑体" w:hAnsi="黑体" w:eastAsia="黑体"/>
          <w:sz w:val="32"/>
        </w:rPr>
        <w:t>十、其他重要事项的情况说明</w:t>
      </w:r>
    </w:p>
    <w:p w14:paraId="1C0BCF46">
      <w:pPr>
        <w:spacing w:line="640" w:lineRule="exact"/>
        <w:ind w:firstLine="640"/>
        <w:jc w:val="both"/>
        <w:outlineLvl w:val="3"/>
      </w:pPr>
      <w:r>
        <w:rPr>
          <w:rFonts w:ascii="楷体_GB2312" w:hAnsi="楷体_GB2312" w:eastAsia="楷体_GB2312"/>
          <w:b/>
          <w:sz w:val="32"/>
        </w:rPr>
        <w:t>（一）机关运行经费及公用经费支出情况</w:t>
      </w:r>
    </w:p>
    <w:p w14:paraId="4E486421">
      <w:pPr>
        <w:spacing w:line="580" w:lineRule="exact"/>
        <w:ind w:firstLine="640"/>
        <w:jc w:val="both"/>
      </w:pPr>
      <w:r>
        <w:rPr>
          <w:rFonts w:ascii="仿宋_GB2312" w:hAnsi="仿宋_GB2312" w:eastAsia="仿宋_GB2312"/>
          <w:b w:val="0"/>
          <w:sz w:val="32"/>
        </w:rPr>
        <w:t>2024年度阿克陶县人民法院（行政单位和参照公务员法管理事业单位）机关运行经费支出90.44万元，比上年增加0.08万元，增长0.09%，主要原因是：本年度工会费、福利费增加。</w:t>
      </w:r>
    </w:p>
    <w:p w14:paraId="0C2C9C6C">
      <w:pPr>
        <w:spacing w:line="640" w:lineRule="exact"/>
        <w:ind w:firstLine="640"/>
        <w:jc w:val="both"/>
        <w:outlineLvl w:val="3"/>
      </w:pPr>
      <w:r>
        <w:rPr>
          <w:rFonts w:ascii="楷体_GB2312" w:hAnsi="楷体_GB2312" w:eastAsia="楷体_GB2312"/>
          <w:b/>
          <w:sz w:val="32"/>
        </w:rPr>
        <w:t>（二）政府采购情况</w:t>
      </w:r>
    </w:p>
    <w:p w14:paraId="0E06A688">
      <w:pPr>
        <w:spacing w:line="580" w:lineRule="exact"/>
        <w:ind w:firstLine="640"/>
        <w:jc w:val="both"/>
      </w:pPr>
      <w:r>
        <w:rPr>
          <w:rFonts w:ascii="仿宋_GB2312" w:hAnsi="仿宋_GB2312" w:eastAsia="仿宋_GB2312"/>
          <w:b w:val="0"/>
          <w:sz w:val="32"/>
        </w:rPr>
        <w:t>2024年度政府采购支出总额228.16万元，其中：政府采购货物支出127.11万元、政府采购工程支出72.31万元、政府采购服务支出28.74万元。</w:t>
      </w:r>
    </w:p>
    <w:p w14:paraId="5C3531E5">
      <w:pPr>
        <w:spacing w:line="580" w:lineRule="exact"/>
        <w:ind w:firstLine="640"/>
        <w:jc w:val="both"/>
      </w:pPr>
      <w:r>
        <w:rPr>
          <w:rFonts w:ascii="仿宋_GB2312" w:hAnsi="仿宋_GB2312" w:eastAsia="仿宋_GB2312"/>
          <w:b w:val="0"/>
          <w:sz w:val="32"/>
        </w:rPr>
        <w:t>授予中小企业合同金额178.18万元，占政府采购支出总额的78.09%，其中：授予小微企业合同金额151.96万元，占政府采购支出总额的66.60%。</w:t>
      </w:r>
    </w:p>
    <w:p w14:paraId="4FF038A0">
      <w:pPr>
        <w:spacing w:line="640" w:lineRule="exact"/>
        <w:ind w:firstLine="640"/>
        <w:jc w:val="both"/>
        <w:outlineLvl w:val="3"/>
      </w:pPr>
      <w:r>
        <w:rPr>
          <w:rFonts w:ascii="楷体_GB2312" w:hAnsi="楷体_GB2312" w:eastAsia="楷体_GB2312"/>
          <w:b/>
          <w:sz w:val="32"/>
        </w:rPr>
        <w:t>（三）国有资产占用情况说明</w:t>
      </w:r>
    </w:p>
    <w:p w14:paraId="6ECD731D">
      <w:pPr>
        <w:spacing w:line="580" w:lineRule="exact"/>
        <w:ind w:firstLine="640"/>
        <w:jc w:val="both"/>
      </w:pPr>
      <w:r>
        <w:rPr>
          <w:rFonts w:ascii="仿宋_GB2312" w:hAnsi="仿宋_GB2312" w:eastAsia="仿宋_GB2312"/>
          <w:b w:val="0"/>
          <w:sz w:val="32"/>
        </w:rPr>
        <w:t>截至2024年12月31日，房屋10,489.89平方米，价值3,192.07万元。车辆21辆，价值313.89万元，其中：副部（省）级及以上领导用车0辆、主要负责人用车0辆、机要通信用车0辆、应急保障用车0辆、执法执勤用车18辆、特种专业技术用车1辆、离退休干部服务用车0辆、其他用车2辆，其他用车主要是：一般公务用车。单价100万元（含）以上设备（不含车辆）0台（套）。</w:t>
      </w:r>
    </w:p>
    <w:p w14:paraId="44455F77">
      <w:pPr>
        <w:spacing w:line="640" w:lineRule="exact"/>
        <w:ind w:firstLine="640"/>
        <w:jc w:val="both"/>
        <w:outlineLvl w:val="2"/>
      </w:pPr>
      <w:r>
        <w:rPr>
          <w:rFonts w:ascii="黑体" w:hAnsi="黑体" w:eastAsia="黑体"/>
          <w:sz w:val="32"/>
        </w:rPr>
        <w:t>十一、预算绩效的情况说明</w:t>
      </w:r>
    </w:p>
    <w:p w14:paraId="6DF0273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3,425.11万元，实际执行总额3,193.50万元；预算绩效评价项目4个，全年预算数284.04万元，全年执行数106.09万元。预算绩效管理取得的成效：提高财政资金使用效益，确保民生工程顺利开展，对专项资金使用效果好的予以继续支持，对专项资金管理较好的做法予以宣传推广。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689BA48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75E51F8">
        <w:tblPrEx>
          <w:tblCellMar>
            <w:top w:w="0" w:type="dxa"/>
            <w:left w:w="108" w:type="dxa"/>
            <w:bottom w:w="0" w:type="dxa"/>
            <w:right w:w="108" w:type="dxa"/>
          </w:tblCellMar>
        </w:tblPrEx>
        <w:tc>
          <w:tcPr>
            <w:tcW w:w="8840" w:type="dxa"/>
            <w:gridSpan w:val="8"/>
            <w:vAlign w:val="center"/>
          </w:tcPr>
          <w:p w14:paraId="28EE9875">
            <w:pPr>
              <w:jc w:val="center"/>
            </w:pPr>
            <w:r>
              <w:rPr>
                <w:rFonts w:ascii="宋体" w:hAnsi="宋体" w:eastAsia="宋体"/>
                <w:sz w:val="24"/>
              </w:rPr>
              <w:t>单位整体支出绩效自评表</w:t>
            </w:r>
          </w:p>
        </w:tc>
      </w:tr>
      <w:tr w14:paraId="4E50B204">
        <w:tblPrEx>
          <w:tblCellMar>
            <w:top w:w="0" w:type="dxa"/>
            <w:left w:w="108" w:type="dxa"/>
            <w:bottom w:w="0" w:type="dxa"/>
            <w:right w:w="108" w:type="dxa"/>
          </w:tblCellMar>
        </w:tblPrEx>
        <w:tc>
          <w:tcPr>
            <w:tcW w:w="8840" w:type="dxa"/>
            <w:gridSpan w:val="8"/>
            <w:vAlign w:val="center"/>
          </w:tcPr>
          <w:p w14:paraId="204AD6F4">
            <w:pPr>
              <w:jc w:val="center"/>
            </w:pPr>
            <w:r>
              <w:rPr>
                <w:rFonts w:ascii="宋体" w:hAnsi="宋体" w:eastAsia="宋体"/>
                <w:sz w:val="24"/>
              </w:rPr>
              <w:t>（2024年度）</w:t>
            </w:r>
          </w:p>
        </w:tc>
      </w:tr>
      <w:tr w14:paraId="0340AED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2DFE96">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9A3D1C">
            <w:pPr>
              <w:jc w:val="center"/>
            </w:pPr>
            <w:r>
              <w:rPr>
                <w:rFonts w:ascii="宋体" w:hAnsi="宋体" w:eastAsia="宋体"/>
                <w:sz w:val="16"/>
              </w:rPr>
              <w:t>阿克陶县人民法院</w:t>
            </w:r>
          </w:p>
        </w:tc>
      </w:tr>
      <w:tr w14:paraId="3F42884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A64D6">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E9654">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BE2D8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C62E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C21F2">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108D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8134F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A91836">
            <w:pPr>
              <w:jc w:val="center"/>
            </w:pPr>
            <w:r>
              <w:rPr>
                <w:rFonts w:ascii="宋体" w:hAnsi="宋体" w:eastAsia="宋体"/>
                <w:sz w:val="16"/>
              </w:rPr>
              <w:t>得分</w:t>
            </w:r>
          </w:p>
        </w:tc>
      </w:tr>
      <w:tr w14:paraId="280CB1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3E277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7280D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3D634">
            <w:pPr>
              <w:jc w:val="center"/>
            </w:pPr>
            <w:r>
              <w:rPr>
                <w:rFonts w:ascii="宋体" w:hAnsi="宋体" w:eastAsia="宋体"/>
                <w:sz w:val="16"/>
              </w:rPr>
              <w:t>3,061.40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479930">
            <w:pPr>
              <w:jc w:val="center"/>
            </w:pPr>
            <w:r>
              <w:rPr>
                <w:rFonts w:ascii="宋体" w:hAnsi="宋体" w:eastAsia="宋体"/>
                <w:sz w:val="16"/>
              </w:rPr>
              <w:t>3,425.11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941814">
            <w:pPr>
              <w:jc w:val="center"/>
            </w:pPr>
            <w:r>
              <w:rPr>
                <w:rFonts w:ascii="宋体" w:hAnsi="宋体" w:eastAsia="宋体"/>
                <w:sz w:val="16"/>
              </w:rPr>
              <w:t>3,193.50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1AB08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49759">
            <w:pPr>
              <w:jc w:val="center"/>
            </w:pPr>
            <w:r>
              <w:rPr>
                <w:rFonts w:ascii="宋体" w:hAnsi="宋体" w:eastAsia="宋体"/>
                <w:sz w:val="16"/>
              </w:rPr>
              <w:t>93.24%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C7A68B">
            <w:pPr>
              <w:jc w:val="center"/>
              <w:rPr>
                <w:rFonts w:hint="default" w:eastAsia="宋体"/>
                <w:lang w:val="en-US" w:eastAsia="zh-CN"/>
              </w:rPr>
            </w:pPr>
            <w:r>
              <w:rPr>
                <w:rFonts w:hint="eastAsia" w:ascii="宋体" w:hAnsi="宋体"/>
                <w:sz w:val="16"/>
                <w:lang w:val="en-US" w:eastAsia="zh-CN"/>
              </w:rPr>
              <w:t>9.32</w:t>
            </w:r>
          </w:p>
        </w:tc>
      </w:tr>
      <w:tr w14:paraId="58D975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39983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B9BA5">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19CC36">
            <w:pPr>
              <w:jc w:val="center"/>
            </w:pPr>
            <w:r>
              <w:rPr>
                <w:rFonts w:ascii="宋体" w:hAnsi="宋体" w:eastAsia="宋体"/>
                <w:sz w:val="16"/>
              </w:rPr>
              <w:t>468.93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FE11DE">
            <w:pPr>
              <w:jc w:val="center"/>
            </w:pPr>
            <w:r>
              <w:rPr>
                <w:rFonts w:ascii="宋体" w:hAnsi="宋体" w:eastAsia="宋体"/>
                <w:sz w:val="16"/>
              </w:rPr>
              <w:t>573.83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FBBEF5">
            <w:pPr>
              <w:jc w:val="center"/>
            </w:pPr>
            <w:r>
              <w:rPr>
                <w:rFonts w:ascii="宋体" w:hAnsi="宋体" w:eastAsia="宋体"/>
                <w:sz w:val="16"/>
              </w:rPr>
              <w:t>573.83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A115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96450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E3448C">
            <w:pPr>
              <w:jc w:val="center"/>
            </w:pPr>
            <w:r>
              <w:rPr>
                <w:rFonts w:ascii="宋体" w:hAnsi="宋体" w:eastAsia="宋体"/>
                <w:sz w:val="16"/>
              </w:rPr>
              <w:t>—</w:t>
            </w:r>
          </w:p>
        </w:tc>
      </w:tr>
      <w:tr w14:paraId="3EE7F28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926C9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B4BA2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E586F">
            <w:pPr>
              <w:jc w:val="center"/>
            </w:pPr>
            <w:r>
              <w:rPr>
                <w:rFonts w:ascii="宋体" w:hAnsi="宋体" w:eastAsia="宋体"/>
                <w:sz w:val="16"/>
              </w:rPr>
              <w:t>2,302.47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94E6B4">
            <w:pPr>
              <w:jc w:val="center"/>
            </w:pPr>
            <w:r>
              <w:rPr>
                <w:rFonts w:ascii="宋体" w:hAnsi="宋体" w:eastAsia="宋体"/>
                <w:sz w:val="16"/>
              </w:rPr>
              <w:t>2,538.01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89FDF6">
            <w:pPr>
              <w:jc w:val="center"/>
            </w:pPr>
            <w:r>
              <w:rPr>
                <w:rFonts w:ascii="宋体" w:hAnsi="宋体" w:eastAsia="宋体"/>
                <w:sz w:val="16"/>
              </w:rPr>
              <w:t>2,538.01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8CEFA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81A9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14B237">
            <w:pPr>
              <w:jc w:val="center"/>
            </w:pPr>
            <w:r>
              <w:rPr>
                <w:rFonts w:ascii="宋体" w:hAnsi="宋体" w:eastAsia="宋体"/>
                <w:sz w:val="16"/>
              </w:rPr>
              <w:t>—</w:t>
            </w:r>
          </w:p>
        </w:tc>
      </w:tr>
      <w:tr w14:paraId="36C46D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CEABF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BF3F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07496">
            <w:pPr>
              <w:jc w:val="center"/>
            </w:pPr>
            <w:r>
              <w:rPr>
                <w:rFonts w:ascii="宋体" w:hAnsi="宋体" w:eastAsia="宋体"/>
                <w:sz w:val="16"/>
              </w:rPr>
              <w:t>290.00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818A9C">
            <w:pPr>
              <w:jc w:val="center"/>
            </w:pPr>
            <w:r>
              <w:rPr>
                <w:rFonts w:ascii="宋体" w:hAnsi="宋体" w:eastAsia="宋体"/>
                <w:sz w:val="16"/>
              </w:rPr>
              <w:t>313.27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CF9889">
            <w:pPr>
              <w:jc w:val="center"/>
            </w:pPr>
            <w:r>
              <w:rPr>
                <w:rFonts w:ascii="宋体" w:hAnsi="宋体" w:eastAsia="宋体"/>
                <w:sz w:val="16"/>
              </w:rPr>
              <w:t>81.66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FF7F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C4EB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D9B04D">
            <w:pPr>
              <w:jc w:val="center"/>
            </w:pPr>
            <w:r>
              <w:rPr>
                <w:rFonts w:ascii="宋体" w:hAnsi="宋体" w:eastAsia="宋体"/>
                <w:sz w:val="16"/>
              </w:rPr>
              <w:t>—</w:t>
            </w:r>
          </w:p>
        </w:tc>
      </w:tr>
      <w:tr w14:paraId="2F50B98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FF85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7FABD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24BD47">
            <w:pPr>
              <w:jc w:val="center"/>
            </w:pPr>
            <w:r>
              <w:rPr>
                <w:rFonts w:ascii="宋体" w:hAnsi="宋体" w:eastAsia="宋体"/>
                <w:sz w:val="16"/>
              </w:rPr>
              <w:t>实际完成情况</w:t>
            </w:r>
          </w:p>
        </w:tc>
      </w:tr>
      <w:tr w14:paraId="196DDCA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E24FB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0FBB28">
            <w:pPr>
              <w:jc w:val="both"/>
            </w:pPr>
            <w:r>
              <w:rPr>
                <w:rFonts w:ascii="宋体" w:hAnsi="宋体" w:eastAsia="宋体"/>
                <w:sz w:val="16"/>
              </w:rPr>
              <w:t>1.把维护国家安全贯穿法院工作各方面全过程，严惩危害国家安全犯罪，坚决维护国家政治安全，全年受理案件数量不少于4500件。</w:t>
            </w:r>
            <w:r>
              <w:rPr>
                <w:rFonts w:ascii="宋体" w:hAnsi="宋体" w:eastAsia="宋体"/>
                <w:sz w:val="16"/>
              </w:rPr>
              <w:br w:type="textWrapping"/>
            </w:r>
            <w:r>
              <w:rPr>
                <w:rFonts w:ascii="宋体" w:hAnsi="宋体" w:eastAsia="宋体"/>
                <w:sz w:val="16"/>
              </w:rPr>
              <w:t>2.坚持以人民安全为宗旨，依法惩治各类违法犯罪，切实维护国家政治安全、社会稳定和人民安宁。全年案件办结率不低于90%。</w:t>
            </w:r>
            <w:r>
              <w:rPr>
                <w:rFonts w:ascii="宋体" w:hAnsi="宋体" w:eastAsia="宋体"/>
                <w:sz w:val="16"/>
              </w:rPr>
              <w:br w:type="textWrapping"/>
            </w:r>
            <w:r>
              <w:rPr>
                <w:rFonts w:ascii="宋体" w:hAnsi="宋体" w:eastAsia="宋体"/>
                <w:sz w:val="16"/>
              </w:rPr>
              <w:t>3.着力解决人民群众“急难愁盼”，依法办案、依规办案，守司法为民初心，担公正司法使命，让司法服务有力度、有是非、有温度。</w:t>
            </w:r>
            <w:r>
              <w:rPr>
                <w:rFonts w:ascii="宋体" w:hAnsi="宋体" w:eastAsia="宋体"/>
                <w:sz w:val="16"/>
              </w:rPr>
              <w:br w:type="textWrapping"/>
            </w:r>
            <w:r>
              <w:rPr>
                <w:rFonts w:ascii="宋体" w:hAnsi="宋体" w:eastAsia="宋体"/>
                <w:sz w:val="16"/>
              </w:rPr>
              <w:t>4.保障在职人员、聘用制书记员、退休人员等工资，支付社保、医疗，公积金等共2203.81万元。</w:t>
            </w:r>
            <w:r>
              <w:rPr>
                <w:rFonts w:ascii="宋体" w:hAnsi="宋体" w:eastAsia="宋体"/>
                <w:sz w:val="16"/>
              </w:rPr>
              <w:br w:type="textWrapping"/>
            </w:r>
            <w:r>
              <w:rPr>
                <w:rFonts w:ascii="宋体" w:hAnsi="宋体" w:eastAsia="宋体"/>
                <w:sz w:val="16"/>
              </w:rPr>
              <w:t>5.公用经费保障本院日常运行共93.95万元。</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A4CA2E">
            <w:pPr>
              <w:jc w:val="both"/>
            </w:pPr>
            <w:r>
              <w:rPr>
                <w:rFonts w:ascii="宋体" w:hAnsi="宋体" w:eastAsia="宋体"/>
                <w:sz w:val="16"/>
              </w:rPr>
              <w:t>全年共受理各类案件5490件，同比下降6.94%；审执结5155件，结案率93.90%，案件判决准确率100%，审判质效指标达标率100%，结合“三年质量提升”行动，已完成进入全区法院前30名的既定目标。</w:t>
            </w:r>
            <w:r>
              <w:rPr>
                <w:rFonts w:ascii="宋体" w:hAnsi="宋体" w:eastAsia="宋体"/>
                <w:sz w:val="16"/>
              </w:rPr>
              <w:br w:type="textWrapping"/>
            </w:r>
            <w:r>
              <w:rPr>
                <w:rFonts w:ascii="宋体" w:hAnsi="宋体" w:eastAsia="宋体"/>
                <w:sz w:val="16"/>
              </w:rPr>
              <w:t>理论武装更加扎实。严格落实“习近平总书记重要讲话和重要指示批示精神闭环管理机制”，认真落实“第一议题”制度，深入学习贯彻落实习近平总书记关于新疆工作重要讲话、重要指示批示精神。全年召开党组会议学习24次、党组理论学习中心组学习13次、支部理论学习144次，干警培训60人次。我们高举法治旗帜，严格依法</w:t>
            </w:r>
            <w:bookmarkStart w:id="0" w:name="_GoBack"/>
            <w:bookmarkEnd w:id="0"/>
            <w:r>
              <w:rPr>
                <w:rFonts w:ascii="宋体" w:hAnsi="宋体" w:eastAsia="宋体"/>
                <w:sz w:val="16"/>
              </w:rPr>
              <w:t>办案，有效发挥法治固根本、稳预期、利长远的作用，推动建设更高水平的平安阿克陶、法治阿克陶。全年共受理各类刑事案件234件，审结230件，审结率为98.30%。</w:t>
            </w:r>
            <w:r>
              <w:rPr>
                <w:rFonts w:ascii="宋体" w:hAnsi="宋体" w:eastAsia="宋体"/>
                <w:sz w:val="16"/>
              </w:rPr>
              <w:br w:type="textWrapping"/>
            </w:r>
            <w:r>
              <w:rPr>
                <w:rFonts w:ascii="宋体" w:hAnsi="宋体" w:eastAsia="宋体"/>
                <w:sz w:val="16"/>
              </w:rPr>
              <w:t>坚持法治是最好的营商环境，畅通涉企业类案件“最快一公里”，积极打造集约统一的一站式多元解纷和诉讼服务体系，全面畅通“线上+线下”一体化立案渠道，实现企业只进一个门、</w:t>
            </w:r>
            <w:r>
              <w:rPr>
                <w:rFonts w:hint="eastAsia" w:ascii="宋体" w:hAnsi="宋体"/>
                <w:sz w:val="16"/>
                <w:lang w:eastAsia="zh-CN"/>
              </w:rPr>
              <w:t>“最多跑一次”</w:t>
            </w:r>
            <w:r>
              <w:rPr>
                <w:rFonts w:ascii="宋体" w:hAnsi="宋体" w:eastAsia="宋体"/>
                <w:sz w:val="16"/>
              </w:rPr>
              <w:t>的目标。完善涉民营企业纠纷“绿色通道”，确保涉民营企业案件快立、快审、快执，及时、全面、有效维护涉企业合法权益，审结涉企案件866件，速裁、调解涉企案件581件。开展送法进乡村、进社区、进机关、进“巴扎”活动12场次，为百余家企业送法宣传，受众人数达1000余人次，为企业发展提供精准法律服务。</w:t>
            </w:r>
            <w:r>
              <w:rPr>
                <w:rFonts w:ascii="宋体" w:hAnsi="宋体" w:eastAsia="宋体"/>
                <w:sz w:val="16"/>
              </w:rPr>
              <w:br w:type="textWrapping"/>
            </w:r>
            <w:r>
              <w:rPr>
                <w:rFonts w:ascii="宋体" w:hAnsi="宋体" w:eastAsia="宋体"/>
                <w:sz w:val="16"/>
              </w:rPr>
              <w:t>我们坚持以人民为中心，用心用情办好暖民心、顺民意的案件和实事，努力让人民群众感受到公平正义就在身边。受理各类民商事案件3409件，审结3228件，结案率94.69%。受理执行案件1801件，执结1662件，执结率92.28%，执行到位金额7094.32万元。</w:t>
            </w:r>
          </w:p>
        </w:tc>
      </w:tr>
      <w:tr w14:paraId="004250E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3B2B6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7B0B8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C4DE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977118">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5BACE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C2DB2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61FF44">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C6943">
            <w:pPr>
              <w:jc w:val="center"/>
            </w:pPr>
            <w:r>
              <w:rPr>
                <w:rFonts w:ascii="宋体" w:hAnsi="宋体" w:eastAsia="宋体"/>
                <w:sz w:val="16"/>
              </w:rPr>
              <w:t>得分</w:t>
            </w:r>
          </w:p>
        </w:tc>
      </w:tr>
      <w:tr w14:paraId="2EB7061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B02A5">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66127">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C5E87">
            <w:pPr>
              <w:jc w:val="center"/>
            </w:pPr>
            <w:r>
              <w:rPr>
                <w:rFonts w:ascii="宋体" w:hAnsi="宋体" w:eastAsia="宋体"/>
                <w:sz w:val="16"/>
              </w:rPr>
              <w:t>案件判决准确率（%）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82690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8D91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EE08D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F43FC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4A46C">
            <w:pPr>
              <w:jc w:val="center"/>
            </w:pPr>
            <w:r>
              <w:rPr>
                <w:rFonts w:ascii="宋体" w:hAnsi="宋体" w:eastAsia="宋体"/>
                <w:sz w:val="16"/>
              </w:rPr>
              <w:t>20</w:t>
            </w:r>
          </w:p>
        </w:tc>
      </w:tr>
      <w:tr w14:paraId="4B8025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D5573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36FC2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D65154">
            <w:pPr>
              <w:jc w:val="center"/>
            </w:pPr>
            <w:r>
              <w:rPr>
                <w:rFonts w:ascii="宋体" w:hAnsi="宋体" w:eastAsia="宋体"/>
                <w:sz w:val="16"/>
              </w:rPr>
              <w:t>案件办结率（%）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5A7930">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111BD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AC1EE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E5E75">
            <w:pPr>
              <w:jc w:val="center"/>
            </w:pPr>
            <w:r>
              <w:rPr>
                <w:rFonts w:ascii="宋体" w:hAnsi="宋体" w:eastAsia="宋体"/>
                <w:sz w:val="16"/>
              </w:rPr>
              <w:t>93.9%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34ABE">
            <w:pPr>
              <w:jc w:val="center"/>
            </w:pPr>
            <w:r>
              <w:rPr>
                <w:rFonts w:ascii="宋体" w:hAnsi="宋体" w:eastAsia="宋体"/>
                <w:sz w:val="16"/>
              </w:rPr>
              <w:t>19.77</w:t>
            </w:r>
          </w:p>
        </w:tc>
      </w:tr>
      <w:tr w14:paraId="1C95529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A25C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0587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B2A55E">
            <w:pPr>
              <w:jc w:val="center"/>
            </w:pPr>
            <w:r>
              <w:rPr>
                <w:rFonts w:ascii="宋体" w:hAnsi="宋体" w:eastAsia="宋体"/>
                <w:sz w:val="16"/>
              </w:rPr>
              <w:t>法律宣传次数（次）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DB3E4">
            <w:pPr>
              <w:jc w:val="center"/>
            </w:pPr>
            <w:r>
              <w:rPr>
                <w:rFonts w:ascii="宋体" w:hAnsi="宋体" w:eastAsia="宋体"/>
                <w:sz w:val="16"/>
              </w:rPr>
              <w:t>&gt;=12次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3A8E9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4871A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EBFA18">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783AC8">
            <w:pPr>
              <w:jc w:val="center"/>
            </w:pPr>
            <w:r>
              <w:rPr>
                <w:rFonts w:ascii="宋体" w:hAnsi="宋体" w:eastAsia="宋体"/>
                <w:sz w:val="16"/>
              </w:rPr>
              <w:t>10</w:t>
            </w:r>
          </w:p>
        </w:tc>
      </w:tr>
      <w:tr w14:paraId="603B6CC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86EE5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ED9D1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EC5F7">
            <w:pPr>
              <w:jc w:val="center"/>
            </w:pPr>
            <w:r>
              <w:rPr>
                <w:rFonts w:ascii="宋体" w:hAnsi="宋体" w:eastAsia="宋体"/>
                <w:sz w:val="16"/>
              </w:rPr>
              <w:t>完成干警培训人次（次）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0BE09">
            <w:pPr>
              <w:jc w:val="center"/>
            </w:pPr>
            <w:r>
              <w:rPr>
                <w:rFonts w:ascii="宋体" w:hAnsi="宋体" w:eastAsia="宋体"/>
                <w:sz w:val="16"/>
              </w:rPr>
              <w:t>&gt;=60人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6B5E8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79F76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952A5D">
            <w:pPr>
              <w:jc w:val="center"/>
            </w:pPr>
            <w:r>
              <w:rPr>
                <w:rFonts w:ascii="宋体" w:hAnsi="宋体" w:eastAsia="宋体"/>
                <w:sz w:val="16"/>
              </w:rPr>
              <w:t>60人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6CF92D">
            <w:pPr>
              <w:jc w:val="center"/>
            </w:pPr>
            <w:r>
              <w:rPr>
                <w:rFonts w:ascii="宋体" w:hAnsi="宋体" w:eastAsia="宋体"/>
                <w:sz w:val="16"/>
              </w:rPr>
              <w:t>10</w:t>
            </w:r>
          </w:p>
        </w:tc>
      </w:tr>
      <w:tr w14:paraId="6A7E557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951AC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8571C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0CA46">
            <w:pPr>
              <w:jc w:val="center"/>
            </w:pPr>
            <w:r>
              <w:rPr>
                <w:rFonts w:ascii="宋体" w:hAnsi="宋体" w:eastAsia="宋体"/>
                <w:sz w:val="16"/>
              </w:rPr>
              <w:t>民事案件结案数（件）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8630E">
            <w:pPr>
              <w:jc w:val="center"/>
            </w:pPr>
            <w:r>
              <w:rPr>
                <w:rFonts w:ascii="宋体" w:hAnsi="宋体" w:eastAsia="宋体"/>
                <w:sz w:val="16"/>
              </w:rPr>
              <w:t>&gt;=3000件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1DFD1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A8712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72CF62">
            <w:pPr>
              <w:jc w:val="center"/>
            </w:pPr>
            <w:r>
              <w:rPr>
                <w:rFonts w:ascii="宋体" w:hAnsi="宋体" w:eastAsia="宋体"/>
                <w:sz w:val="16"/>
              </w:rPr>
              <w:t>3409件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2344B3">
            <w:pPr>
              <w:jc w:val="center"/>
            </w:pPr>
            <w:r>
              <w:rPr>
                <w:rFonts w:ascii="宋体" w:hAnsi="宋体" w:eastAsia="宋体"/>
                <w:sz w:val="16"/>
              </w:rPr>
              <w:t>10</w:t>
            </w:r>
          </w:p>
        </w:tc>
      </w:tr>
      <w:tr w14:paraId="7BF61DC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5D4F5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CD26F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448D6">
            <w:pPr>
              <w:jc w:val="center"/>
            </w:pPr>
            <w:r>
              <w:rPr>
                <w:rFonts w:ascii="宋体" w:hAnsi="宋体" w:eastAsia="宋体"/>
                <w:sz w:val="16"/>
              </w:rPr>
              <w:t>执行案件结案数（件）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D4E387">
            <w:pPr>
              <w:jc w:val="center"/>
            </w:pPr>
            <w:r>
              <w:rPr>
                <w:rFonts w:ascii="宋体" w:hAnsi="宋体" w:eastAsia="宋体"/>
                <w:sz w:val="16"/>
              </w:rPr>
              <w:t>&gt;=1500件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ABF5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20540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4423F2">
            <w:pPr>
              <w:jc w:val="center"/>
            </w:pPr>
            <w:r>
              <w:rPr>
                <w:rFonts w:ascii="宋体" w:hAnsi="宋体" w:eastAsia="宋体"/>
                <w:sz w:val="16"/>
              </w:rPr>
              <w:t>1801件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37A33">
            <w:pPr>
              <w:jc w:val="center"/>
            </w:pPr>
            <w:r>
              <w:rPr>
                <w:rFonts w:ascii="宋体" w:hAnsi="宋体" w:eastAsia="宋体"/>
                <w:sz w:val="16"/>
              </w:rPr>
              <w:t>10</w:t>
            </w:r>
          </w:p>
        </w:tc>
      </w:tr>
      <w:tr w14:paraId="3B3DCB8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737DA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2D872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560E0E">
            <w:pPr>
              <w:jc w:val="center"/>
            </w:pPr>
            <w:r>
              <w:rPr>
                <w:rFonts w:ascii="宋体" w:hAnsi="宋体" w:eastAsia="宋体"/>
                <w:sz w:val="16"/>
              </w:rPr>
              <w:t>刑事案件（件）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815CA4">
            <w:pPr>
              <w:jc w:val="center"/>
            </w:pPr>
            <w:r>
              <w:rPr>
                <w:rFonts w:ascii="宋体" w:hAnsi="宋体" w:eastAsia="宋体"/>
                <w:sz w:val="16"/>
              </w:rPr>
              <w:t>&gt;=250件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24C32">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6078D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3B028">
            <w:pPr>
              <w:jc w:val="center"/>
            </w:pPr>
            <w:r>
              <w:rPr>
                <w:rFonts w:ascii="宋体" w:hAnsi="宋体" w:eastAsia="宋体"/>
                <w:sz w:val="16"/>
              </w:rPr>
              <w:t>234件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19035">
            <w:pPr>
              <w:jc w:val="center"/>
            </w:pPr>
            <w:r>
              <w:rPr>
                <w:rFonts w:ascii="宋体" w:hAnsi="宋体" w:eastAsia="宋体"/>
                <w:sz w:val="16"/>
              </w:rPr>
              <w:t>9.36</w:t>
            </w:r>
          </w:p>
        </w:tc>
      </w:tr>
    </w:tbl>
    <w:p w14:paraId="62AB52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431C459">
        <w:tblPrEx>
          <w:tblCellMar>
            <w:top w:w="0" w:type="dxa"/>
            <w:left w:w="108" w:type="dxa"/>
            <w:bottom w:w="0" w:type="dxa"/>
            <w:right w:w="108" w:type="dxa"/>
          </w:tblCellMar>
        </w:tblPrEx>
        <w:tc>
          <w:tcPr>
            <w:tcW w:w="8848" w:type="dxa"/>
            <w:gridSpan w:val="14"/>
            <w:vAlign w:val="center"/>
          </w:tcPr>
          <w:p w14:paraId="7D075A45">
            <w:pPr>
              <w:jc w:val="center"/>
            </w:pPr>
            <w:r>
              <w:rPr>
                <w:rFonts w:ascii="宋体" w:hAnsi="宋体" w:eastAsia="宋体"/>
                <w:sz w:val="24"/>
              </w:rPr>
              <w:t>项目支出绩效自评表</w:t>
            </w:r>
          </w:p>
        </w:tc>
      </w:tr>
      <w:tr w14:paraId="69E5EDC8">
        <w:tblPrEx>
          <w:tblCellMar>
            <w:top w:w="0" w:type="dxa"/>
            <w:left w:w="108" w:type="dxa"/>
            <w:bottom w:w="0" w:type="dxa"/>
            <w:right w:w="108" w:type="dxa"/>
          </w:tblCellMar>
        </w:tblPrEx>
        <w:tc>
          <w:tcPr>
            <w:tcW w:w="8848" w:type="dxa"/>
            <w:gridSpan w:val="14"/>
            <w:vAlign w:val="center"/>
          </w:tcPr>
          <w:p w14:paraId="76AA0A99">
            <w:pPr>
              <w:jc w:val="center"/>
            </w:pPr>
            <w:r>
              <w:rPr>
                <w:rFonts w:ascii="宋体" w:hAnsi="宋体" w:eastAsia="宋体"/>
                <w:sz w:val="24"/>
              </w:rPr>
              <w:t>(2024年度)</w:t>
            </w:r>
          </w:p>
        </w:tc>
      </w:tr>
      <w:tr w14:paraId="0839AA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24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DB49FF">
            <w:pPr>
              <w:jc w:val="center"/>
            </w:pPr>
            <w:r>
              <w:rPr>
                <w:rFonts w:ascii="宋体" w:hAnsi="宋体" w:eastAsia="宋体"/>
                <w:sz w:val="16"/>
              </w:rPr>
              <w:t>2024年为民办实事</w:t>
            </w:r>
          </w:p>
        </w:tc>
      </w:tr>
      <w:tr w14:paraId="112C73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3D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63DBD">
            <w:pPr>
              <w:jc w:val="center"/>
            </w:pPr>
            <w:r>
              <w:rPr>
                <w:rFonts w:ascii="宋体" w:hAnsi="宋体" w:eastAsia="宋体"/>
                <w:sz w:val="16"/>
              </w:rPr>
              <w:t>克州中级人民法院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8F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1E55F4">
            <w:pPr>
              <w:jc w:val="center"/>
            </w:pPr>
            <w:r>
              <w:rPr>
                <w:rFonts w:ascii="宋体" w:hAnsi="宋体" w:eastAsia="宋体"/>
                <w:sz w:val="16"/>
              </w:rPr>
              <w:t>阿克陶县人民法院</w:t>
            </w:r>
          </w:p>
        </w:tc>
      </w:tr>
      <w:tr w14:paraId="3C6345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7767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1E8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CA8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845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519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0A8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765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5996">
            <w:pPr>
              <w:jc w:val="center"/>
            </w:pPr>
            <w:r>
              <w:rPr>
                <w:rFonts w:ascii="宋体" w:hAnsi="宋体" w:eastAsia="宋体"/>
                <w:sz w:val="16"/>
              </w:rPr>
              <w:t>得分</w:t>
            </w:r>
          </w:p>
        </w:tc>
      </w:tr>
      <w:tr w14:paraId="241E1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B5A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67A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E932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D7E4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8AEE4">
            <w:pPr>
              <w:jc w:val="center"/>
            </w:pPr>
            <w:r>
              <w:rPr>
                <w:rFonts w:ascii="宋体" w:hAnsi="宋体" w:eastAsia="宋体"/>
                <w:sz w:val="16"/>
              </w:rPr>
              <w:t>16.59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216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B69C8">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3428">
            <w:pPr>
              <w:jc w:val="center"/>
            </w:pPr>
            <w:r>
              <w:rPr>
                <w:rFonts w:ascii="宋体" w:hAnsi="宋体" w:eastAsia="宋体"/>
                <w:sz w:val="16"/>
              </w:rPr>
              <w:t>9.40分</w:t>
            </w:r>
          </w:p>
        </w:tc>
      </w:tr>
      <w:tr w14:paraId="46D91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236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552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D141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CC33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82582">
            <w:pPr>
              <w:jc w:val="center"/>
            </w:pPr>
            <w:r>
              <w:rPr>
                <w:rFonts w:ascii="宋体" w:hAnsi="宋体" w:eastAsia="宋体"/>
                <w:sz w:val="16"/>
              </w:rPr>
              <w:t>16.59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27A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412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3DE3">
            <w:pPr>
              <w:jc w:val="center"/>
            </w:pPr>
            <w:r>
              <w:rPr>
                <w:rFonts w:ascii="宋体" w:hAnsi="宋体" w:eastAsia="宋体"/>
                <w:sz w:val="16"/>
              </w:rPr>
              <w:t>—</w:t>
            </w:r>
          </w:p>
        </w:tc>
      </w:tr>
      <w:tr w14:paraId="213EC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1C4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776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3DE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390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0B6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CAF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19D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ABCC">
            <w:pPr>
              <w:jc w:val="center"/>
            </w:pPr>
            <w:r>
              <w:rPr>
                <w:rFonts w:ascii="宋体" w:hAnsi="宋体" w:eastAsia="宋体"/>
                <w:sz w:val="16"/>
              </w:rPr>
              <w:t>—</w:t>
            </w:r>
          </w:p>
        </w:tc>
      </w:tr>
      <w:tr w14:paraId="61A07E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1D7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B935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79F32C">
            <w:pPr>
              <w:jc w:val="center"/>
            </w:pPr>
            <w:r>
              <w:rPr>
                <w:rFonts w:ascii="宋体" w:hAnsi="宋体" w:eastAsia="宋体"/>
                <w:sz w:val="16"/>
              </w:rPr>
              <w:t>实际完成情况</w:t>
            </w:r>
          </w:p>
        </w:tc>
      </w:tr>
      <w:tr w14:paraId="27885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E82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67C37">
            <w:pPr>
              <w:jc w:val="both"/>
            </w:pPr>
            <w:r>
              <w:rPr>
                <w:rFonts w:ascii="宋体" w:hAnsi="宋体" w:eastAsia="宋体"/>
                <w:sz w:val="16"/>
              </w:rPr>
              <w:t>项目资金17万元，其中：财政资金17万元。其中：项目资金7.49万元，主要用于办实事好事方面，开展维护桥洞、房屋等。项目资金1万元，用于关心关爱困难群众,提高幸福指数。项目资金8.51万元，解决村级加强基层党组织建设，村级运转经费。开展宣传教育、文体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8713E6">
            <w:pPr>
              <w:jc w:val="both"/>
            </w:pPr>
            <w:r>
              <w:rPr>
                <w:rFonts w:ascii="宋体" w:hAnsi="宋体" w:eastAsia="宋体"/>
                <w:sz w:val="16"/>
              </w:rPr>
              <w:t>对困难群众房屋维修，和桥洞的维护共支出了7.49万元，为老百姓送温暖购煤支出9500万元，开展宣传教育、文艺活动发放奖励及慰问品等</w:t>
            </w:r>
          </w:p>
        </w:tc>
      </w:tr>
      <w:tr w14:paraId="7DC91B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D20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F6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E0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46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DD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0D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933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E4B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A8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5B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0EA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6F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CAD2B">
            <w:pPr>
              <w:jc w:val="center"/>
            </w:pPr>
            <w:r>
              <w:rPr>
                <w:rFonts w:ascii="宋体" w:hAnsi="宋体" w:eastAsia="宋体"/>
                <w:sz w:val="16"/>
              </w:rPr>
              <w:t>偏差原因分析及改进措施</w:t>
            </w:r>
          </w:p>
        </w:tc>
      </w:tr>
      <w:tr w14:paraId="335955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384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FB5D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021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8EE2">
            <w:pPr>
              <w:jc w:val="center"/>
            </w:pPr>
            <w:r>
              <w:rPr>
                <w:rFonts w:ascii="宋体" w:hAnsi="宋体" w:eastAsia="宋体"/>
                <w:sz w:val="16"/>
              </w:rPr>
              <w:t>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7B5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0E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C8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13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28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E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B92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E4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48F73">
            <w:pPr>
              <w:jc w:val="center"/>
            </w:pPr>
          </w:p>
        </w:tc>
      </w:tr>
      <w:tr w14:paraId="47EDC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C87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0D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7D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5EF5">
            <w:pPr>
              <w:jc w:val="center"/>
            </w:pPr>
            <w:r>
              <w:rPr>
                <w:rFonts w:ascii="宋体" w:hAnsi="宋体" w:eastAsia="宋体"/>
                <w:sz w:val="16"/>
              </w:rPr>
              <w:t>房屋、桥洞维护维修（次）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62C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82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D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D1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62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73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178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98F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57CB5">
            <w:pPr>
              <w:jc w:val="center"/>
            </w:pPr>
          </w:p>
        </w:tc>
      </w:tr>
      <w:tr w14:paraId="65898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D1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4A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3A3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DE22">
            <w:pPr>
              <w:jc w:val="center"/>
            </w:pPr>
            <w:r>
              <w:rPr>
                <w:rFonts w:ascii="宋体" w:hAnsi="宋体" w:eastAsia="宋体"/>
                <w:sz w:val="16"/>
              </w:rPr>
              <w:t>慰问困难群众(次)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C3C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08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39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A1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20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81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7D2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CA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0137A">
            <w:pPr>
              <w:jc w:val="center"/>
            </w:pPr>
          </w:p>
        </w:tc>
      </w:tr>
      <w:tr w14:paraId="5A01A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0FD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FAA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04E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596A">
            <w:pPr>
              <w:jc w:val="center"/>
            </w:pPr>
            <w:r>
              <w:rPr>
                <w:rFonts w:ascii="宋体" w:hAnsi="宋体" w:eastAsia="宋体"/>
                <w:sz w:val="16"/>
              </w:rPr>
              <w:t>活动举办成功率（%）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998A">
            <w:pPr>
              <w:jc w:val="center"/>
            </w:pPr>
            <w:r>
              <w:rPr>
                <w:rFonts w:hint="eastAsia" w:ascii="宋体" w:hAnsi="宋体"/>
                <w:sz w:val="16"/>
                <w:lang w:eastAsia="zh-CN"/>
              </w:rPr>
              <w:t>=</w:t>
            </w: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1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42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56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4A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F1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5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0B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FF116">
            <w:pPr>
              <w:jc w:val="center"/>
            </w:pPr>
          </w:p>
        </w:tc>
      </w:tr>
      <w:tr w14:paraId="3B051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37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AB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90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F2A1">
            <w:pPr>
              <w:jc w:val="center"/>
            </w:pPr>
            <w:r>
              <w:rPr>
                <w:rFonts w:ascii="宋体" w:hAnsi="宋体" w:eastAsia="宋体"/>
                <w:sz w:val="16"/>
              </w:rPr>
              <w:t>维护维修验收合格率（%）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6F9D">
            <w:pPr>
              <w:jc w:val="center"/>
            </w:pPr>
            <w:r>
              <w:rPr>
                <w:rFonts w:hint="eastAsia" w:ascii="宋体" w:hAnsi="宋体"/>
                <w:sz w:val="16"/>
                <w:lang w:eastAsia="zh-CN"/>
              </w:rPr>
              <w:t>=</w:t>
            </w: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4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46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33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42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7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4B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E7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5AC1E">
            <w:pPr>
              <w:jc w:val="center"/>
            </w:pPr>
          </w:p>
        </w:tc>
      </w:tr>
      <w:tr w14:paraId="7006D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D9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1A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8BF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ECCD">
            <w:pPr>
              <w:jc w:val="center"/>
            </w:pPr>
            <w:r>
              <w:rPr>
                <w:rFonts w:ascii="宋体" w:hAnsi="宋体" w:eastAsia="宋体"/>
                <w:sz w:val="16"/>
              </w:rPr>
              <w:t>慰问品验收合格率(%)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3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11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C8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5A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5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9A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B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55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A3601">
            <w:pPr>
              <w:jc w:val="center"/>
            </w:pPr>
          </w:p>
        </w:tc>
      </w:tr>
      <w:tr w14:paraId="69472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61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88B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DC5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145C">
            <w:pPr>
              <w:jc w:val="center"/>
            </w:pPr>
            <w:r>
              <w:rPr>
                <w:rFonts w:ascii="宋体" w:hAnsi="宋体" w:eastAsia="宋体"/>
                <w:sz w:val="16"/>
              </w:rPr>
              <w:t>活动奖励发放及时率（%）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304F">
            <w:pPr>
              <w:jc w:val="center"/>
            </w:pPr>
            <w:r>
              <w:rPr>
                <w:rFonts w:hint="eastAsia" w:ascii="宋体" w:hAnsi="宋体"/>
                <w:sz w:val="16"/>
                <w:lang w:eastAsia="zh-CN"/>
              </w:rPr>
              <w:t>=</w:t>
            </w: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C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C6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28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C6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C1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4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DE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3FE20">
            <w:pPr>
              <w:jc w:val="center"/>
            </w:pPr>
          </w:p>
        </w:tc>
      </w:tr>
      <w:tr w14:paraId="639FC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3B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409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CB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F78C">
            <w:pPr>
              <w:jc w:val="center"/>
            </w:pPr>
            <w:r>
              <w:rPr>
                <w:rFonts w:ascii="宋体" w:hAnsi="宋体" w:eastAsia="宋体"/>
                <w:sz w:val="16"/>
              </w:rPr>
              <w:t>慰问品发放及时率(%)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4B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1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BD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85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B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1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E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4C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391F3">
            <w:pPr>
              <w:jc w:val="center"/>
            </w:pPr>
          </w:p>
        </w:tc>
      </w:tr>
      <w:tr w14:paraId="762FD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19F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5D6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62D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3F96">
            <w:pPr>
              <w:jc w:val="center"/>
            </w:pPr>
            <w:r>
              <w:rPr>
                <w:rFonts w:ascii="宋体" w:hAnsi="宋体" w:eastAsia="宋体"/>
                <w:sz w:val="16"/>
              </w:rPr>
              <w:t>活动奖品支出（万元）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EB0D">
            <w:pPr>
              <w:jc w:val="center"/>
            </w:pPr>
            <w:r>
              <w:rPr>
                <w:rFonts w:ascii="宋体" w:hAnsi="宋体" w:eastAsia="宋体"/>
                <w:sz w:val="16"/>
              </w:rPr>
              <w:t>&lt;=8.51万元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EC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DE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C2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D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B7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618A">
            <w:pPr>
              <w:jc w:val="center"/>
            </w:pPr>
            <w:r>
              <w:rPr>
                <w:rFonts w:ascii="宋体" w:hAnsi="宋体" w:eastAsia="宋体"/>
                <w:sz w:val="16"/>
              </w:rPr>
              <w:t>=8.1万元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695F">
            <w:pPr>
              <w:jc w:val="center"/>
            </w:pPr>
            <w:r>
              <w:rPr>
                <w:rFonts w:ascii="宋体" w:hAnsi="宋体" w:eastAsia="宋体"/>
                <w:sz w:val="16"/>
              </w:rPr>
              <w:t>6.16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397AF">
            <w:pPr>
              <w:jc w:val="center"/>
            </w:pPr>
            <w:r>
              <w:rPr>
                <w:rFonts w:ascii="宋体" w:hAnsi="宋体" w:eastAsia="宋体"/>
                <w:sz w:val="16"/>
              </w:rPr>
              <w:t>未完成原因：供应商提供</w:t>
            </w:r>
            <w:r>
              <w:rPr>
                <w:rFonts w:hint="eastAsia" w:ascii="宋体" w:hAnsi="宋体"/>
                <w:sz w:val="16"/>
                <w:lang w:eastAsia="zh-CN"/>
              </w:rPr>
              <w:t>票据</w:t>
            </w:r>
            <w:r>
              <w:rPr>
                <w:rFonts w:ascii="宋体" w:hAnsi="宋体" w:eastAsia="宋体"/>
                <w:sz w:val="16"/>
              </w:rPr>
              <w:t>不及时；改进措施：加快票据审核</w:t>
            </w:r>
          </w:p>
        </w:tc>
      </w:tr>
      <w:tr w14:paraId="4ADB6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9B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86E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B2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63DC">
            <w:pPr>
              <w:jc w:val="center"/>
            </w:pPr>
            <w:r>
              <w:rPr>
                <w:rFonts w:ascii="宋体" w:hAnsi="宋体" w:eastAsia="宋体"/>
                <w:sz w:val="16"/>
              </w:rPr>
              <w:t>维护维修支出（万元）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53B7">
            <w:pPr>
              <w:jc w:val="center"/>
            </w:pPr>
            <w:r>
              <w:rPr>
                <w:rFonts w:ascii="宋体" w:hAnsi="宋体" w:eastAsia="宋体"/>
                <w:sz w:val="16"/>
              </w:rPr>
              <w:t>&lt;=7.49万元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45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9F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63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EA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73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3F19">
            <w:pPr>
              <w:jc w:val="center"/>
            </w:pPr>
            <w:r>
              <w:rPr>
                <w:rFonts w:ascii="宋体" w:hAnsi="宋体" w:eastAsia="宋体"/>
                <w:sz w:val="16"/>
              </w:rPr>
              <w:t>=7.49万元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730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A3D13">
            <w:pPr>
              <w:jc w:val="center"/>
            </w:pPr>
          </w:p>
        </w:tc>
      </w:tr>
      <w:tr w14:paraId="20273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60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D0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61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9CBD">
            <w:pPr>
              <w:jc w:val="center"/>
            </w:pPr>
            <w:r>
              <w:rPr>
                <w:rFonts w:ascii="宋体" w:hAnsi="宋体" w:eastAsia="宋体"/>
                <w:sz w:val="16"/>
              </w:rPr>
              <w:t>慰问困难群众发放煤((万元)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CDF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25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90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4C6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E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E3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CAE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832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B3D83">
            <w:pPr>
              <w:jc w:val="center"/>
            </w:pPr>
          </w:p>
        </w:tc>
      </w:tr>
      <w:tr w14:paraId="588F9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57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17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77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77D7">
            <w:pPr>
              <w:jc w:val="center"/>
            </w:pPr>
            <w:r>
              <w:rPr>
                <w:rFonts w:ascii="宋体" w:hAnsi="宋体" w:eastAsia="宋体"/>
                <w:sz w:val="16"/>
              </w:rPr>
              <w:t>促进乡村振兴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194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BC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DF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ED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CD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FE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1BF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6C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A5A7F">
            <w:pPr>
              <w:jc w:val="center"/>
            </w:pPr>
          </w:p>
        </w:tc>
      </w:tr>
      <w:tr w14:paraId="01B14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C7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5C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2D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7D7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53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51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09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9B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F0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27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E1F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A0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A3669">
            <w:pPr>
              <w:jc w:val="center"/>
            </w:pPr>
          </w:p>
        </w:tc>
      </w:tr>
      <w:tr w14:paraId="4D8EEA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E79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858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AEC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C512EC">
            <w:pPr>
              <w:jc w:val="center"/>
            </w:pPr>
            <w:r>
              <w:rPr>
                <w:rFonts w:ascii="宋体" w:hAnsi="宋体" w:eastAsia="宋体"/>
                <w:sz w:val="16"/>
              </w:rPr>
              <w:t>98.56分</w:t>
            </w:r>
          </w:p>
        </w:tc>
      </w:tr>
    </w:tbl>
    <w:p w14:paraId="5301EE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87D5DF4">
        <w:tblPrEx>
          <w:tblCellMar>
            <w:top w:w="0" w:type="dxa"/>
            <w:left w:w="108" w:type="dxa"/>
            <w:bottom w:w="0" w:type="dxa"/>
            <w:right w:w="108" w:type="dxa"/>
          </w:tblCellMar>
        </w:tblPrEx>
        <w:tc>
          <w:tcPr>
            <w:tcW w:w="8848" w:type="dxa"/>
            <w:gridSpan w:val="14"/>
            <w:vAlign w:val="center"/>
          </w:tcPr>
          <w:p w14:paraId="21761517">
            <w:pPr>
              <w:jc w:val="center"/>
            </w:pPr>
            <w:r>
              <w:rPr>
                <w:rFonts w:ascii="宋体" w:hAnsi="宋体" w:eastAsia="宋体"/>
                <w:sz w:val="24"/>
              </w:rPr>
              <w:t>项目支出绩效自评表</w:t>
            </w:r>
          </w:p>
        </w:tc>
      </w:tr>
      <w:tr w14:paraId="606CD59A">
        <w:tblPrEx>
          <w:tblCellMar>
            <w:top w:w="0" w:type="dxa"/>
            <w:left w:w="108" w:type="dxa"/>
            <w:bottom w:w="0" w:type="dxa"/>
            <w:right w:w="108" w:type="dxa"/>
          </w:tblCellMar>
        </w:tblPrEx>
        <w:tc>
          <w:tcPr>
            <w:tcW w:w="8848" w:type="dxa"/>
            <w:gridSpan w:val="14"/>
            <w:vAlign w:val="center"/>
          </w:tcPr>
          <w:p w14:paraId="5A392676">
            <w:pPr>
              <w:jc w:val="center"/>
            </w:pPr>
            <w:r>
              <w:rPr>
                <w:rFonts w:ascii="宋体" w:hAnsi="宋体" w:eastAsia="宋体"/>
                <w:sz w:val="24"/>
              </w:rPr>
              <w:t>(2024年度)</w:t>
            </w:r>
          </w:p>
        </w:tc>
      </w:tr>
      <w:tr w14:paraId="7D7ADC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24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F86FC8">
            <w:pPr>
              <w:jc w:val="center"/>
            </w:pPr>
            <w:r>
              <w:rPr>
                <w:rFonts w:ascii="宋体" w:hAnsi="宋体" w:eastAsia="宋体"/>
                <w:sz w:val="16"/>
              </w:rPr>
              <w:t>援疆资金</w:t>
            </w:r>
          </w:p>
        </w:tc>
      </w:tr>
      <w:tr w14:paraId="29FAF1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6A3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F53677">
            <w:pPr>
              <w:jc w:val="center"/>
            </w:pPr>
            <w:r>
              <w:rPr>
                <w:rFonts w:ascii="宋体" w:hAnsi="宋体" w:eastAsia="宋体"/>
                <w:sz w:val="16"/>
              </w:rPr>
              <w:t>克州中级人民法院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53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54395A">
            <w:pPr>
              <w:jc w:val="center"/>
            </w:pPr>
            <w:r>
              <w:rPr>
                <w:rFonts w:ascii="宋体" w:hAnsi="宋体" w:eastAsia="宋体"/>
                <w:sz w:val="16"/>
              </w:rPr>
              <w:t>阿克陶县人民法院</w:t>
            </w:r>
          </w:p>
        </w:tc>
      </w:tr>
      <w:tr w14:paraId="1741A7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21C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450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3D3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4D5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9F1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17D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104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A270">
            <w:pPr>
              <w:jc w:val="center"/>
            </w:pPr>
            <w:r>
              <w:rPr>
                <w:rFonts w:ascii="宋体" w:hAnsi="宋体" w:eastAsia="宋体"/>
                <w:sz w:val="16"/>
              </w:rPr>
              <w:t>得分</w:t>
            </w:r>
          </w:p>
        </w:tc>
      </w:tr>
      <w:tr w14:paraId="0213A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8F6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01B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A7FB0">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D15A5">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207A6">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15D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C133D">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915B">
            <w:pPr>
              <w:jc w:val="center"/>
            </w:pPr>
            <w:r>
              <w:rPr>
                <w:rFonts w:ascii="宋体" w:hAnsi="宋体" w:eastAsia="宋体"/>
                <w:sz w:val="16"/>
              </w:rPr>
              <w:t>0.00分</w:t>
            </w:r>
          </w:p>
        </w:tc>
      </w:tr>
      <w:tr w14:paraId="3F213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ABF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D22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F6D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494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629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958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998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AB10">
            <w:pPr>
              <w:jc w:val="center"/>
            </w:pPr>
            <w:r>
              <w:rPr>
                <w:rFonts w:ascii="宋体" w:hAnsi="宋体" w:eastAsia="宋体"/>
                <w:sz w:val="16"/>
              </w:rPr>
              <w:t>—</w:t>
            </w:r>
          </w:p>
        </w:tc>
      </w:tr>
      <w:tr w14:paraId="2C6DE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901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56A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09C84">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FD3D5">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7AB6A">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415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9E2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48FC">
            <w:pPr>
              <w:jc w:val="center"/>
            </w:pPr>
            <w:r>
              <w:rPr>
                <w:rFonts w:ascii="宋体" w:hAnsi="宋体" w:eastAsia="宋体"/>
                <w:sz w:val="16"/>
              </w:rPr>
              <w:t>—</w:t>
            </w:r>
          </w:p>
        </w:tc>
      </w:tr>
      <w:tr w14:paraId="552A48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8F39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918B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C45A3C">
            <w:pPr>
              <w:jc w:val="center"/>
            </w:pPr>
            <w:r>
              <w:rPr>
                <w:rFonts w:ascii="宋体" w:hAnsi="宋体" w:eastAsia="宋体"/>
                <w:sz w:val="16"/>
              </w:rPr>
              <w:t>实际完成情况</w:t>
            </w:r>
          </w:p>
        </w:tc>
      </w:tr>
      <w:tr w14:paraId="68C74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72A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C87E6">
            <w:pPr>
              <w:jc w:val="both"/>
            </w:pPr>
            <w:r>
              <w:rPr>
                <w:rFonts w:ascii="宋体" w:hAnsi="宋体" w:eastAsia="宋体"/>
                <w:sz w:val="16"/>
              </w:rPr>
              <w:t>该项目总投资150万元，其中：财政资金0万元，其他资金150万元，主要用于维修单位和法庭办公楼等、办公设备购置、江西援疆干部周转房租赁费、食堂开支费用，有利于持续深化法院业务、干部人才、教育培训、法院文化、信息科技和资金项目“六位一体”援助格局，坚持统筹推进，优化援助，通过该项目达到推动双赢共赢，不断加强赣疆两地交融，大力支持阿克陶法院事业发展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BEC46E">
            <w:pPr>
              <w:jc w:val="both"/>
            </w:pPr>
            <w:r>
              <w:rPr>
                <w:rFonts w:ascii="宋体" w:hAnsi="宋体" w:eastAsia="宋体"/>
                <w:sz w:val="16"/>
              </w:rPr>
              <w:t>截至2024年12月31日，保障食堂数量1个，为了关心关爱干部，提高干部生活水平，食堂开支3.13万元；通过该项目达到推动双赢共赢，不断加强赣疆两地交融，大力支持阿克陶法院事业发展效果。</w:t>
            </w:r>
          </w:p>
        </w:tc>
      </w:tr>
      <w:tr w14:paraId="4C10BB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DF37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4F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FF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60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E13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05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C2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38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4F1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9E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366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435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3D344">
            <w:pPr>
              <w:jc w:val="center"/>
            </w:pPr>
            <w:r>
              <w:rPr>
                <w:rFonts w:ascii="宋体" w:hAnsi="宋体" w:eastAsia="宋体"/>
                <w:sz w:val="16"/>
              </w:rPr>
              <w:t>偏差原因分析及改进措施</w:t>
            </w:r>
          </w:p>
        </w:tc>
      </w:tr>
      <w:tr w14:paraId="0123F8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7AD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58C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D12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55A9">
            <w:pPr>
              <w:jc w:val="center"/>
            </w:pPr>
            <w:r>
              <w:rPr>
                <w:rFonts w:ascii="宋体" w:hAnsi="宋体" w:eastAsia="宋体"/>
                <w:sz w:val="16"/>
              </w:rPr>
              <w:t>保障人数(人)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0DEB">
            <w:pPr>
              <w:jc w:val="center"/>
            </w:pPr>
            <w:r>
              <w:rPr>
                <w:rFonts w:ascii="宋体" w:hAnsi="宋体" w:eastAsia="宋体"/>
                <w:sz w:val="16"/>
              </w:rPr>
              <w:t>=107人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6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1B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CC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C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05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2275">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852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1E43C">
            <w:pPr>
              <w:jc w:val="center"/>
            </w:pPr>
            <w:r>
              <w:rPr>
                <w:rFonts w:ascii="宋体" w:hAnsi="宋体" w:eastAsia="宋体"/>
                <w:sz w:val="16"/>
              </w:rPr>
              <w:t>偏差原因：援疆资金未拨付到位，未支付保证人数。改进措施：加强预算管理，及时对接援疆省市，了解援疆拨款及时率。</w:t>
            </w:r>
          </w:p>
        </w:tc>
      </w:tr>
      <w:tr w14:paraId="3205B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7C3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2B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74A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5D41">
            <w:pPr>
              <w:jc w:val="center"/>
            </w:pPr>
            <w:r>
              <w:rPr>
                <w:rFonts w:ascii="宋体" w:hAnsi="宋体" w:eastAsia="宋体"/>
                <w:sz w:val="16"/>
              </w:rPr>
              <w:t>支持单位办案数量（件）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2614">
            <w:pPr>
              <w:jc w:val="center"/>
            </w:pPr>
            <w:r>
              <w:rPr>
                <w:rFonts w:ascii="宋体" w:hAnsi="宋体" w:eastAsia="宋体"/>
                <w:sz w:val="16"/>
              </w:rPr>
              <w:t>&gt;=1500件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2A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1A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05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5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9D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C707">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FC9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46118">
            <w:pPr>
              <w:jc w:val="center"/>
            </w:pPr>
            <w:r>
              <w:rPr>
                <w:rFonts w:ascii="宋体" w:hAnsi="宋体" w:eastAsia="宋体"/>
                <w:sz w:val="16"/>
              </w:rPr>
              <w:t>偏差原因：援疆资金未拨付到位，未保障单位办案数量。改进措施：加强预算管理，及时对接援疆省市，了解援疆拨款及时率。</w:t>
            </w:r>
          </w:p>
        </w:tc>
      </w:tr>
      <w:tr w14:paraId="67118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F93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95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C94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32E3">
            <w:pPr>
              <w:jc w:val="center"/>
            </w:pPr>
            <w:r>
              <w:rPr>
                <w:rFonts w:ascii="宋体" w:hAnsi="宋体" w:eastAsia="宋体"/>
                <w:sz w:val="16"/>
              </w:rPr>
              <w:t>保障食堂数量（个）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80B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2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E2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F5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02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69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8D2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C70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F08C6">
            <w:pPr>
              <w:jc w:val="center"/>
            </w:pPr>
            <w:r>
              <w:rPr>
                <w:rFonts w:ascii="宋体" w:hAnsi="宋体" w:eastAsia="宋体"/>
                <w:sz w:val="16"/>
              </w:rPr>
              <w:t>偏差原因：援疆资金未拨付到位，无法保障单位食堂。改进措施：加强预算管理，及时对接援疆省市，了解援疆拨款及时率。</w:t>
            </w:r>
          </w:p>
        </w:tc>
      </w:tr>
      <w:tr w14:paraId="5F6C8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2B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8B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7F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E240">
            <w:pPr>
              <w:jc w:val="center"/>
            </w:pPr>
            <w:r>
              <w:rPr>
                <w:rFonts w:ascii="宋体" w:hAnsi="宋体" w:eastAsia="宋体"/>
                <w:sz w:val="16"/>
              </w:rPr>
              <w:t>维修工程完成合格率（%）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52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90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6A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21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E4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4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3E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1E0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660D1">
            <w:pPr>
              <w:jc w:val="center"/>
            </w:pPr>
            <w:r>
              <w:rPr>
                <w:rFonts w:ascii="宋体" w:hAnsi="宋体" w:eastAsia="宋体"/>
                <w:sz w:val="16"/>
              </w:rPr>
              <w:t>偏差原因：援疆资金未拨付到位，未支付维修工程款。改进措施：加强预算管理，及时对接援疆省市，了解援疆拨款及时率。</w:t>
            </w:r>
          </w:p>
        </w:tc>
      </w:tr>
      <w:tr w14:paraId="493B0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C7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948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57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B615">
            <w:pPr>
              <w:jc w:val="center"/>
            </w:pPr>
            <w:r>
              <w:rPr>
                <w:rFonts w:ascii="宋体" w:hAnsi="宋体" w:eastAsia="宋体"/>
                <w:sz w:val="16"/>
              </w:rPr>
              <w:t>维修工程完成及时率（%）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35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2B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87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AF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09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2C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42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DFA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4A548">
            <w:pPr>
              <w:jc w:val="center"/>
            </w:pPr>
            <w:r>
              <w:rPr>
                <w:rFonts w:ascii="宋体" w:hAnsi="宋体" w:eastAsia="宋体"/>
                <w:sz w:val="16"/>
              </w:rPr>
              <w:t>偏差原因：援疆资金未拨付到位，未支付维修工程款。改进措施：加强预算管理，及时对接援疆省市，了解援疆拨款及时率。</w:t>
            </w:r>
          </w:p>
        </w:tc>
      </w:tr>
      <w:tr w14:paraId="224D8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A6D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9EC3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B78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39AB">
            <w:pPr>
              <w:jc w:val="center"/>
            </w:pPr>
            <w:r>
              <w:rPr>
                <w:rFonts w:ascii="宋体" w:hAnsi="宋体" w:eastAsia="宋体"/>
                <w:sz w:val="16"/>
              </w:rPr>
              <w:t>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E37C">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E0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54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5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5A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1B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F74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6D5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BF97D">
            <w:pPr>
              <w:jc w:val="center"/>
            </w:pPr>
            <w:r>
              <w:rPr>
                <w:rFonts w:ascii="宋体" w:hAnsi="宋体" w:eastAsia="宋体"/>
                <w:sz w:val="16"/>
              </w:rPr>
              <w:t>偏差原因：援疆资金未拨付到位，无法保障单位日常维修。改进措施：加强预算管理，及时对接援疆省市，了解援疆拨款及时率。</w:t>
            </w:r>
          </w:p>
        </w:tc>
      </w:tr>
      <w:tr w14:paraId="67B1D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B0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5A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FB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EBD1">
            <w:pPr>
              <w:jc w:val="center"/>
            </w:pPr>
            <w:r>
              <w:rPr>
                <w:rFonts w:ascii="宋体" w:hAnsi="宋体" w:eastAsia="宋体"/>
                <w:sz w:val="16"/>
              </w:rPr>
              <w:t>食堂费用（万元）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38E1">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4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7F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E6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2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79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8165">
            <w:pPr>
              <w:jc w:val="center"/>
            </w:pPr>
            <w:r>
              <w:rPr>
                <w:rFonts w:ascii="宋体" w:hAnsi="宋体" w:eastAsia="宋体"/>
                <w:sz w:val="16"/>
              </w:rPr>
              <w:t>=3.13万元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DAD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6A896">
            <w:pPr>
              <w:jc w:val="center"/>
            </w:pPr>
            <w:r>
              <w:rPr>
                <w:rFonts w:ascii="宋体" w:hAnsi="宋体" w:eastAsia="宋体"/>
                <w:sz w:val="16"/>
              </w:rPr>
              <w:t>偏差原因：因错误支出援疆资金款项，导致出现偏差率。改进措施：认真做好支出审核票据，避免错误支出。改进措施：认真核对支出细目，了解预算情况，做到心中有数。</w:t>
            </w:r>
          </w:p>
        </w:tc>
      </w:tr>
      <w:tr w14:paraId="36732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F2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47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DCC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C736">
            <w:pPr>
              <w:jc w:val="center"/>
            </w:pPr>
            <w:r>
              <w:rPr>
                <w:rFonts w:ascii="宋体" w:hAnsi="宋体" w:eastAsia="宋体"/>
                <w:sz w:val="16"/>
              </w:rPr>
              <w:t>设备购置费（万元）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D6D0">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B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F8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29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4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FF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355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50F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7A5D5">
            <w:pPr>
              <w:jc w:val="center"/>
            </w:pPr>
            <w:r>
              <w:rPr>
                <w:rFonts w:ascii="宋体" w:hAnsi="宋体" w:eastAsia="宋体"/>
                <w:sz w:val="16"/>
              </w:rPr>
              <w:t>偏差原因：援疆资金未拨付到位，未支付购置费。改进措施：加强预算管理，及时对接援疆省市，了解援疆拨款及时率。</w:t>
            </w:r>
          </w:p>
        </w:tc>
      </w:tr>
      <w:tr w14:paraId="07DAA8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600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A888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735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A850">
            <w:pPr>
              <w:jc w:val="center"/>
            </w:pPr>
            <w:r>
              <w:rPr>
                <w:rFonts w:ascii="宋体" w:hAnsi="宋体" w:eastAsia="宋体"/>
                <w:sz w:val="16"/>
              </w:rPr>
              <w:t>促进改善办案条件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B54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AA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3F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B0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25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259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6C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2F1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482CB">
            <w:pPr>
              <w:jc w:val="center"/>
            </w:pPr>
            <w:r>
              <w:rPr>
                <w:rFonts w:ascii="宋体" w:hAnsi="宋体" w:eastAsia="宋体"/>
                <w:sz w:val="16"/>
              </w:rPr>
              <w:t>偏差原因：援疆资金未拨付到位，无法改善办案条件。改进措施：加强预算管理，及时对接援疆省市，了解援疆拨款及时率。</w:t>
            </w:r>
          </w:p>
        </w:tc>
      </w:tr>
      <w:tr w14:paraId="06634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34F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47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B08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67D8">
            <w:pPr>
              <w:jc w:val="center"/>
            </w:pPr>
            <w:r>
              <w:rPr>
                <w:rFonts w:ascii="宋体" w:hAnsi="宋体" w:eastAsia="宋体"/>
                <w:sz w:val="16"/>
              </w:rPr>
              <w:t>保障社会稳定长治久安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0B32">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0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08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B5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14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135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52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66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25306">
            <w:pPr>
              <w:jc w:val="center"/>
            </w:pPr>
            <w:r>
              <w:rPr>
                <w:rFonts w:ascii="宋体" w:hAnsi="宋体" w:eastAsia="宋体"/>
                <w:sz w:val="16"/>
              </w:rPr>
              <w:t>偏差原因：援疆资金未拨付到位，无法有效受益长治久安。改进措施：加强预算管理，及时对接援疆省市，了解援疆拨款及时率。</w:t>
            </w:r>
          </w:p>
        </w:tc>
      </w:tr>
      <w:tr w14:paraId="725A0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AD6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7A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0D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50B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43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19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43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C7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D1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F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79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BE7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222ED">
            <w:pPr>
              <w:jc w:val="center"/>
            </w:pPr>
            <w:r>
              <w:rPr>
                <w:rFonts w:ascii="宋体" w:hAnsi="宋体" w:eastAsia="宋体"/>
                <w:sz w:val="16"/>
              </w:rPr>
              <w:t>偏差原因：援疆资金未拨付到位，无法有效保障群众满意度</w:t>
            </w:r>
            <w:r>
              <w:rPr>
                <w:rFonts w:hint="eastAsia" w:ascii="宋体" w:hAnsi="宋体"/>
                <w:sz w:val="16"/>
                <w:lang w:eastAsia="zh-CN"/>
              </w:rPr>
              <w:t>。</w:t>
            </w:r>
            <w:r>
              <w:rPr>
                <w:rFonts w:ascii="宋体" w:hAnsi="宋体" w:eastAsia="宋体"/>
                <w:sz w:val="16"/>
              </w:rPr>
              <w:t>改进措施：加强预算管理，及时对接援疆省市，了解援疆拨款及时率。</w:t>
            </w:r>
          </w:p>
        </w:tc>
      </w:tr>
      <w:tr w14:paraId="3FD411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CB1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7C2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F70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97158A">
            <w:pPr>
              <w:jc w:val="center"/>
            </w:pPr>
            <w:r>
              <w:rPr>
                <w:rFonts w:ascii="宋体" w:hAnsi="宋体" w:eastAsia="宋体"/>
                <w:sz w:val="16"/>
              </w:rPr>
              <w:t>0分</w:t>
            </w:r>
          </w:p>
        </w:tc>
      </w:tr>
    </w:tbl>
    <w:p w14:paraId="0566105D">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856"/>
        <w:gridCol w:w="618"/>
        <w:gridCol w:w="618"/>
        <w:gridCol w:w="618"/>
        <w:gridCol w:w="618"/>
        <w:gridCol w:w="618"/>
        <w:gridCol w:w="696"/>
        <w:gridCol w:w="628"/>
        <w:gridCol w:w="603"/>
        <w:gridCol w:w="628"/>
      </w:tblGrid>
      <w:tr w14:paraId="1BAAED66">
        <w:tblPrEx>
          <w:tblCellMar>
            <w:top w:w="0" w:type="dxa"/>
            <w:left w:w="108" w:type="dxa"/>
            <w:bottom w:w="0" w:type="dxa"/>
            <w:right w:w="108" w:type="dxa"/>
          </w:tblCellMar>
        </w:tblPrEx>
        <w:tc>
          <w:tcPr>
            <w:tcW w:w="8848" w:type="dxa"/>
            <w:gridSpan w:val="14"/>
            <w:vAlign w:val="center"/>
          </w:tcPr>
          <w:p w14:paraId="370B350F">
            <w:pPr>
              <w:jc w:val="center"/>
            </w:pPr>
            <w:r>
              <w:rPr>
                <w:rFonts w:ascii="宋体" w:hAnsi="宋体" w:eastAsia="宋体"/>
                <w:sz w:val="24"/>
              </w:rPr>
              <w:t>项目支出绩效自评表</w:t>
            </w:r>
          </w:p>
        </w:tc>
      </w:tr>
      <w:tr w14:paraId="5FD027BD">
        <w:tblPrEx>
          <w:tblCellMar>
            <w:top w:w="0" w:type="dxa"/>
            <w:left w:w="108" w:type="dxa"/>
            <w:bottom w:w="0" w:type="dxa"/>
            <w:right w:w="108" w:type="dxa"/>
          </w:tblCellMar>
        </w:tblPrEx>
        <w:tc>
          <w:tcPr>
            <w:tcW w:w="8848" w:type="dxa"/>
            <w:gridSpan w:val="14"/>
            <w:vAlign w:val="center"/>
          </w:tcPr>
          <w:p w14:paraId="51E1EA04">
            <w:pPr>
              <w:jc w:val="center"/>
            </w:pPr>
            <w:r>
              <w:rPr>
                <w:rFonts w:ascii="宋体" w:hAnsi="宋体" w:eastAsia="宋体"/>
                <w:sz w:val="24"/>
              </w:rPr>
              <w:t>(2024年度)</w:t>
            </w:r>
          </w:p>
        </w:tc>
      </w:tr>
      <w:tr w14:paraId="476BA0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D6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ACC12C">
            <w:pPr>
              <w:jc w:val="center"/>
            </w:pPr>
            <w:r>
              <w:rPr>
                <w:rFonts w:ascii="宋体" w:hAnsi="宋体" w:eastAsia="宋体"/>
                <w:sz w:val="16"/>
              </w:rPr>
              <w:t>结转资金</w:t>
            </w:r>
          </w:p>
        </w:tc>
      </w:tr>
      <w:tr w14:paraId="70DE85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53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F5F2F">
            <w:pPr>
              <w:jc w:val="center"/>
            </w:pPr>
            <w:r>
              <w:rPr>
                <w:rFonts w:ascii="宋体" w:hAnsi="宋体" w:eastAsia="宋体"/>
                <w:sz w:val="16"/>
              </w:rPr>
              <w:t>克州中级人民法院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19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B8ABEA">
            <w:pPr>
              <w:jc w:val="center"/>
            </w:pPr>
            <w:r>
              <w:rPr>
                <w:rFonts w:ascii="宋体" w:hAnsi="宋体" w:eastAsia="宋体"/>
                <w:sz w:val="16"/>
              </w:rPr>
              <w:t>阿克陶县人民法院</w:t>
            </w:r>
          </w:p>
        </w:tc>
      </w:tr>
      <w:tr w14:paraId="3DF25F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E88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970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234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A29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012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AF1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015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3840">
            <w:pPr>
              <w:jc w:val="center"/>
            </w:pPr>
            <w:r>
              <w:rPr>
                <w:rFonts w:ascii="宋体" w:hAnsi="宋体" w:eastAsia="宋体"/>
                <w:sz w:val="16"/>
              </w:rPr>
              <w:t>得分</w:t>
            </w:r>
          </w:p>
        </w:tc>
      </w:tr>
      <w:tr w14:paraId="18575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330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34A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486F8">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E1851">
            <w:pPr>
              <w:jc w:val="center"/>
            </w:pPr>
            <w:r>
              <w:rPr>
                <w:rFonts w:ascii="宋体" w:hAnsi="宋体" w:eastAsia="宋体"/>
                <w:sz w:val="16"/>
              </w:rPr>
              <w:t>112.33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EE812">
            <w:pPr>
              <w:jc w:val="center"/>
            </w:pPr>
            <w:r>
              <w:rPr>
                <w:rFonts w:ascii="宋体" w:hAnsi="宋体" w:eastAsia="宋体"/>
                <w:sz w:val="16"/>
              </w:rPr>
              <w:t>81.66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809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FAF7E">
            <w:pPr>
              <w:jc w:val="center"/>
            </w:pPr>
            <w:r>
              <w:rPr>
                <w:rFonts w:ascii="宋体" w:hAnsi="宋体" w:eastAsia="宋体"/>
                <w:sz w:val="16"/>
              </w:rPr>
              <w:t>72.7%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D499">
            <w:pPr>
              <w:jc w:val="center"/>
            </w:pPr>
            <w:r>
              <w:rPr>
                <w:rFonts w:ascii="宋体" w:hAnsi="宋体" w:eastAsia="宋体"/>
                <w:sz w:val="16"/>
              </w:rPr>
              <w:t>3.18分</w:t>
            </w:r>
          </w:p>
        </w:tc>
      </w:tr>
      <w:tr w14:paraId="467A2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A4E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351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8DC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B07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26B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6EA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82D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123E">
            <w:pPr>
              <w:jc w:val="center"/>
            </w:pPr>
            <w:r>
              <w:rPr>
                <w:rFonts w:ascii="宋体" w:hAnsi="宋体" w:eastAsia="宋体"/>
                <w:sz w:val="16"/>
              </w:rPr>
              <w:t>—</w:t>
            </w:r>
          </w:p>
        </w:tc>
      </w:tr>
      <w:tr w14:paraId="0133D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09A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070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B44B7">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84345">
            <w:pPr>
              <w:jc w:val="center"/>
            </w:pPr>
            <w:r>
              <w:rPr>
                <w:rFonts w:ascii="宋体" w:hAnsi="宋体" w:eastAsia="宋体"/>
                <w:sz w:val="16"/>
              </w:rPr>
              <w:t>112.33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DD857">
            <w:pPr>
              <w:jc w:val="center"/>
            </w:pPr>
            <w:r>
              <w:rPr>
                <w:rFonts w:ascii="宋体" w:hAnsi="宋体" w:eastAsia="宋体"/>
                <w:sz w:val="16"/>
              </w:rPr>
              <w:t>81.66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540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C94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E637">
            <w:pPr>
              <w:jc w:val="center"/>
            </w:pPr>
            <w:r>
              <w:rPr>
                <w:rFonts w:ascii="宋体" w:hAnsi="宋体" w:eastAsia="宋体"/>
                <w:sz w:val="16"/>
              </w:rPr>
              <w:t>—</w:t>
            </w:r>
          </w:p>
        </w:tc>
      </w:tr>
      <w:tr w14:paraId="748249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62F7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41B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1FFDDB">
            <w:pPr>
              <w:jc w:val="center"/>
            </w:pPr>
            <w:r>
              <w:rPr>
                <w:rFonts w:ascii="宋体" w:hAnsi="宋体" w:eastAsia="宋体"/>
                <w:sz w:val="16"/>
              </w:rPr>
              <w:t>实际完成情况</w:t>
            </w:r>
          </w:p>
        </w:tc>
      </w:tr>
      <w:tr w14:paraId="5B299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568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38369">
            <w:pPr>
              <w:jc w:val="both"/>
            </w:pPr>
            <w:r>
              <w:rPr>
                <w:rFonts w:ascii="宋体" w:hAnsi="宋体" w:eastAsia="宋体"/>
                <w:sz w:val="16"/>
              </w:rPr>
              <w:t>该项目总投资112.33万元，其中：财政资金0万元，其他资金112.33万元，主要用于维修单位和法庭办公楼等、办公设备购置、江西援疆干部周转房租赁费、食堂开支费用，有利于持续深化法院业务、干部人才、教育培训、法院文化、信息科技和资金项目“六位一体”援助格局，坚持统筹推进，优化援助，通过该项目达到推动双赢共赢，不断加强赣疆两地交融，大力支持阿克陶法院事业发展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430371">
            <w:pPr>
              <w:jc w:val="both"/>
            </w:pPr>
            <w:r>
              <w:rPr>
                <w:rFonts w:hint="eastAsia" w:ascii="宋体" w:hAnsi="宋体"/>
                <w:sz w:val="16"/>
                <w:lang w:eastAsia="zh-CN"/>
              </w:rPr>
              <w:t>截至2024</w:t>
            </w:r>
            <w:r>
              <w:rPr>
                <w:rFonts w:ascii="宋体" w:hAnsi="宋体" w:eastAsia="宋体"/>
                <w:sz w:val="16"/>
              </w:rPr>
              <w:t>年12月31日，保障人员数107人，支持单位办案数4100件，通过该项目达到推动双赢共赢，不断加强赣疆两地交融，大力支持阿克陶法院事业发展效果。</w:t>
            </w:r>
          </w:p>
        </w:tc>
      </w:tr>
      <w:tr w14:paraId="794C12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DE5E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5E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2E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CC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881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0F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060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62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97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1C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6B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E84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96BBE">
            <w:pPr>
              <w:jc w:val="center"/>
            </w:pPr>
            <w:r>
              <w:rPr>
                <w:rFonts w:ascii="宋体" w:hAnsi="宋体" w:eastAsia="宋体"/>
                <w:sz w:val="16"/>
              </w:rPr>
              <w:t>偏差原因分析及改进措施</w:t>
            </w:r>
          </w:p>
        </w:tc>
      </w:tr>
      <w:tr w14:paraId="6D9E5A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C97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906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707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FC04">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FD943">
            <w:pPr>
              <w:jc w:val="center"/>
            </w:pPr>
            <w:r>
              <w:rPr>
                <w:rFonts w:ascii="宋体" w:hAnsi="宋体" w:eastAsia="宋体"/>
                <w:sz w:val="16"/>
              </w:rPr>
              <w:t>=107人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6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ED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0B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7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B72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8C12">
            <w:pPr>
              <w:jc w:val="center"/>
            </w:pPr>
            <w:r>
              <w:rPr>
                <w:rFonts w:ascii="宋体" w:hAnsi="宋体" w:eastAsia="宋体"/>
                <w:sz w:val="16"/>
              </w:rPr>
              <w:t>=107人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A54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69C81">
            <w:pPr>
              <w:jc w:val="center"/>
            </w:pPr>
          </w:p>
        </w:tc>
      </w:tr>
      <w:tr w14:paraId="61147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37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E2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A32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A20A">
            <w:pPr>
              <w:jc w:val="center"/>
            </w:pPr>
            <w:r>
              <w:rPr>
                <w:rFonts w:ascii="宋体" w:hAnsi="宋体" w:eastAsia="宋体"/>
                <w:sz w:val="16"/>
              </w:rPr>
              <w:t>支持单位办案数（件）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F27C">
            <w:pPr>
              <w:jc w:val="center"/>
            </w:pPr>
            <w:r>
              <w:rPr>
                <w:rFonts w:ascii="宋体" w:hAnsi="宋体" w:eastAsia="宋体"/>
                <w:sz w:val="16"/>
              </w:rPr>
              <w:t>&gt;=1500件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5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84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AC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AC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9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3BD8">
            <w:pPr>
              <w:jc w:val="center"/>
            </w:pPr>
            <w:r>
              <w:rPr>
                <w:rFonts w:ascii="宋体" w:hAnsi="宋体" w:eastAsia="宋体"/>
                <w:sz w:val="16"/>
              </w:rPr>
              <w:t>=4100件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0A9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ABC9A">
            <w:pPr>
              <w:jc w:val="center"/>
            </w:pPr>
          </w:p>
        </w:tc>
      </w:tr>
      <w:tr w14:paraId="564461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C3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03D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28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F28C">
            <w:pPr>
              <w:jc w:val="center"/>
            </w:pPr>
            <w:r>
              <w:rPr>
                <w:rFonts w:ascii="宋体" w:hAnsi="宋体" w:eastAsia="宋体"/>
                <w:sz w:val="16"/>
              </w:rPr>
              <w:t>保障食堂数量（个）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AC4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FB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B6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D9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30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23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416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3DE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D149E">
            <w:pPr>
              <w:jc w:val="center"/>
            </w:pPr>
          </w:p>
        </w:tc>
      </w:tr>
      <w:tr w14:paraId="22158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D4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3A1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DE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2408">
            <w:pPr>
              <w:jc w:val="center"/>
            </w:pPr>
            <w:r>
              <w:rPr>
                <w:rFonts w:ascii="宋体" w:hAnsi="宋体" w:eastAsia="宋体"/>
                <w:sz w:val="16"/>
              </w:rPr>
              <w:t>维修工程完成合格率（%）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31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05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67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1A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9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86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C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B43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F340D">
            <w:pPr>
              <w:jc w:val="center"/>
            </w:pPr>
          </w:p>
        </w:tc>
      </w:tr>
      <w:tr w14:paraId="1F3C0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CB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841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EF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CD93">
            <w:pPr>
              <w:jc w:val="center"/>
            </w:pPr>
            <w:r>
              <w:rPr>
                <w:rFonts w:ascii="宋体" w:hAnsi="宋体" w:eastAsia="宋体"/>
                <w:sz w:val="16"/>
              </w:rPr>
              <w:t>维修工程完成及时率（%）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04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B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1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EE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66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E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3C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6DC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84183">
            <w:pPr>
              <w:jc w:val="center"/>
            </w:pPr>
          </w:p>
        </w:tc>
      </w:tr>
      <w:tr w14:paraId="50FBE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8F3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5F58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683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8F24">
            <w:pPr>
              <w:jc w:val="center"/>
            </w:pPr>
            <w:r>
              <w:rPr>
                <w:rFonts w:ascii="宋体" w:hAnsi="宋体" w:eastAsia="宋体"/>
                <w:sz w:val="16"/>
              </w:rPr>
              <w:t>相关业务资金（万元）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7C54">
            <w:pPr>
              <w:jc w:val="center"/>
            </w:pPr>
            <w:r>
              <w:rPr>
                <w:rFonts w:ascii="宋体" w:hAnsi="宋体" w:eastAsia="宋体"/>
                <w:sz w:val="16"/>
              </w:rPr>
              <w:t>&lt;=109.63万元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69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61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F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ED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297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9ACB">
            <w:pPr>
              <w:jc w:val="center"/>
            </w:pPr>
            <w:r>
              <w:rPr>
                <w:rFonts w:ascii="宋体" w:hAnsi="宋体" w:eastAsia="宋体"/>
                <w:sz w:val="16"/>
              </w:rPr>
              <w:t>=78.96万元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238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86273">
            <w:pPr>
              <w:jc w:val="center"/>
            </w:pPr>
            <w:r>
              <w:rPr>
                <w:rFonts w:ascii="宋体" w:hAnsi="宋体" w:eastAsia="宋体"/>
                <w:sz w:val="16"/>
              </w:rPr>
              <w:t>偏差原因：结转资金支出较低，导致出现偏差率，整改措施：加强结转资金使用效率，加强票据审批。</w:t>
            </w:r>
          </w:p>
        </w:tc>
      </w:tr>
      <w:tr w14:paraId="76F436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C0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FC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F95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747D">
            <w:pPr>
              <w:jc w:val="center"/>
            </w:pPr>
            <w:r>
              <w:rPr>
                <w:rFonts w:ascii="宋体" w:hAnsi="宋体" w:eastAsia="宋体"/>
                <w:sz w:val="16"/>
              </w:rPr>
              <w:t>奖励金（万元）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C137">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94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E9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78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1C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28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E861">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AF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26E36">
            <w:pPr>
              <w:jc w:val="center"/>
            </w:pPr>
          </w:p>
        </w:tc>
      </w:tr>
      <w:tr w14:paraId="4DF47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FE0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5591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8CA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3DD4">
            <w:pPr>
              <w:jc w:val="center"/>
            </w:pPr>
            <w:r>
              <w:rPr>
                <w:rFonts w:ascii="宋体" w:hAnsi="宋体" w:eastAsia="宋体"/>
                <w:sz w:val="16"/>
              </w:rPr>
              <w:t>促进改善办案条件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9C5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E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EC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7B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CF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D4B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FA11">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115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4C7A2">
            <w:pPr>
              <w:jc w:val="center"/>
            </w:pPr>
            <w:r>
              <w:rPr>
                <w:rFonts w:ascii="宋体" w:hAnsi="宋体" w:eastAsia="宋体"/>
                <w:sz w:val="16"/>
              </w:rPr>
              <w:t>偏差原因：结转资金支出较低，导致出现偏差率，整改措施：加强结转资金使用效率，加强审批。</w:t>
            </w:r>
          </w:p>
        </w:tc>
      </w:tr>
      <w:tr w14:paraId="3EA8A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C1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CA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7E5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1734">
            <w:pPr>
              <w:jc w:val="center"/>
            </w:pPr>
            <w:r>
              <w:rPr>
                <w:rFonts w:ascii="宋体" w:hAnsi="宋体" w:eastAsia="宋体"/>
                <w:sz w:val="16"/>
              </w:rPr>
              <w:t>保障社会稳定长治久安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EC87">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0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72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6C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BB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F10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81DB">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550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BC821">
            <w:pPr>
              <w:jc w:val="center"/>
            </w:pPr>
            <w:r>
              <w:rPr>
                <w:rFonts w:ascii="宋体" w:hAnsi="宋体" w:eastAsia="宋体"/>
                <w:sz w:val="16"/>
              </w:rPr>
              <w:t>偏差原因：结转资金支出较低，导致出现偏差率，整改措施：加强结转资金使用效率，加强审批。</w:t>
            </w:r>
          </w:p>
        </w:tc>
      </w:tr>
      <w:tr w14:paraId="6DD2F7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40E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2B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E2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BBEA">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D0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6F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64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8C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C6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12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A9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D3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9DCE2">
            <w:pPr>
              <w:jc w:val="center"/>
            </w:pPr>
          </w:p>
        </w:tc>
      </w:tr>
      <w:tr w14:paraId="42DA1C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09D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7FF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410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31C095">
            <w:pPr>
              <w:jc w:val="center"/>
            </w:pPr>
            <w:r>
              <w:rPr>
                <w:rFonts w:ascii="宋体" w:hAnsi="宋体" w:eastAsia="宋体"/>
                <w:sz w:val="16"/>
              </w:rPr>
              <w:t>78.18分</w:t>
            </w:r>
          </w:p>
        </w:tc>
      </w:tr>
    </w:tbl>
    <w:p w14:paraId="2F06C35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64322AF">
        <w:tblPrEx>
          <w:tblCellMar>
            <w:top w:w="0" w:type="dxa"/>
            <w:left w:w="108" w:type="dxa"/>
            <w:bottom w:w="0" w:type="dxa"/>
            <w:right w:w="108" w:type="dxa"/>
          </w:tblCellMar>
        </w:tblPrEx>
        <w:tc>
          <w:tcPr>
            <w:tcW w:w="8848" w:type="dxa"/>
            <w:gridSpan w:val="14"/>
            <w:vAlign w:val="center"/>
          </w:tcPr>
          <w:p w14:paraId="0F343532">
            <w:pPr>
              <w:jc w:val="center"/>
            </w:pPr>
            <w:r>
              <w:rPr>
                <w:rFonts w:ascii="宋体" w:hAnsi="宋体" w:eastAsia="宋体"/>
                <w:sz w:val="24"/>
              </w:rPr>
              <w:t>项目支出绩效自评表</w:t>
            </w:r>
          </w:p>
        </w:tc>
      </w:tr>
      <w:tr w14:paraId="36E88EDA">
        <w:tblPrEx>
          <w:tblCellMar>
            <w:top w:w="0" w:type="dxa"/>
            <w:left w:w="108" w:type="dxa"/>
            <w:bottom w:w="0" w:type="dxa"/>
            <w:right w:w="108" w:type="dxa"/>
          </w:tblCellMar>
        </w:tblPrEx>
        <w:tc>
          <w:tcPr>
            <w:tcW w:w="8848" w:type="dxa"/>
            <w:gridSpan w:val="14"/>
            <w:vAlign w:val="center"/>
          </w:tcPr>
          <w:p w14:paraId="26B5F884">
            <w:pPr>
              <w:jc w:val="center"/>
            </w:pPr>
            <w:r>
              <w:rPr>
                <w:rFonts w:ascii="宋体" w:hAnsi="宋体" w:eastAsia="宋体"/>
                <w:sz w:val="24"/>
              </w:rPr>
              <w:t>(2024年度)</w:t>
            </w:r>
          </w:p>
        </w:tc>
      </w:tr>
      <w:tr w14:paraId="5516BD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5B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EA0947">
            <w:pPr>
              <w:jc w:val="center"/>
            </w:pPr>
            <w:r>
              <w:rPr>
                <w:rFonts w:ascii="宋体" w:hAnsi="宋体" w:eastAsia="宋体"/>
                <w:sz w:val="16"/>
              </w:rPr>
              <w:t>2023年为民办实事项目结转</w:t>
            </w:r>
          </w:p>
        </w:tc>
      </w:tr>
      <w:tr w14:paraId="626629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1A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EB945C">
            <w:pPr>
              <w:jc w:val="center"/>
            </w:pPr>
            <w:r>
              <w:rPr>
                <w:rFonts w:ascii="宋体" w:hAnsi="宋体" w:eastAsia="宋体"/>
                <w:sz w:val="16"/>
              </w:rPr>
              <w:t>克州中级人民法院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9D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FF3A32">
            <w:pPr>
              <w:jc w:val="center"/>
            </w:pPr>
            <w:r>
              <w:rPr>
                <w:rFonts w:ascii="宋体" w:hAnsi="宋体" w:eastAsia="宋体"/>
                <w:sz w:val="16"/>
              </w:rPr>
              <w:t>阿克陶县人民法院</w:t>
            </w:r>
          </w:p>
        </w:tc>
      </w:tr>
      <w:tr w14:paraId="508C5A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B5B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29E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0D8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4F3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C93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443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F31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2C41">
            <w:pPr>
              <w:jc w:val="center"/>
            </w:pPr>
            <w:r>
              <w:rPr>
                <w:rFonts w:ascii="宋体" w:hAnsi="宋体" w:eastAsia="宋体"/>
                <w:sz w:val="16"/>
              </w:rPr>
              <w:t>得分</w:t>
            </w:r>
          </w:p>
        </w:tc>
      </w:tr>
      <w:tr w14:paraId="7D8EE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E51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AEE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1235A">
            <w:pPr>
              <w:jc w:val="center"/>
            </w:pPr>
            <w:r>
              <w:rPr>
                <w:rFonts w:ascii="宋体" w:hAnsi="宋体" w:eastAsia="宋体"/>
                <w:sz w:val="16"/>
              </w:rPr>
              <w:t>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19813">
            <w:pPr>
              <w:jc w:val="center"/>
            </w:pPr>
            <w:r>
              <w:rPr>
                <w:rFonts w:ascii="宋体" w:hAnsi="宋体" w:eastAsia="宋体"/>
                <w:sz w:val="16"/>
              </w:rPr>
              <w:t>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49562">
            <w:pPr>
              <w:jc w:val="center"/>
            </w:pPr>
            <w:r>
              <w:rPr>
                <w:rFonts w:ascii="宋体" w:hAnsi="宋体" w:eastAsia="宋体"/>
                <w:sz w:val="16"/>
              </w:rPr>
              <w:t>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91D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20C5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0374">
            <w:pPr>
              <w:jc w:val="center"/>
            </w:pPr>
            <w:r>
              <w:rPr>
                <w:rFonts w:ascii="宋体" w:hAnsi="宋体" w:eastAsia="宋体"/>
                <w:sz w:val="16"/>
              </w:rPr>
              <w:t>10.00分</w:t>
            </w:r>
          </w:p>
        </w:tc>
      </w:tr>
      <w:tr w14:paraId="688A2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C19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A5AC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9338E">
            <w:pPr>
              <w:jc w:val="center"/>
            </w:pPr>
            <w:r>
              <w:rPr>
                <w:rFonts w:ascii="宋体" w:hAnsi="宋体" w:eastAsia="宋体"/>
                <w:sz w:val="16"/>
              </w:rPr>
              <w:t>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A86AC">
            <w:pPr>
              <w:jc w:val="center"/>
            </w:pPr>
            <w:r>
              <w:rPr>
                <w:rFonts w:ascii="宋体" w:hAnsi="宋体" w:eastAsia="宋体"/>
                <w:sz w:val="16"/>
              </w:rPr>
              <w:t>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1CB77">
            <w:pPr>
              <w:jc w:val="center"/>
            </w:pPr>
            <w:r>
              <w:rPr>
                <w:rFonts w:ascii="宋体" w:hAnsi="宋体" w:eastAsia="宋体"/>
                <w:sz w:val="16"/>
              </w:rPr>
              <w:t>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F86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F7A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F8E3">
            <w:pPr>
              <w:jc w:val="center"/>
            </w:pPr>
            <w:r>
              <w:rPr>
                <w:rFonts w:ascii="宋体" w:hAnsi="宋体" w:eastAsia="宋体"/>
                <w:sz w:val="16"/>
              </w:rPr>
              <w:t>—</w:t>
            </w:r>
          </w:p>
        </w:tc>
      </w:tr>
      <w:tr w14:paraId="0C915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031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8B7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D8D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241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337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D72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434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0F76">
            <w:pPr>
              <w:jc w:val="center"/>
            </w:pPr>
            <w:r>
              <w:rPr>
                <w:rFonts w:ascii="宋体" w:hAnsi="宋体" w:eastAsia="宋体"/>
                <w:sz w:val="16"/>
              </w:rPr>
              <w:t>—</w:t>
            </w:r>
          </w:p>
        </w:tc>
      </w:tr>
      <w:tr w14:paraId="172787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779B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FA1E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4FE9C">
            <w:pPr>
              <w:jc w:val="center"/>
            </w:pPr>
            <w:r>
              <w:rPr>
                <w:rFonts w:ascii="宋体" w:hAnsi="宋体" w:eastAsia="宋体"/>
                <w:sz w:val="16"/>
              </w:rPr>
              <w:t>实际完成情况</w:t>
            </w:r>
          </w:p>
        </w:tc>
      </w:tr>
      <w:tr w14:paraId="2E8460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D0D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687A8">
            <w:pPr>
              <w:jc w:val="both"/>
            </w:pPr>
            <w:r>
              <w:rPr>
                <w:rFonts w:ascii="宋体" w:hAnsi="宋体" w:eastAsia="宋体"/>
                <w:sz w:val="16"/>
              </w:rPr>
              <w:t>该项目资金投入总额为4.71万元，其中财政资金4.71万元。切实解决群众生产生活中的实际困难，加强民族团结，增进民族互信，突出现代文化引领，落实民生建设任务，增加农牧民收入，关心关爱困难群众。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229B5A">
            <w:pPr>
              <w:jc w:val="both"/>
            </w:pPr>
            <w:r>
              <w:rPr>
                <w:rFonts w:ascii="宋体" w:hAnsi="宋体" w:eastAsia="宋体"/>
                <w:sz w:val="16"/>
              </w:rPr>
              <w:t>截至2024年12月31日，开展慰问次数1次，购买校服394件，切实解决群众生产生活中的实际困难，加强民族团结，增进民族互信，突出现代文化引领，落实民生建设任务，增加农牧民收入，关心关爱困难群众。</w:t>
            </w:r>
          </w:p>
        </w:tc>
      </w:tr>
      <w:tr w14:paraId="4A7840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D316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30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E7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D4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62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68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D4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92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99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DF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75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C99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601AE">
            <w:pPr>
              <w:jc w:val="center"/>
            </w:pPr>
            <w:r>
              <w:rPr>
                <w:rFonts w:ascii="宋体" w:hAnsi="宋体" w:eastAsia="宋体"/>
                <w:sz w:val="16"/>
              </w:rPr>
              <w:t>偏差原因分析及改进措施</w:t>
            </w:r>
          </w:p>
        </w:tc>
      </w:tr>
      <w:tr w14:paraId="7A40F5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CFD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0C2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A82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9657">
            <w:pPr>
              <w:jc w:val="center"/>
            </w:pPr>
            <w:r>
              <w:rPr>
                <w:rFonts w:ascii="宋体" w:hAnsi="宋体" w:eastAsia="宋体"/>
                <w:sz w:val="16"/>
              </w:rPr>
              <w:t>开展慰问次数（次）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51F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8A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B1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4D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B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9A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52E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9DB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E9A6B">
            <w:pPr>
              <w:jc w:val="center"/>
            </w:pPr>
          </w:p>
        </w:tc>
      </w:tr>
      <w:tr w14:paraId="01780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B3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B3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BC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EE6D">
            <w:pPr>
              <w:jc w:val="center"/>
            </w:pPr>
            <w:r>
              <w:rPr>
                <w:rFonts w:ascii="宋体" w:hAnsi="宋体" w:eastAsia="宋体"/>
                <w:sz w:val="16"/>
              </w:rPr>
              <w:t>购买校服（件）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21C2">
            <w:pPr>
              <w:jc w:val="center"/>
            </w:pPr>
            <w:r>
              <w:rPr>
                <w:rFonts w:ascii="宋体" w:hAnsi="宋体" w:eastAsia="宋体"/>
                <w:sz w:val="16"/>
              </w:rPr>
              <w:t>&gt;=392件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F1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39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52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3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F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2798">
            <w:pPr>
              <w:jc w:val="center"/>
            </w:pPr>
            <w:r>
              <w:rPr>
                <w:rFonts w:ascii="宋体" w:hAnsi="宋体" w:eastAsia="宋体"/>
                <w:sz w:val="16"/>
              </w:rPr>
              <w:t>=394件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578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E7266">
            <w:pPr>
              <w:jc w:val="center"/>
            </w:pPr>
          </w:p>
        </w:tc>
      </w:tr>
      <w:tr w14:paraId="0EAB1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F5B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01B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60C6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BFE3">
            <w:pPr>
              <w:jc w:val="center"/>
            </w:pPr>
            <w:r>
              <w:rPr>
                <w:rFonts w:ascii="宋体" w:hAnsi="宋体" w:eastAsia="宋体"/>
                <w:sz w:val="16"/>
              </w:rPr>
              <w:t>购买慰问品验收合格率（%）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0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AA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BC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6E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6D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55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F2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D9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4D6C4">
            <w:pPr>
              <w:jc w:val="center"/>
            </w:pPr>
          </w:p>
        </w:tc>
      </w:tr>
      <w:tr w14:paraId="14F29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A3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42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07D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BC26">
            <w:pPr>
              <w:jc w:val="center"/>
            </w:pPr>
            <w:r>
              <w:rPr>
                <w:rFonts w:ascii="宋体" w:hAnsi="宋体" w:eastAsia="宋体"/>
                <w:sz w:val="16"/>
              </w:rPr>
              <w:t>购买校服验收合格率（%）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56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3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92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25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F3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AF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38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2CA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D65C5">
            <w:pPr>
              <w:jc w:val="center"/>
            </w:pPr>
          </w:p>
        </w:tc>
      </w:tr>
      <w:tr w14:paraId="69C51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C8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A3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22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FF89">
            <w:pPr>
              <w:jc w:val="center"/>
            </w:pPr>
            <w:r>
              <w:rPr>
                <w:rFonts w:ascii="宋体" w:hAnsi="宋体" w:eastAsia="宋体"/>
                <w:sz w:val="16"/>
              </w:rPr>
              <w:t>校服发放及时率（%）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2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66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75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E0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A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E2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0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8F1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1C122">
            <w:pPr>
              <w:jc w:val="center"/>
            </w:pPr>
          </w:p>
        </w:tc>
      </w:tr>
      <w:tr w14:paraId="6AA76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87B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C3F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1E0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2688">
            <w:pPr>
              <w:jc w:val="center"/>
            </w:pPr>
            <w:r>
              <w:rPr>
                <w:rFonts w:ascii="宋体" w:hAnsi="宋体" w:eastAsia="宋体"/>
                <w:sz w:val="16"/>
              </w:rPr>
              <w:t>购买慰问品（万元）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AADC">
            <w:pPr>
              <w:jc w:val="center"/>
            </w:pPr>
            <w:r>
              <w:rPr>
                <w:rFonts w:ascii="宋体" w:hAnsi="宋体" w:eastAsia="宋体"/>
                <w:sz w:val="16"/>
              </w:rPr>
              <w:t>&lt;=0.98万元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CC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A9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CA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A5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8D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6E79">
            <w:pPr>
              <w:jc w:val="center"/>
            </w:pPr>
            <w:r>
              <w:rPr>
                <w:rFonts w:ascii="宋体" w:hAnsi="宋体" w:eastAsia="宋体"/>
                <w:sz w:val="16"/>
              </w:rPr>
              <w:t>=0.98万元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82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D96C5">
            <w:pPr>
              <w:jc w:val="center"/>
            </w:pPr>
          </w:p>
        </w:tc>
      </w:tr>
      <w:tr w14:paraId="3418F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9BA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DD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7B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25B9">
            <w:pPr>
              <w:jc w:val="center"/>
            </w:pPr>
            <w:r>
              <w:rPr>
                <w:rFonts w:ascii="宋体" w:hAnsi="宋体" w:eastAsia="宋体"/>
                <w:sz w:val="16"/>
              </w:rPr>
              <w:t>购买校服（万元）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33180">
            <w:pPr>
              <w:jc w:val="center"/>
            </w:pPr>
            <w:r>
              <w:rPr>
                <w:rFonts w:ascii="宋体" w:hAnsi="宋体" w:eastAsia="宋体"/>
                <w:sz w:val="16"/>
              </w:rPr>
              <w:t>&lt;=3.73万元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B0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00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DF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A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35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E33D">
            <w:pPr>
              <w:jc w:val="center"/>
            </w:pPr>
            <w:r>
              <w:rPr>
                <w:rFonts w:ascii="宋体" w:hAnsi="宋体" w:eastAsia="宋体"/>
                <w:sz w:val="16"/>
              </w:rPr>
              <w:t>=3.73万元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A7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C5467">
            <w:pPr>
              <w:jc w:val="center"/>
            </w:pPr>
          </w:p>
        </w:tc>
      </w:tr>
      <w:tr w14:paraId="7676E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1BE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6D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78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231B">
            <w:pPr>
              <w:jc w:val="center"/>
            </w:pPr>
            <w:r>
              <w:rPr>
                <w:rFonts w:ascii="宋体" w:hAnsi="宋体" w:eastAsia="宋体"/>
                <w:sz w:val="16"/>
              </w:rPr>
              <w:t>促进乡村振兴发展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A5E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E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5F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6A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CD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295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9A7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CB8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B7DDD">
            <w:pPr>
              <w:jc w:val="center"/>
            </w:pPr>
          </w:p>
        </w:tc>
      </w:tr>
      <w:tr w14:paraId="3263D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2DB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59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C8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710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02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A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86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85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82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BF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7E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89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86EB7">
            <w:pPr>
              <w:jc w:val="center"/>
            </w:pPr>
          </w:p>
        </w:tc>
      </w:tr>
      <w:tr w14:paraId="58BE7B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20E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128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2A2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E1AFFE">
            <w:pPr>
              <w:jc w:val="center"/>
            </w:pPr>
            <w:r>
              <w:rPr>
                <w:rFonts w:ascii="宋体" w:hAnsi="宋体" w:eastAsia="宋体"/>
                <w:sz w:val="16"/>
              </w:rPr>
              <w:t>100分</w:t>
            </w:r>
          </w:p>
        </w:tc>
      </w:tr>
    </w:tbl>
    <w:p w14:paraId="79D1FC7F">
      <w:r>
        <w:br w:type="page"/>
      </w:r>
    </w:p>
    <w:p w14:paraId="05C1D473">
      <w:pPr>
        <w:spacing w:line="640" w:lineRule="exact"/>
        <w:ind w:firstLine="640"/>
        <w:jc w:val="both"/>
        <w:outlineLvl w:val="2"/>
      </w:pPr>
      <w:r>
        <w:rPr>
          <w:rFonts w:ascii="黑体" w:hAnsi="黑体" w:eastAsia="黑体"/>
          <w:sz w:val="32"/>
        </w:rPr>
        <w:t>十二、其他需说明的事项</w:t>
      </w:r>
    </w:p>
    <w:p w14:paraId="5FA750C2">
      <w:pPr>
        <w:spacing w:line="580" w:lineRule="exact"/>
        <w:ind w:firstLine="640"/>
        <w:jc w:val="both"/>
      </w:pPr>
      <w:r>
        <w:rPr>
          <w:rFonts w:ascii="仿宋_GB2312" w:hAnsi="仿宋_GB2312" w:eastAsia="仿宋_GB2312"/>
          <w:b w:val="0"/>
          <w:sz w:val="32"/>
        </w:rPr>
        <w:t>本单位无其他需说明的事项。</w:t>
      </w:r>
    </w:p>
    <w:p w14:paraId="53916A3C">
      <w:r>
        <w:br w:type="page"/>
      </w:r>
    </w:p>
    <w:p w14:paraId="396C06C8">
      <w:pPr>
        <w:spacing w:line="240" w:lineRule="auto"/>
        <w:jc w:val="center"/>
        <w:outlineLvl w:val="1"/>
      </w:pPr>
      <w:r>
        <w:rPr>
          <w:rFonts w:ascii="黑体" w:hAnsi="黑体" w:eastAsia="黑体"/>
          <w:sz w:val="32"/>
        </w:rPr>
        <w:t>第三部分 专业名词解释</w:t>
      </w:r>
    </w:p>
    <w:p w14:paraId="1523701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3FB07F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EBD973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10B88E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4ED919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038C7A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BCE0F0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E7B18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44B72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9D22CB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38BA6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9ADAFF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01D6F5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2F2AAA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A851D73">
      <w:r>
        <w:br w:type="page"/>
      </w:r>
    </w:p>
    <w:p w14:paraId="5D9CB744">
      <w:pPr>
        <w:spacing w:line="240" w:lineRule="auto"/>
        <w:jc w:val="center"/>
        <w:outlineLvl w:val="1"/>
      </w:pPr>
      <w:r>
        <w:rPr>
          <w:rFonts w:ascii="黑体" w:hAnsi="黑体" w:eastAsia="黑体"/>
          <w:sz w:val="32"/>
        </w:rPr>
        <w:t>第四部分 部门决算报表（见附表）</w:t>
      </w:r>
    </w:p>
    <w:p w14:paraId="5218A6E6">
      <w:pPr>
        <w:spacing w:line="240" w:lineRule="auto"/>
        <w:ind w:firstLine="640"/>
        <w:jc w:val="both"/>
      </w:pPr>
      <w:r>
        <w:rPr>
          <w:rFonts w:ascii="仿宋_GB2312" w:hAnsi="仿宋_GB2312" w:eastAsia="仿宋_GB2312"/>
          <w:b w:val="0"/>
          <w:sz w:val="32"/>
        </w:rPr>
        <w:t>一、《收入支出决算总表》</w:t>
      </w:r>
    </w:p>
    <w:p w14:paraId="209D9EEF">
      <w:pPr>
        <w:spacing w:line="240" w:lineRule="auto"/>
        <w:ind w:firstLine="640"/>
        <w:jc w:val="both"/>
      </w:pPr>
      <w:r>
        <w:rPr>
          <w:rFonts w:ascii="仿宋_GB2312" w:hAnsi="仿宋_GB2312" w:eastAsia="仿宋_GB2312"/>
          <w:b w:val="0"/>
          <w:sz w:val="32"/>
        </w:rPr>
        <w:t>二、《收入决算表》</w:t>
      </w:r>
    </w:p>
    <w:p w14:paraId="06B73727">
      <w:pPr>
        <w:spacing w:line="240" w:lineRule="auto"/>
        <w:ind w:firstLine="640"/>
        <w:jc w:val="both"/>
      </w:pPr>
      <w:r>
        <w:rPr>
          <w:rFonts w:ascii="仿宋_GB2312" w:hAnsi="仿宋_GB2312" w:eastAsia="仿宋_GB2312"/>
          <w:b w:val="0"/>
          <w:sz w:val="32"/>
        </w:rPr>
        <w:t>三、《支出决算表》</w:t>
      </w:r>
    </w:p>
    <w:p w14:paraId="5C9DCE37">
      <w:pPr>
        <w:spacing w:line="240" w:lineRule="auto"/>
        <w:ind w:firstLine="640"/>
        <w:jc w:val="both"/>
      </w:pPr>
      <w:r>
        <w:rPr>
          <w:rFonts w:ascii="仿宋_GB2312" w:hAnsi="仿宋_GB2312" w:eastAsia="仿宋_GB2312"/>
          <w:b w:val="0"/>
          <w:sz w:val="32"/>
        </w:rPr>
        <w:t>四、《财政拨款收入支出决算总表》</w:t>
      </w:r>
    </w:p>
    <w:p w14:paraId="6B2FE729">
      <w:pPr>
        <w:spacing w:line="240" w:lineRule="auto"/>
        <w:ind w:firstLine="640"/>
        <w:jc w:val="both"/>
      </w:pPr>
      <w:r>
        <w:rPr>
          <w:rFonts w:ascii="仿宋_GB2312" w:hAnsi="仿宋_GB2312" w:eastAsia="仿宋_GB2312"/>
          <w:b w:val="0"/>
          <w:sz w:val="32"/>
        </w:rPr>
        <w:t>五、《一般公共预算财政拨款支出决算表》</w:t>
      </w:r>
    </w:p>
    <w:p w14:paraId="40E8B97A">
      <w:pPr>
        <w:spacing w:line="240" w:lineRule="auto"/>
        <w:ind w:firstLine="640"/>
        <w:jc w:val="both"/>
      </w:pPr>
      <w:r>
        <w:rPr>
          <w:rFonts w:ascii="仿宋_GB2312" w:hAnsi="仿宋_GB2312" w:eastAsia="仿宋_GB2312"/>
          <w:b w:val="0"/>
          <w:sz w:val="32"/>
        </w:rPr>
        <w:t>六、《一般公共预算财政拨款基本支出决算表》</w:t>
      </w:r>
    </w:p>
    <w:p w14:paraId="3E6B901F">
      <w:pPr>
        <w:spacing w:line="240" w:lineRule="auto"/>
        <w:ind w:firstLine="640"/>
        <w:jc w:val="both"/>
      </w:pPr>
      <w:r>
        <w:rPr>
          <w:rFonts w:ascii="仿宋_GB2312" w:hAnsi="仿宋_GB2312" w:eastAsia="仿宋_GB2312"/>
          <w:b w:val="0"/>
          <w:sz w:val="32"/>
        </w:rPr>
        <w:t>七、《政府性基金预算财政拨款收入支出决算表》</w:t>
      </w:r>
    </w:p>
    <w:p w14:paraId="2B973A74">
      <w:pPr>
        <w:spacing w:line="240" w:lineRule="auto"/>
        <w:ind w:firstLine="640"/>
        <w:jc w:val="both"/>
      </w:pPr>
      <w:r>
        <w:rPr>
          <w:rFonts w:ascii="仿宋_GB2312" w:hAnsi="仿宋_GB2312" w:eastAsia="仿宋_GB2312"/>
          <w:b w:val="0"/>
          <w:sz w:val="32"/>
        </w:rPr>
        <w:t>八、《国有资本经营预算财政拨款收入支出决算表》</w:t>
      </w:r>
    </w:p>
    <w:p w14:paraId="79F40AB5">
      <w:pPr>
        <w:spacing w:line="240" w:lineRule="auto"/>
        <w:ind w:firstLine="640"/>
        <w:jc w:val="both"/>
      </w:pPr>
      <w:r>
        <w:rPr>
          <w:rFonts w:ascii="仿宋_GB2312" w:hAnsi="仿宋_GB2312" w:eastAsia="仿宋_GB2312"/>
          <w:b w:val="0"/>
          <w:sz w:val="32"/>
        </w:rPr>
        <w:t>九、《财政拨款“三公”经费支出决算表》</w:t>
      </w:r>
    </w:p>
    <w:p w14:paraId="27D87AD3">
      <w:pPr>
        <w:spacing w:line="240" w:lineRule="auto"/>
        <w:ind w:firstLine="640"/>
        <w:jc w:val="both"/>
      </w:pPr>
    </w:p>
    <w:p w14:paraId="4F347091">
      <w:pPr>
        <w:spacing w:line="240" w:lineRule="auto"/>
        <w:ind w:firstLine="640"/>
        <w:jc w:val="both"/>
      </w:pPr>
    </w:p>
    <w:p w14:paraId="48D72611">
      <w:pPr>
        <w:spacing w:line="240" w:lineRule="auto"/>
        <w:ind w:firstLine="640"/>
        <w:jc w:val="both"/>
      </w:pPr>
    </w:p>
    <w:p w14:paraId="2807AD20">
      <w:pPr>
        <w:spacing w:line="240" w:lineRule="auto"/>
        <w:ind w:firstLine="640"/>
        <w:jc w:val="both"/>
      </w:pPr>
    </w:p>
    <w:p w14:paraId="3214555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13E15E4-DE24-4E12-9417-BA9ECD8350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A46C8CC-2F55-43F1-84B5-6386AE327A47}"/>
  </w:font>
  <w:font w:name="仿宋_GB2312">
    <w:panose1 w:val="02010609030101010101"/>
    <w:charset w:val="86"/>
    <w:family w:val="modern"/>
    <w:pitch w:val="default"/>
    <w:sig w:usb0="00000001" w:usb1="080E0000" w:usb2="00000000" w:usb3="00000000" w:csb0="00040000" w:csb1="00000000"/>
    <w:embedRegular r:id="rId3" w:fontKey="{C725C435-462B-46DD-ADE8-EC16F3C21B2A}"/>
  </w:font>
  <w:font w:name="楷体_GB2312">
    <w:panose1 w:val="02010609030101010101"/>
    <w:charset w:val="86"/>
    <w:family w:val="auto"/>
    <w:pitch w:val="default"/>
    <w:sig w:usb0="00000001" w:usb1="080E0000" w:usb2="00000000" w:usb3="00000000" w:csb0="00040000" w:csb1="00000000"/>
    <w:embedRegular r:id="rId4" w:fontKey="{1C095E03-594A-4722-A99B-92F010986D4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6964C5"/>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7A174D"/>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4122</Words>
  <Characters>4824</Characters>
  <Lines>0</Lines>
  <Paragraphs>0</Paragraphs>
  <TotalTime>2</TotalTime>
  <ScaleCrop>false</ScaleCrop>
  <LinksUpToDate>false</LinksUpToDate>
  <CharactersWithSpaces>4832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2025-09-02T08:32:37Z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