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4E62B5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克孜勒苏柯尔克孜自治州科技交流中心</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DFEEA8A">
      <w:r>
        <w:br w:type="page"/>
      </w:r>
    </w:p>
    <w:p w14:paraId="2D8246EA">
      <w:pPr>
        <w:spacing w:line="640" w:lineRule="exact"/>
        <w:jc w:val="center"/>
        <w:outlineLvl w:val="1"/>
      </w:pPr>
      <w:r>
        <w:rPr>
          <w:rFonts w:ascii="黑体" w:hAnsi="黑体" w:eastAsia="黑体"/>
          <w:sz w:val="32"/>
        </w:rPr>
        <w:t>第一部分 单位概况</w:t>
      </w:r>
    </w:p>
    <w:p w14:paraId="15B66604">
      <w:pPr>
        <w:spacing w:line="640" w:lineRule="exact"/>
        <w:ind w:firstLine="640"/>
        <w:jc w:val="both"/>
        <w:outlineLvl w:val="2"/>
      </w:pPr>
      <w:r>
        <w:rPr>
          <w:rFonts w:ascii="黑体" w:hAnsi="黑体" w:eastAsia="黑体"/>
          <w:sz w:val="32"/>
        </w:rPr>
        <w:t>一、主要职能</w:t>
      </w:r>
    </w:p>
    <w:p w14:paraId="06B0AB62">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开展创新战略的规划，提出指导科技交流研究的参考建议。</w:t>
      </w:r>
    </w:p>
    <w:p w14:paraId="7F112CDE">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加强理论创新、思想创新和方法创新的研究，对技术成果起到引导和示范作用。</w:t>
      </w:r>
    </w:p>
    <w:p w14:paraId="462EB31F">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坚持政府导向、科技需求为主的选题原则，积极与自治区科技发展战略研究院进行合作，开展科技工作前期调研、选题、查新的工作；接受政府部门、企业和研究机构、社团组织的委托进行政策提供和咨询工作；培养和建设科技战略人才骨干队伍，为科技交流和科技局的中心工作提供决策咨询。</w:t>
      </w:r>
    </w:p>
    <w:p w14:paraId="394DAAEF">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建立开放式的科技合作交流平台，做好科技信息服务工作。</w:t>
      </w:r>
    </w:p>
    <w:p w14:paraId="63F809A7">
      <w:pPr>
        <w:spacing w:line="640" w:lineRule="exact"/>
        <w:ind w:firstLine="640"/>
        <w:jc w:val="both"/>
        <w:outlineLvl w:val="2"/>
      </w:pPr>
      <w:r>
        <w:rPr>
          <w:rFonts w:ascii="黑体" w:hAnsi="黑体" w:eastAsia="黑体"/>
          <w:sz w:val="32"/>
        </w:rPr>
        <w:t>二、机构设置及人员情况</w:t>
      </w:r>
    </w:p>
    <w:p w14:paraId="680ED734">
      <w:pPr>
        <w:spacing w:line="580" w:lineRule="exact"/>
        <w:ind w:firstLine="640"/>
        <w:jc w:val="both"/>
      </w:pPr>
      <w:r>
        <w:rPr>
          <w:rFonts w:ascii="仿宋_GB2312" w:hAnsi="仿宋_GB2312" w:eastAsia="仿宋_GB2312"/>
          <w:sz w:val="32"/>
        </w:rPr>
        <w:t>克孜勒苏柯尔克孜自治州科技交流中心2024年度，实有人数13人，其中：在职人员4人，增加0人；离休人员0人，增加0人；退休人员9人,增加0人。</w:t>
      </w:r>
    </w:p>
    <w:p w14:paraId="314C23DC">
      <w:pPr>
        <w:spacing w:line="580" w:lineRule="exact"/>
        <w:ind w:firstLine="640"/>
        <w:jc w:val="both"/>
      </w:pPr>
      <w:r>
        <w:rPr>
          <w:rFonts w:ascii="仿宋_GB2312" w:hAnsi="仿宋_GB2312" w:eastAsia="仿宋_GB2312"/>
          <w:sz w:val="32"/>
        </w:rPr>
        <w:t>克孜勒苏柯尔克孜自治州科技交流中心无下属预算单位，下设1个科室，分别是：办公室。</w:t>
      </w:r>
    </w:p>
    <w:p w14:paraId="6787EB49">
      <w:r>
        <w:br w:type="page"/>
      </w:r>
    </w:p>
    <w:p w14:paraId="6F1F4548">
      <w:pPr>
        <w:spacing w:line="240" w:lineRule="auto"/>
        <w:jc w:val="center"/>
        <w:outlineLvl w:val="1"/>
      </w:pPr>
      <w:r>
        <w:rPr>
          <w:rFonts w:ascii="黑体" w:hAnsi="黑体" w:eastAsia="黑体"/>
          <w:sz w:val="32"/>
        </w:rPr>
        <w:t>第二部分 部门决算情况说明</w:t>
      </w:r>
    </w:p>
    <w:p w14:paraId="01205E96">
      <w:pPr>
        <w:spacing w:line="640" w:lineRule="exact"/>
        <w:ind w:firstLine="640"/>
        <w:jc w:val="both"/>
        <w:outlineLvl w:val="2"/>
      </w:pPr>
      <w:r>
        <w:rPr>
          <w:rFonts w:ascii="黑体" w:hAnsi="黑体" w:eastAsia="黑体"/>
          <w:sz w:val="32"/>
        </w:rPr>
        <w:t>一、收入支出决算总体情况说明</w:t>
      </w:r>
    </w:p>
    <w:p w14:paraId="651605EE">
      <w:pPr>
        <w:spacing w:line="580" w:lineRule="exact"/>
        <w:ind w:firstLine="640"/>
        <w:jc w:val="both"/>
      </w:pPr>
      <w:r>
        <w:rPr>
          <w:rFonts w:ascii="仿宋_GB2312" w:hAnsi="仿宋_GB2312" w:eastAsia="仿宋_GB2312"/>
          <w:b/>
          <w:sz w:val="32"/>
        </w:rPr>
        <w:t>2024年度收入总计99.46万元，</w:t>
      </w:r>
      <w:r>
        <w:rPr>
          <w:rFonts w:ascii="仿宋_GB2312" w:hAnsi="仿宋_GB2312" w:eastAsia="仿宋_GB2312"/>
          <w:b w:val="0"/>
          <w:sz w:val="32"/>
        </w:rPr>
        <w:t>其中：本年收入合计98.05万元，使用非财政拨款结余（含专用结余）0.00万元，年初结转和结余1.41万元。</w:t>
      </w:r>
    </w:p>
    <w:p w14:paraId="503E67B0">
      <w:pPr>
        <w:spacing w:line="580" w:lineRule="exact"/>
        <w:ind w:firstLine="640"/>
        <w:jc w:val="both"/>
      </w:pPr>
      <w:r>
        <w:rPr>
          <w:rFonts w:ascii="仿宋_GB2312" w:hAnsi="仿宋_GB2312" w:eastAsia="仿宋_GB2312"/>
          <w:b/>
          <w:sz w:val="32"/>
        </w:rPr>
        <w:t>2024年度支出总计99.46万元，</w:t>
      </w:r>
      <w:r>
        <w:rPr>
          <w:rFonts w:ascii="仿宋_GB2312" w:hAnsi="仿宋_GB2312" w:eastAsia="仿宋_GB2312"/>
          <w:b w:val="0"/>
          <w:sz w:val="32"/>
        </w:rPr>
        <w:t>其中：本年支出合计93.98万元，结余分配0.00万元，年末结转和结余5.48万元。</w:t>
      </w:r>
    </w:p>
    <w:p w14:paraId="4998ABA2">
      <w:pPr>
        <w:spacing w:line="580" w:lineRule="exact"/>
        <w:ind w:firstLine="640"/>
        <w:jc w:val="both"/>
      </w:pPr>
      <w:r>
        <w:rPr>
          <w:rFonts w:ascii="仿宋_GB2312" w:hAnsi="仿宋_GB2312" w:eastAsia="仿宋_GB2312"/>
          <w:b w:val="0"/>
          <w:sz w:val="32"/>
        </w:rPr>
        <w:t>收入支出总体与上年相比，减少39.86万元，下降28.61%，主要原因是：本年减少系列科普活动经费，支出较上年减少。</w:t>
      </w:r>
    </w:p>
    <w:p w14:paraId="3D1C682B">
      <w:pPr>
        <w:spacing w:line="640" w:lineRule="exact"/>
        <w:ind w:firstLine="640"/>
        <w:jc w:val="both"/>
        <w:outlineLvl w:val="2"/>
      </w:pPr>
      <w:r>
        <w:rPr>
          <w:rFonts w:ascii="黑体" w:hAnsi="黑体" w:eastAsia="黑体"/>
          <w:sz w:val="32"/>
        </w:rPr>
        <w:t>二、收入决算情况说明</w:t>
      </w:r>
    </w:p>
    <w:p w14:paraId="24A77D3E">
      <w:pPr>
        <w:spacing w:line="580" w:lineRule="exact"/>
        <w:ind w:firstLine="640"/>
        <w:jc w:val="both"/>
      </w:pPr>
      <w:r>
        <w:rPr>
          <w:rFonts w:ascii="仿宋_GB2312" w:hAnsi="仿宋_GB2312" w:eastAsia="仿宋_GB2312"/>
          <w:b/>
          <w:sz w:val="32"/>
        </w:rPr>
        <w:t>本年收入98.05万元，</w:t>
      </w:r>
      <w:r>
        <w:rPr>
          <w:rFonts w:ascii="仿宋_GB2312" w:hAnsi="仿宋_GB2312" w:eastAsia="仿宋_GB2312"/>
          <w:b w:val="0"/>
          <w:sz w:val="32"/>
        </w:rPr>
        <w:t>其中：财政拨款收入90.05万元，占91.84%；上级补助收入0.00万元，占0.00%；事业收入0.00万元，占0.00%；经营收入0.00万元，占0.00%；附属单位上缴收入0.00万元，占0.00%；其他收入8.00万元，占8.16%。</w:t>
      </w:r>
    </w:p>
    <w:p w14:paraId="7FF7BD98">
      <w:pPr>
        <w:spacing w:line="640" w:lineRule="exact"/>
        <w:ind w:firstLine="640"/>
        <w:jc w:val="both"/>
        <w:outlineLvl w:val="2"/>
      </w:pPr>
      <w:r>
        <w:rPr>
          <w:rFonts w:ascii="黑体" w:hAnsi="黑体" w:eastAsia="黑体"/>
          <w:sz w:val="32"/>
        </w:rPr>
        <w:t>三、支出决算情况说明</w:t>
      </w:r>
    </w:p>
    <w:p w14:paraId="56C7B9EB">
      <w:pPr>
        <w:spacing w:line="580" w:lineRule="exact"/>
        <w:ind w:firstLine="640"/>
        <w:jc w:val="both"/>
      </w:pPr>
      <w:r>
        <w:rPr>
          <w:rFonts w:ascii="仿宋_GB2312" w:hAnsi="仿宋_GB2312" w:eastAsia="仿宋_GB2312"/>
          <w:b/>
          <w:sz w:val="32"/>
        </w:rPr>
        <w:t>本年支出93.98万元，</w:t>
      </w:r>
      <w:r>
        <w:rPr>
          <w:rFonts w:ascii="仿宋_GB2312" w:hAnsi="仿宋_GB2312" w:eastAsia="仿宋_GB2312"/>
          <w:b w:val="0"/>
          <w:sz w:val="32"/>
        </w:rPr>
        <w:t>其中：基本支出90.05万元，占95.82%；项目支出3.93万元，占4.18%；上缴上级支出0.00万元，占0.00%；经营支出0.00万元，占0.00%；对附属单位补助支出0.00万元，占0.00%。</w:t>
      </w:r>
    </w:p>
    <w:p w14:paraId="614E151E">
      <w:pPr>
        <w:spacing w:line="640" w:lineRule="exact"/>
        <w:ind w:firstLine="640"/>
        <w:jc w:val="both"/>
        <w:outlineLvl w:val="2"/>
      </w:pPr>
      <w:r>
        <w:rPr>
          <w:rFonts w:ascii="黑体" w:hAnsi="黑体" w:eastAsia="黑体"/>
          <w:sz w:val="32"/>
        </w:rPr>
        <w:t>四、财政拨款收入支出决算总体情况说明</w:t>
      </w:r>
    </w:p>
    <w:p w14:paraId="5270EB3C">
      <w:pPr>
        <w:spacing w:line="580" w:lineRule="exact"/>
        <w:ind w:firstLine="640"/>
        <w:jc w:val="both"/>
      </w:pPr>
      <w:r>
        <w:rPr>
          <w:rFonts w:ascii="仿宋_GB2312" w:hAnsi="仿宋_GB2312" w:eastAsia="仿宋_GB2312"/>
          <w:b/>
          <w:sz w:val="32"/>
        </w:rPr>
        <w:t>2024年度财政拨款收入总计90.05万元，</w:t>
      </w:r>
      <w:r>
        <w:rPr>
          <w:rFonts w:ascii="仿宋_GB2312" w:hAnsi="仿宋_GB2312" w:eastAsia="仿宋_GB2312"/>
          <w:b w:val="0"/>
          <w:sz w:val="32"/>
        </w:rPr>
        <w:t>其中：年初财政拨款结转和结余0.00万元，本年财政拨款收入90.05万元。</w:t>
      </w:r>
      <w:r>
        <w:rPr>
          <w:rFonts w:ascii="仿宋_GB2312" w:hAnsi="仿宋_GB2312" w:eastAsia="仿宋_GB2312"/>
          <w:b/>
          <w:sz w:val="32"/>
        </w:rPr>
        <w:t>财政拨款支出总计90.05万元，</w:t>
      </w:r>
      <w:r>
        <w:rPr>
          <w:rFonts w:ascii="仿宋_GB2312" w:hAnsi="仿宋_GB2312" w:eastAsia="仿宋_GB2312"/>
          <w:b w:val="0"/>
          <w:sz w:val="32"/>
        </w:rPr>
        <w:t>其中：年末财政拨款结转和结余0.00万元，本年财政拨款支出90.05万元。</w:t>
      </w:r>
    </w:p>
    <w:p w14:paraId="56CF3E7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增加5.81万元，增长6.90%，主要原因是：本年在职人员工资调增，社保、公积金基数调增，人员经费增加。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年初预算数94.11万元，决算数90.05万元，预决算差异率-4.31%，主要原因是：严格落实中央八项规定精神，厉行节约，减少不必要的开支。</w:t>
      </w:r>
    </w:p>
    <w:p w14:paraId="77CB3A7E">
      <w:pPr>
        <w:spacing w:line="640" w:lineRule="exact"/>
        <w:ind w:firstLine="640"/>
        <w:jc w:val="both"/>
        <w:outlineLvl w:val="2"/>
      </w:pPr>
      <w:r>
        <w:rPr>
          <w:rFonts w:ascii="黑体" w:hAnsi="黑体" w:eastAsia="黑体"/>
          <w:sz w:val="32"/>
        </w:rPr>
        <w:t>五、一般公共预算财政拨款支出决算情况说明</w:t>
      </w:r>
    </w:p>
    <w:p w14:paraId="2673ED3A">
      <w:pPr>
        <w:spacing w:line="640" w:lineRule="exact"/>
        <w:ind w:firstLine="640"/>
        <w:jc w:val="both"/>
        <w:outlineLvl w:val="3"/>
      </w:pPr>
      <w:r>
        <w:rPr>
          <w:rFonts w:ascii="楷体_GB2312" w:hAnsi="楷体_GB2312" w:eastAsia="楷体_GB2312"/>
          <w:b/>
          <w:sz w:val="32"/>
        </w:rPr>
        <w:t>（一）一般公共预算财政拨款支出决算总体情况</w:t>
      </w:r>
    </w:p>
    <w:p w14:paraId="12332411">
      <w:pPr>
        <w:spacing w:line="580" w:lineRule="exact"/>
        <w:ind w:firstLine="640"/>
        <w:jc w:val="both"/>
      </w:pPr>
      <w:r>
        <w:rPr>
          <w:rFonts w:ascii="仿宋_GB2312" w:hAnsi="仿宋_GB2312" w:eastAsia="仿宋_GB2312"/>
          <w:b/>
          <w:sz w:val="32"/>
        </w:rPr>
        <w:t>2024年度一般公共预算财政拨款支出90.05万元，</w:t>
      </w:r>
      <w:r>
        <w:rPr>
          <w:rFonts w:ascii="仿宋_GB2312" w:hAnsi="仿宋_GB2312" w:eastAsia="仿宋_GB2312"/>
          <w:b w:val="0"/>
          <w:sz w:val="32"/>
        </w:rPr>
        <w:t>占本年支出合计的95.82%。</w:t>
      </w:r>
      <w:r>
        <w:rPr>
          <w:rFonts w:ascii="仿宋_GB2312" w:hAnsi="仿宋_GB2312" w:eastAsia="仿宋_GB2312"/>
          <w:b/>
          <w:sz w:val="32"/>
        </w:rPr>
        <w:t>与上年相比，</w:t>
      </w:r>
      <w:r>
        <w:rPr>
          <w:rFonts w:ascii="仿宋_GB2312" w:hAnsi="仿宋_GB2312" w:eastAsia="仿宋_GB2312"/>
          <w:b w:val="0"/>
          <w:sz w:val="32"/>
        </w:rPr>
        <w:t>增加5.81万元，增长6.90%，主要原因是：本年在职人员工资调增，社保、公积金基数调增，人员经费增加。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年初预算数94.11万元，决算数90.05万元，预决算差异率-4.31%，主要原因是：严格落实中央八项规定精神，厉行节约，减少不必要的开支。</w:t>
      </w:r>
    </w:p>
    <w:p w14:paraId="0F11C8C8">
      <w:pPr>
        <w:spacing w:line="640" w:lineRule="exact"/>
        <w:ind w:firstLine="640"/>
        <w:jc w:val="both"/>
        <w:outlineLvl w:val="3"/>
      </w:pPr>
      <w:r>
        <w:rPr>
          <w:rFonts w:ascii="楷体_GB2312" w:hAnsi="楷体_GB2312" w:eastAsia="楷体_GB2312"/>
          <w:b/>
          <w:sz w:val="32"/>
        </w:rPr>
        <w:t>（二）一般公共预算财政拨款支出决算结构情况</w:t>
      </w:r>
    </w:p>
    <w:p w14:paraId="5C34BAC5">
      <w:pPr>
        <w:spacing w:line="580" w:lineRule="exact"/>
        <w:ind w:firstLine="640"/>
        <w:jc w:val="both"/>
      </w:pPr>
      <w:r>
        <w:rPr>
          <w:rFonts w:ascii="仿宋_GB2312" w:hAnsi="仿宋_GB2312" w:eastAsia="仿宋_GB2312"/>
          <w:b w:val="0"/>
          <w:sz w:val="32"/>
        </w:rPr>
        <w:t>1.科学技术支出(类)82.37万元,占91.47%。</w:t>
      </w:r>
    </w:p>
    <w:p w14:paraId="03628309">
      <w:pPr>
        <w:spacing w:line="580" w:lineRule="exact"/>
        <w:ind w:firstLine="640"/>
        <w:jc w:val="both"/>
      </w:pPr>
      <w:r>
        <w:rPr>
          <w:rFonts w:ascii="仿宋_GB2312" w:hAnsi="仿宋_GB2312" w:eastAsia="仿宋_GB2312"/>
          <w:b w:val="0"/>
          <w:sz w:val="32"/>
        </w:rPr>
        <w:t>2.社会保障和就业支出(类)7.68万元,占8.53%。</w:t>
      </w:r>
    </w:p>
    <w:p w14:paraId="2B843E1A">
      <w:pPr>
        <w:spacing w:line="640" w:lineRule="exact"/>
        <w:ind w:firstLine="640"/>
        <w:jc w:val="both"/>
        <w:outlineLvl w:val="3"/>
      </w:pPr>
      <w:r>
        <w:rPr>
          <w:rFonts w:ascii="楷体_GB2312" w:hAnsi="楷体_GB2312" w:eastAsia="楷体_GB2312"/>
          <w:b/>
          <w:sz w:val="32"/>
        </w:rPr>
        <w:t>（三）一般公共预算财政拨款支出决算具体情况</w:t>
      </w:r>
    </w:p>
    <w:p w14:paraId="36FDDFFF">
      <w:pPr>
        <w:spacing w:line="580" w:lineRule="exact"/>
        <w:ind w:firstLine="640"/>
        <w:jc w:val="both"/>
      </w:pPr>
      <w:r>
        <w:rPr>
          <w:rFonts w:ascii="仿宋_GB2312" w:hAnsi="仿宋_GB2312" w:eastAsia="仿宋_GB2312"/>
          <w:b w:val="0"/>
          <w:sz w:val="32"/>
        </w:rPr>
        <w:t>1.科学技术支出(类)技术研究与开发(款)其他技术研究与开发支出(项):支出决算数为82.37万元，比上年决算增加5.11万元，增长6.61%,主要原因是：本年在职人员工资调增，社保、公积金基数调增，人员经费增加。</w:t>
      </w:r>
    </w:p>
    <w:p w14:paraId="1A8BF74C">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7.68万元，比上年决算增加0.70万元，增长10.03%,主要原因是：本年在职人员工资基数调增，养老缴费基数上涨，相应支出增加。</w:t>
      </w:r>
    </w:p>
    <w:p w14:paraId="7B2F7ED3">
      <w:pPr>
        <w:spacing w:line="640" w:lineRule="exact"/>
        <w:ind w:firstLine="640"/>
        <w:jc w:val="both"/>
        <w:outlineLvl w:val="2"/>
      </w:pPr>
      <w:r>
        <w:rPr>
          <w:rFonts w:ascii="黑体" w:hAnsi="黑体" w:eastAsia="黑体"/>
          <w:sz w:val="32"/>
        </w:rPr>
        <w:t>六、一般公共预算财政拨款基本支出决算情况说明</w:t>
      </w:r>
    </w:p>
    <w:p w14:paraId="568F3D52">
      <w:pPr>
        <w:spacing w:line="580" w:lineRule="exact"/>
        <w:ind w:firstLine="640"/>
        <w:jc w:val="both"/>
      </w:pPr>
      <w:r>
        <w:rPr>
          <w:rFonts w:ascii="仿宋_GB2312" w:hAnsi="仿宋_GB2312" w:eastAsia="仿宋_GB2312"/>
          <w:b w:val="0"/>
          <w:sz w:val="32"/>
        </w:rPr>
        <w:t>2024年度一般公共预算财政拨款基本支出90.05万元，其中：</w:t>
      </w:r>
      <w:r>
        <w:rPr>
          <w:rFonts w:ascii="仿宋_GB2312" w:hAnsi="仿宋_GB2312" w:eastAsia="仿宋_GB2312"/>
          <w:b/>
          <w:sz w:val="32"/>
        </w:rPr>
        <w:t>人员经费87.45万元，</w:t>
      </w:r>
      <w:r>
        <w:rPr>
          <w:rFonts w:ascii="仿宋_GB2312" w:hAnsi="仿宋_GB2312" w:eastAsia="仿宋_GB2312"/>
          <w:b w:val="0"/>
          <w:sz w:val="32"/>
        </w:rPr>
        <w:t>包括：基本工资、津贴补贴、奖金、机关事业单位基本养老保险缴费、职工基本医疗保险缴费、其他社会保障缴费、住房公积金、退休费、奖励金。</w:t>
      </w:r>
    </w:p>
    <w:p w14:paraId="7821754B">
      <w:pPr>
        <w:spacing w:line="580" w:lineRule="exact"/>
        <w:ind w:firstLine="640"/>
        <w:jc w:val="both"/>
      </w:pPr>
      <w:r>
        <w:rPr>
          <w:rFonts w:ascii="仿宋_GB2312" w:hAnsi="仿宋_GB2312" w:eastAsia="仿宋_GB2312"/>
          <w:b/>
          <w:sz w:val="32"/>
        </w:rPr>
        <w:t>公用经费2.60万元，</w:t>
      </w:r>
      <w:r>
        <w:rPr>
          <w:rFonts w:ascii="仿宋_GB2312" w:hAnsi="仿宋_GB2312" w:eastAsia="仿宋_GB2312"/>
          <w:b w:val="0"/>
          <w:sz w:val="32"/>
        </w:rPr>
        <w:t>包括：工会经费、福利费、公务用车运行维护费、其他商品和服务支出。</w:t>
      </w:r>
    </w:p>
    <w:p w14:paraId="0B735901">
      <w:pPr>
        <w:spacing w:line="640" w:lineRule="exact"/>
        <w:ind w:firstLine="640"/>
        <w:jc w:val="both"/>
        <w:outlineLvl w:val="2"/>
      </w:pPr>
      <w:r>
        <w:rPr>
          <w:rFonts w:ascii="黑体" w:hAnsi="黑体" w:eastAsia="黑体"/>
          <w:sz w:val="32"/>
        </w:rPr>
        <w:t>七、政府性基金预算财政拨款收入支出决算情况说明</w:t>
      </w:r>
    </w:p>
    <w:p w14:paraId="4FF9760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9BDAB64">
      <w:pPr>
        <w:spacing w:line="640" w:lineRule="exact"/>
        <w:ind w:firstLine="640"/>
        <w:jc w:val="both"/>
        <w:outlineLvl w:val="2"/>
      </w:pPr>
      <w:r>
        <w:rPr>
          <w:rFonts w:ascii="黑体" w:hAnsi="黑体" w:eastAsia="黑体"/>
          <w:sz w:val="32"/>
        </w:rPr>
        <w:t>八、国有资本经营预算财政拨款收入支出决算情况说明</w:t>
      </w:r>
    </w:p>
    <w:p w14:paraId="3E8D000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874DD69">
      <w:pPr>
        <w:spacing w:line="640" w:lineRule="exact"/>
        <w:ind w:firstLine="640"/>
        <w:jc w:val="both"/>
        <w:outlineLvl w:val="2"/>
      </w:pPr>
      <w:r>
        <w:rPr>
          <w:rFonts w:ascii="黑体" w:hAnsi="黑体" w:eastAsia="黑体"/>
          <w:sz w:val="32"/>
        </w:rPr>
        <w:t>九、财政拨款“三公”经费支出决算情况说明</w:t>
      </w:r>
    </w:p>
    <w:p w14:paraId="2B2FD419">
      <w:pPr>
        <w:spacing w:line="580" w:lineRule="exact"/>
        <w:ind w:firstLine="640"/>
        <w:jc w:val="both"/>
      </w:pPr>
      <w:r>
        <w:rPr>
          <w:rFonts w:ascii="仿宋_GB2312" w:hAnsi="仿宋_GB2312" w:eastAsia="仿宋_GB2312"/>
          <w:b/>
          <w:sz w:val="32"/>
        </w:rPr>
        <w:t>2024年度财政拨款“三公”经费支出0.60万元，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w:t>
      </w:r>
      <w:r>
        <w:rPr>
          <w:rFonts w:hint="eastAsia" w:ascii="仿宋_GB2312" w:hAnsi="仿宋_GB2312" w:eastAsia="仿宋_GB2312"/>
          <w:b w:val="0"/>
          <w:sz w:val="32"/>
          <w:lang w:val="en-US" w:eastAsia="zh-CN"/>
        </w:rPr>
        <w:t>财政拨款</w:t>
      </w:r>
      <w:r>
        <w:rPr>
          <w:rFonts w:ascii="仿宋_GB2312" w:hAnsi="仿宋_GB2312" w:eastAsia="仿宋_GB2312"/>
          <w:b w:val="0"/>
          <w:sz w:val="32"/>
        </w:rPr>
        <w:t>“三公”经费与上年一致无变化。其中：因公出国（境）费支出0.00万元，占0.00%，比上年增加0.00万元，增长0.00%，主要原因是：2023年与2024年均未安排因公出国（境）费支出。公务用车购置及运行维护费支出0.60万元，占100.00%，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单位公务用车运行维护费与上年一致无变化。公务接待费支出0.00万元，占0.00%，比上年增加0.00万元，增长0.00%，主要原因是：2023年与2024年均未安排公务接待费支出。</w:t>
      </w:r>
    </w:p>
    <w:p w14:paraId="51F7A811">
      <w:pPr>
        <w:spacing w:line="580" w:lineRule="exact"/>
        <w:ind w:firstLine="640"/>
        <w:jc w:val="both"/>
      </w:pPr>
      <w:r>
        <w:rPr>
          <w:rFonts w:ascii="仿宋_GB2312" w:hAnsi="仿宋_GB2312" w:eastAsia="仿宋_GB2312"/>
          <w:b/>
          <w:sz w:val="32"/>
        </w:rPr>
        <w:t>具体情况如下：</w:t>
      </w:r>
    </w:p>
    <w:p w14:paraId="26DAFAE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E47C594">
      <w:pPr>
        <w:spacing w:line="580" w:lineRule="exact"/>
        <w:ind w:firstLine="640"/>
        <w:jc w:val="both"/>
      </w:pPr>
      <w:r>
        <w:rPr>
          <w:rFonts w:ascii="仿宋_GB2312" w:hAnsi="仿宋_GB2312" w:eastAsia="仿宋_GB2312"/>
          <w:b w:val="0"/>
          <w:sz w:val="32"/>
        </w:rPr>
        <w:t>公务用车购置及运行维护费0.60万元，其中：公务用车购置费0.00万元，公务用车运行维护费0.60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14:paraId="4C503CC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AE41C0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0.60万元，决算数0.60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0.60万元，决算数0.60万元，预决算差异率0.00%，主要原因是：严格按照预算执行，预决算无差异。公务接待费全年预算数0.00万元，决算数0.00万元，预决算差异率0.00%，主要原因是：本单位无公务接待费。</w:t>
      </w:r>
    </w:p>
    <w:p w14:paraId="35AF2E81">
      <w:pPr>
        <w:spacing w:line="640" w:lineRule="exact"/>
        <w:ind w:firstLine="640"/>
        <w:jc w:val="both"/>
        <w:outlineLvl w:val="2"/>
      </w:pPr>
      <w:r>
        <w:rPr>
          <w:rFonts w:ascii="黑体" w:hAnsi="黑体" w:eastAsia="黑体"/>
          <w:sz w:val="32"/>
        </w:rPr>
        <w:t>十、其他重要事项的情况说明</w:t>
      </w:r>
    </w:p>
    <w:p w14:paraId="0B6D9102">
      <w:pPr>
        <w:spacing w:line="640" w:lineRule="exact"/>
        <w:ind w:firstLine="640"/>
        <w:jc w:val="both"/>
        <w:outlineLvl w:val="3"/>
      </w:pPr>
      <w:r>
        <w:rPr>
          <w:rFonts w:ascii="楷体_GB2312" w:hAnsi="楷体_GB2312" w:eastAsia="楷体_GB2312"/>
          <w:b/>
          <w:sz w:val="32"/>
        </w:rPr>
        <w:t>（一）机关运行经费及公用经费支出情况</w:t>
      </w:r>
    </w:p>
    <w:p w14:paraId="21DDB5B0">
      <w:pPr>
        <w:spacing w:line="580" w:lineRule="exact"/>
        <w:ind w:firstLine="640"/>
        <w:jc w:val="both"/>
      </w:pPr>
      <w:r>
        <w:rPr>
          <w:rFonts w:ascii="仿宋_GB2312" w:hAnsi="仿宋_GB2312" w:eastAsia="仿宋_GB2312"/>
          <w:b w:val="0"/>
          <w:sz w:val="32"/>
        </w:rPr>
        <w:t>2024年度克孜勒苏柯尔克孜自治州科技交流中心（事业单位）公用经费支出2.60万元，比上年增加0.28万元，增长12.07%，主要原因是：本年更新、维护补充办公用品，导致公用经费较上年增加。</w:t>
      </w:r>
    </w:p>
    <w:p w14:paraId="71861535">
      <w:pPr>
        <w:spacing w:line="640" w:lineRule="exact"/>
        <w:ind w:firstLine="640"/>
        <w:jc w:val="both"/>
        <w:outlineLvl w:val="3"/>
      </w:pPr>
      <w:r>
        <w:rPr>
          <w:rFonts w:ascii="楷体_GB2312" w:hAnsi="楷体_GB2312" w:eastAsia="楷体_GB2312"/>
          <w:b/>
          <w:sz w:val="32"/>
        </w:rPr>
        <w:t>（二）政府采购情况</w:t>
      </w:r>
    </w:p>
    <w:p w14:paraId="231E2179">
      <w:pPr>
        <w:spacing w:line="580" w:lineRule="exact"/>
        <w:ind w:firstLine="640"/>
        <w:jc w:val="both"/>
      </w:pPr>
      <w:r>
        <w:rPr>
          <w:rFonts w:ascii="仿宋_GB2312" w:hAnsi="仿宋_GB2312" w:eastAsia="仿宋_GB2312"/>
          <w:b w:val="0"/>
          <w:sz w:val="32"/>
        </w:rPr>
        <w:t>2024年度政府采购支出总额2.59万元，其中：政府采购货物支出0.70万元、政府采购工程支出0.00万元、政府采购服务支出1.90万元。</w:t>
      </w:r>
    </w:p>
    <w:p w14:paraId="27BE38D0">
      <w:pPr>
        <w:spacing w:line="580" w:lineRule="exact"/>
        <w:ind w:firstLine="640"/>
        <w:jc w:val="both"/>
      </w:pPr>
      <w:r>
        <w:rPr>
          <w:rFonts w:ascii="仿宋_GB2312" w:hAnsi="仿宋_GB2312" w:eastAsia="仿宋_GB2312"/>
          <w:b w:val="0"/>
          <w:sz w:val="32"/>
        </w:rPr>
        <w:t>授予中小企业合同金额2.47万元，占政府采购支出总额的95.37%，其中：授予小微企业合同金额1.30万元，占政府采购支出总额的50.19%。</w:t>
      </w:r>
    </w:p>
    <w:p w14:paraId="21108692">
      <w:pPr>
        <w:spacing w:line="640" w:lineRule="exact"/>
        <w:ind w:firstLine="640"/>
        <w:jc w:val="both"/>
        <w:outlineLvl w:val="3"/>
      </w:pPr>
      <w:r>
        <w:rPr>
          <w:rFonts w:ascii="楷体_GB2312" w:hAnsi="楷体_GB2312" w:eastAsia="楷体_GB2312"/>
          <w:b/>
          <w:sz w:val="32"/>
        </w:rPr>
        <w:t>（三）国有资产占用情况说明</w:t>
      </w:r>
    </w:p>
    <w:p w14:paraId="3D829C87">
      <w:pPr>
        <w:spacing w:line="580" w:lineRule="exact"/>
        <w:ind w:firstLine="640"/>
        <w:jc w:val="both"/>
      </w:pPr>
      <w:r>
        <w:rPr>
          <w:rFonts w:ascii="仿宋_GB2312" w:hAnsi="仿宋_GB2312" w:eastAsia="仿宋_GB2312"/>
          <w:b w:val="0"/>
          <w:sz w:val="32"/>
        </w:rPr>
        <w:t>截至2024年12月31日，房屋235.00平方米，价值21.62万元。车辆1辆，价值20.00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0D668BAA">
      <w:pPr>
        <w:spacing w:line="640" w:lineRule="exact"/>
        <w:ind w:firstLine="640"/>
        <w:jc w:val="both"/>
        <w:outlineLvl w:val="2"/>
      </w:pPr>
      <w:r>
        <w:rPr>
          <w:rFonts w:ascii="黑体" w:hAnsi="黑体" w:eastAsia="黑体"/>
          <w:sz w:val="32"/>
        </w:rPr>
        <w:t>十一、预算绩效的情况说明</w:t>
      </w:r>
    </w:p>
    <w:p w14:paraId="19365AA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99.46万元，实际执行总额93.98万元；预算绩效评价项目2个，全年预算数8.99万元，全年执行数4.63万元。预算绩效管理取得的成效：一是当年创新创业大赛经费项目资金用于创新创业大赛中奖励获奖</w:t>
      </w:r>
      <w:r>
        <w:rPr>
          <w:rFonts w:hint="eastAsia" w:ascii="仿宋_GB2312" w:hAnsi="仿宋_GB2312" w:eastAsia="仿宋_GB2312"/>
          <w:b w:val="0"/>
          <w:sz w:val="32"/>
          <w:lang w:eastAsia="zh-CN"/>
        </w:rPr>
        <w:t>企业</w:t>
      </w:r>
      <w:r>
        <w:rPr>
          <w:rFonts w:ascii="仿宋_GB2312" w:hAnsi="仿宋_GB2312" w:eastAsia="仿宋_GB2312"/>
          <w:b w:val="0"/>
          <w:sz w:val="32"/>
        </w:rPr>
        <w:t>，开展发表科技信息，提高科学技术服务能力，有效提升科学技术事</w:t>
      </w:r>
      <w:r>
        <w:rPr>
          <w:rFonts w:hint="eastAsia" w:ascii="仿宋_GB2312" w:hAnsi="仿宋_GB2312" w:eastAsia="仿宋_GB2312"/>
          <w:b w:val="0"/>
          <w:sz w:val="32"/>
          <w:lang w:eastAsia="zh-CN"/>
        </w:rPr>
        <w:t>业的</w:t>
      </w:r>
      <w:r>
        <w:rPr>
          <w:rFonts w:ascii="仿宋_GB2312" w:hAnsi="仿宋_GB2312" w:eastAsia="仿宋_GB2312"/>
          <w:b w:val="0"/>
          <w:sz w:val="32"/>
        </w:rPr>
        <w:t>传承与发展，提高这个项目的实施，促进科学技术事业的发展和传承，促进科学技术服务提升；二是开展科普活动11场，发放宣传资料2800份，开展现场指导42次，提高科学技术服务能力，有效提升科学技术事业传承与发展，提高这个项目的实施，促进科学技术事业的发展和传承，促进科学技术服务提升。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w:t>
      </w:r>
      <w:bookmarkStart w:id="0" w:name="_GoBack"/>
      <w:bookmarkEnd w:id="0"/>
      <w:r>
        <w:rPr>
          <w:rFonts w:ascii="仿宋_GB2312" w:hAnsi="仿宋_GB2312" w:eastAsia="仿宋_GB2312"/>
          <w:b w:val="0"/>
          <w:sz w:val="32"/>
        </w:rPr>
        <w:t>绩效管理专业人员匮乏，规范管理有盲点。预算绩效管理工作的覆盖面广、专业性强，不论预算单位在开展日常管理，还是财政部门组织实施绩效评价，都需要具备一定专业素养和实战经验的人力资源。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401DA81F">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4D310B3">
        <w:tblPrEx>
          <w:tblCellMar>
            <w:top w:w="0" w:type="dxa"/>
            <w:left w:w="108" w:type="dxa"/>
            <w:bottom w:w="0" w:type="dxa"/>
            <w:right w:w="108" w:type="dxa"/>
          </w:tblCellMar>
        </w:tblPrEx>
        <w:tc>
          <w:tcPr>
            <w:tcW w:w="8840" w:type="dxa"/>
            <w:gridSpan w:val="8"/>
            <w:vAlign w:val="center"/>
          </w:tcPr>
          <w:p w14:paraId="149E4A37">
            <w:pPr>
              <w:jc w:val="center"/>
            </w:pPr>
            <w:r>
              <w:rPr>
                <w:rFonts w:ascii="宋体" w:hAnsi="宋体" w:eastAsia="宋体"/>
                <w:sz w:val="24"/>
              </w:rPr>
              <w:t>单位整体支出绩效自评表</w:t>
            </w:r>
          </w:p>
        </w:tc>
      </w:tr>
      <w:tr w14:paraId="11A7C82E">
        <w:tblPrEx>
          <w:tblCellMar>
            <w:top w:w="0" w:type="dxa"/>
            <w:left w:w="108" w:type="dxa"/>
            <w:bottom w:w="0" w:type="dxa"/>
            <w:right w:w="108" w:type="dxa"/>
          </w:tblCellMar>
        </w:tblPrEx>
        <w:tc>
          <w:tcPr>
            <w:tcW w:w="8840" w:type="dxa"/>
            <w:gridSpan w:val="8"/>
            <w:vAlign w:val="center"/>
          </w:tcPr>
          <w:p w14:paraId="5CB0CA2F">
            <w:pPr>
              <w:jc w:val="center"/>
            </w:pPr>
            <w:r>
              <w:rPr>
                <w:rFonts w:ascii="宋体" w:hAnsi="宋体" w:eastAsia="宋体"/>
                <w:sz w:val="24"/>
              </w:rPr>
              <w:t>（2024年度）</w:t>
            </w:r>
          </w:p>
        </w:tc>
      </w:tr>
      <w:tr w14:paraId="00CCDFF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F66788">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DE2264">
            <w:pPr>
              <w:jc w:val="center"/>
            </w:pPr>
            <w:r>
              <w:rPr>
                <w:rFonts w:ascii="宋体" w:hAnsi="宋体" w:eastAsia="宋体"/>
                <w:sz w:val="16"/>
              </w:rPr>
              <w:t>克孜勒苏柯尔克孜自治州科技交流中心</w:t>
            </w:r>
          </w:p>
        </w:tc>
      </w:tr>
      <w:tr w14:paraId="24A08FA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5AF607">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AF29C8">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2ADEFD">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E5226C">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B61AFC">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5DF9F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C07C57">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C873B4">
            <w:pPr>
              <w:jc w:val="center"/>
            </w:pPr>
            <w:r>
              <w:rPr>
                <w:rFonts w:ascii="宋体" w:hAnsi="宋体" w:eastAsia="宋体"/>
                <w:sz w:val="16"/>
              </w:rPr>
              <w:t>得分</w:t>
            </w:r>
          </w:p>
        </w:tc>
      </w:tr>
      <w:tr w14:paraId="7D2A8FA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44656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F16FE0">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15DA23">
            <w:pPr>
              <w:jc w:val="center"/>
            </w:pPr>
            <w:r>
              <w:rPr>
                <w:rFonts w:ascii="宋体" w:hAnsi="宋体" w:eastAsia="宋体"/>
                <w:sz w:val="16"/>
              </w:rPr>
              <w:t>103.10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50975A">
            <w:pPr>
              <w:jc w:val="center"/>
            </w:pPr>
            <w:r>
              <w:rPr>
                <w:rFonts w:ascii="宋体" w:hAnsi="宋体" w:eastAsia="宋体"/>
                <w:sz w:val="16"/>
              </w:rPr>
              <w:t>99.46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4B5595">
            <w:pPr>
              <w:jc w:val="center"/>
            </w:pPr>
            <w:r>
              <w:rPr>
                <w:rFonts w:ascii="宋体" w:hAnsi="宋体" w:eastAsia="宋体"/>
                <w:sz w:val="16"/>
              </w:rPr>
              <w:t>93.98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E5E9C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CB68F0">
            <w:pPr>
              <w:jc w:val="center"/>
            </w:pPr>
            <w:r>
              <w:rPr>
                <w:rFonts w:ascii="宋体" w:hAnsi="宋体" w:eastAsia="宋体"/>
                <w:sz w:val="16"/>
              </w:rPr>
              <w:t>94.49%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7B0210">
            <w:pPr>
              <w:jc w:val="center"/>
            </w:pPr>
            <w:r>
              <w:rPr>
                <w:rFonts w:ascii="宋体" w:hAnsi="宋体" w:eastAsia="宋体"/>
                <w:sz w:val="16"/>
              </w:rPr>
              <w:t>9</w:t>
            </w:r>
            <w:r>
              <w:rPr>
                <w:rFonts w:hint="eastAsia" w:ascii="宋体" w:hAnsi="宋体"/>
                <w:sz w:val="16"/>
                <w:lang w:val="en-US" w:eastAsia="zh-CN"/>
              </w:rPr>
              <w:t>.</w:t>
            </w:r>
            <w:r>
              <w:rPr>
                <w:rFonts w:ascii="宋体" w:hAnsi="宋体" w:eastAsia="宋体"/>
                <w:sz w:val="16"/>
              </w:rPr>
              <w:t>44</w:t>
            </w:r>
          </w:p>
        </w:tc>
      </w:tr>
      <w:tr w14:paraId="31B374A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7C8A62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C689C7">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261E4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96DA3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512C1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9D915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95C17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6C6F57">
            <w:pPr>
              <w:jc w:val="center"/>
            </w:pPr>
            <w:r>
              <w:rPr>
                <w:rFonts w:ascii="宋体" w:hAnsi="宋体" w:eastAsia="宋体"/>
                <w:sz w:val="16"/>
              </w:rPr>
              <w:t>—</w:t>
            </w:r>
          </w:p>
        </w:tc>
      </w:tr>
      <w:tr w14:paraId="240BAC7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D5E1AB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A5D0CF">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0C599E">
            <w:pPr>
              <w:jc w:val="center"/>
            </w:pPr>
            <w:r>
              <w:rPr>
                <w:rFonts w:ascii="宋体" w:hAnsi="宋体" w:eastAsia="宋体"/>
                <w:sz w:val="16"/>
              </w:rPr>
              <w:t>94.11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E581D0">
            <w:pPr>
              <w:jc w:val="center"/>
            </w:pPr>
            <w:r>
              <w:rPr>
                <w:rFonts w:ascii="宋体" w:hAnsi="宋体" w:eastAsia="宋体"/>
                <w:sz w:val="16"/>
              </w:rPr>
              <w:t>90.05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E52741">
            <w:pPr>
              <w:jc w:val="center"/>
            </w:pPr>
            <w:r>
              <w:rPr>
                <w:rFonts w:ascii="宋体" w:hAnsi="宋体" w:eastAsia="宋体"/>
                <w:sz w:val="16"/>
              </w:rPr>
              <w:t>90.05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BF8EC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7DC99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7C2F15">
            <w:pPr>
              <w:jc w:val="center"/>
            </w:pPr>
            <w:r>
              <w:rPr>
                <w:rFonts w:ascii="宋体" w:hAnsi="宋体" w:eastAsia="宋体"/>
                <w:sz w:val="16"/>
              </w:rPr>
              <w:t>—</w:t>
            </w:r>
          </w:p>
        </w:tc>
      </w:tr>
      <w:tr w14:paraId="04EA28C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80A3F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71FE79">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9FDF25">
            <w:pPr>
              <w:jc w:val="center"/>
            </w:pPr>
            <w:r>
              <w:rPr>
                <w:rFonts w:ascii="宋体" w:hAnsi="宋体" w:eastAsia="宋体"/>
                <w:sz w:val="16"/>
              </w:rPr>
              <w:t>8.99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84FD36">
            <w:pPr>
              <w:jc w:val="center"/>
            </w:pPr>
            <w:r>
              <w:rPr>
                <w:rFonts w:ascii="宋体" w:hAnsi="宋体" w:eastAsia="宋体"/>
                <w:sz w:val="16"/>
              </w:rPr>
              <w:t>9.41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121E9F">
            <w:pPr>
              <w:jc w:val="center"/>
            </w:pPr>
            <w:r>
              <w:rPr>
                <w:rFonts w:ascii="宋体" w:hAnsi="宋体" w:eastAsia="宋体"/>
                <w:sz w:val="16"/>
              </w:rPr>
              <w:t>3.93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017ED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15E8D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70B252">
            <w:pPr>
              <w:jc w:val="center"/>
            </w:pPr>
            <w:r>
              <w:rPr>
                <w:rFonts w:ascii="宋体" w:hAnsi="宋体" w:eastAsia="宋体"/>
                <w:sz w:val="16"/>
              </w:rPr>
              <w:t>—</w:t>
            </w:r>
          </w:p>
        </w:tc>
      </w:tr>
      <w:tr w14:paraId="5F5B051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4DE6CB">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CEBFBC">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9A661D">
            <w:pPr>
              <w:jc w:val="center"/>
            </w:pPr>
            <w:r>
              <w:rPr>
                <w:rFonts w:ascii="宋体" w:hAnsi="宋体" w:eastAsia="宋体"/>
                <w:sz w:val="16"/>
              </w:rPr>
              <w:t>实际完成情况</w:t>
            </w:r>
          </w:p>
        </w:tc>
      </w:tr>
      <w:tr w14:paraId="25DA3B9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08C273C"/>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1A24D1">
            <w:pPr>
              <w:jc w:val="both"/>
            </w:pPr>
            <w:r>
              <w:rPr>
                <w:rFonts w:ascii="宋体" w:hAnsi="宋体" w:eastAsia="宋体"/>
                <w:sz w:val="16"/>
              </w:rPr>
              <w:t>一是开展科技交流工作。二是加大科技人才培养力度。三是争取新增人才一个工作站，进一步完善克州生产力促进中心中科沙棘2个工作机制；新培养拔尖人才2名。</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469F1F">
            <w:pPr>
              <w:jc w:val="both"/>
            </w:pPr>
            <w:r>
              <w:rPr>
                <w:rFonts w:hint="eastAsia" w:ascii="宋体" w:hAnsi="宋体"/>
                <w:sz w:val="16"/>
                <w:lang w:eastAsia="zh-CN"/>
              </w:rPr>
              <w:t>截至2024</w:t>
            </w:r>
            <w:r>
              <w:rPr>
                <w:rFonts w:ascii="宋体" w:hAnsi="宋体" w:eastAsia="宋体"/>
                <w:sz w:val="16"/>
              </w:rPr>
              <w:t>年12月31日，开展学术交流2次：推动阿克陶琨豪科技有限公司与新疆石河子大学合作开展肉牛产业研究，建立“克州肉牛产业发展和科技创新研究院”；争取新增一个工作站：新疆首个“地应力野外科学观测研究站”在阿图什市、乌恰县启用；培育拔尖人才2名：培育拔尖人才50名。通过以上工作的实施，保障了我单位13名职工的工资、福利及社保正常发放及缴纳，确保民生工作落实到位；保障我单位1辆公务用车的运行及维护，保障单位各项工作的正常运转，确保机构运转正常。科技交流中心深入贯彻习近平总书记关于科技创新的重要论述，全面落实自治区，自治州科技创新大会精神。推动阿克陶琨豪科技有限公司与新疆石河子大学合作开展肉牛产业研究，建立“克州肉牛产业发展和科技创新研究院”；新疆首个“地应力野外科学观测研究站”在阿图什市、乌恰县启用；培育拔尖人才2名：培育“三区”科技人才（拔尖人才）50名。严格执行中央八项规定及其实施细则精神。</w:t>
            </w:r>
          </w:p>
        </w:tc>
      </w:tr>
      <w:tr w14:paraId="470C2DA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A96366">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38C0D7">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3F69EB">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2A7156">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C41964">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82989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E4A3A7">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0CAF6C">
            <w:pPr>
              <w:jc w:val="center"/>
            </w:pPr>
            <w:r>
              <w:rPr>
                <w:rFonts w:ascii="宋体" w:hAnsi="宋体" w:eastAsia="宋体"/>
                <w:sz w:val="16"/>
              </w:rPr>
              <w:t>得分</w:t>
            </w:r>
          </w:p>
        </w:tc>
      </w:tr>
      <w:tr w14:paraId="5F3141F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E3D813">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863BAD">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00EE43">
            <w:pPr>
              <w:jc w:val="center"/>
            </w:pPr>
            <w:r>
              <w:rPr>
                <w:rFonts w:ascii="宋体" w:hAnsi="宋体" w:eastAsia="宋体"/>
                <w:sz w:val="16"/>
              </w:rPr>
              <w:t>开展科技交流工作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416217">
            <w:pPr>
              <w:jc w:val="center"/>
            </w:pPr>
            <w:r>
              <w:rPr>
                <w:rFonts w:ascii="宋体" w:hAnsi="宋体" w:eastAsia="宋体"/>
                <w:sz w:val="16"/>
              </w:rPr>
              <w:t>&gt;=1次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320931">
            <w:pPr>
              <w:jc w:val="center"/>
            </w:pPr>
            <w:r>
              <w:rPr>
                <w:rFonts w:ascii="宋体" w:hAnsi="宋体" w:eastAsia="宋体"/>
                <w:sz w:val="16"/>
              </w:rPr>
              <w:t>2024年单位计划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2BE791">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DDB052">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3BAC10">
            <w:pPr>
              <w:jc w:val="center"/>
            </w:pPr>
            <w:r>
              <w:rPr>
                <w:rFonts w:ascii="宋体" w:hAnsi="宋体" w:eastAsia="宋体"/>
                <w:sz w:val="16"/>
              </w:rPr>
              <w:t>30</w:t>
            </w:r>
          </w:p>
        </w:tc>
      </w:tr>
      <w:tr w14:paraId="0D67B6A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C4A45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F47094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08B652">
            <w:pPr>
              <w:jc w:val="center"/>
            </w:pPr>
            <w:r>
              <w:rPr>
                <w:rFonts w:ascii="宋体" w:hAnsi="宋体" w:eastAsia="宋体"/>
                <w:sz w:val="16"/>
              </w:rPr>
              <w:t>争取新增一个工作站</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03295A">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2610BD">
            <w:pPr>
              <w:jc w:val="center"/>
            </w:pPr>
            <w:r>
              <w:rPr>
                <w:rFonts w:ascii="宋体" w:hAnsi="宋体" w:eastAsia="宋体"/>
                <w:sz w:val="16"/>
              </w:rPr>
              <w:t>2024年单位计划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6ED3DB">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9785FB">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1B1001">
            <w:pPr>
              <w:jc w:val="center"/>
            </w:pPr>
            <w:r>
              <w:rPr>
                <w:rFonts w:ascii="宋体" w:hAnsi="宋体" w:eastAsia="宋体"/>
                <w:sz w:val="16"/>
              </w:rPr>
              <w:t>30</w:t>
            </w:r>
          </w:p>
        </w:tc>
      </w:tr>
      <w:tr w14:paraId="2E5650D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4895E2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424B5C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5F683B">
            <w:pPr>
              <w:jc w:val="center"/>
            </w:pPr>
            <w:r>
              <w:rPr>
                <w:rFonts w:ascii="宋体" w:hAnsi="宋体" w:eastAsia="宋体"/>
                <w:sz w:val="16"/>
              </w:rPr>
              <w:t>培养拔尖人才2名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D6A347">
            <w:pPr>
              <w:jc w:val="center"/>
            </w:pPr>
            <w:r>
              <w:rPr>
                <w:rFonts w:ascii="宋体" w:hAnsi="宋体" w:eastAsia="宋体"/>
                <w:sz w:val="16"/>
              </w:rPr>
              <w:t>=2名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D9F888">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83CEE0">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A1F833">
            <w:pPr>
              <w:jc w:val="center"/>
            </w:pPr>
            <w:r>
              <w:rPr>
                <w:rFonts w:ascii="宋体" w:hAnsi="宋体" w:eastAsia="宋体"/>
                <w:sz w:val="16"/>
              </w:rPr>
              <w:t>50名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77AEAB">
            <w:pPr>
              <w:jc w:val="center"/>
            </w:pPr>
            <w:r>
              <w:rPr>
                <w:rFonts w:ascii="宋体" w:hAnsi="宋体" w:eastAsia="宋体"/>
                <w:sz w:val="16"/>
              </w:rPr>
              <w:t>30</w:t>
            </w:r>
          </w:p>
        </w:tc>
      </w:tr>
    </w:tbl>
    <w:p w14:paraId="3689923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9C53A15">
        <w:tblPrEx>
          <w:tblCellMar>
            <w:top w:w="0" w:type="dxa"/>
            <w:left w:w="108" w:type="dxa"/>
            <w:bottom w:w="0" w:type="dxa"/>
            <w:right w:w="108" w:type="dxa"/>
          </w:tblCellMar>
        </w:tblPrEx>
        <w:tc>
          <w:tcPr>
            <w:tcW w:w="8848" w:type="dxa"/>
            <w:gridSpan w:val="14"/>
            <w:vAlign w:val="center"/>
          </w:tcPr>
          <w:p w14:paraId="295EE995">
            <w:pPr>
              <w:jc w:val="center"/>
            </w:pPr>
            <w:r>
              <w:rPr>
                <w:rFonts w:ascii="宋体" w:hAnsi="宋体" w:eastAsia="宋体"/>
                <w:sz w:val="24"/>
              </w:rPr>
              <w:t>项目支出绩效自评表</w:t>
            </w:r>
          </w:p>
        </w:tc>
      </w:tr>
      <w:tr w14:paraId="6B341159">
        <w:tblPrEx>
          <w:tblCellMar>
            <w:top w:w="0" w:type="dxa"/>
            <w:left w:w="108" w:type="dxa"/>
            <w:bottom w:w="0" w:type="dxa"/>
            <w:right w:w="108" w:type="dxa"/>
          </w:tblCellMar>
        </w:tblPrEx>
        <w:tc>
          <w:tcPr>
            <w:tcW w:w="8848" w:type="dxa"/>
            <w:gridSpan w:val="14"/>
            <w:vAlign w:val="center"/>
          </w:tcPr>
          <w:p w14:paraId="7ABE5DD9">
            <w:pPr>
              <w:jc w:val="center"/>
            </w:pPr>
            <w:r>
              <w:rPr>
                <w:rFonts w:ascii="宋体" w:hAnsi="宋体" w:eastAsia="宋体"/>
                <w:sz w:val="24"/>
              </w:rPr>
              <w:t>(2024年度)</w:t>
            </w:r>
          </w:p>
        </w:tc>
      </w:tr>
      <w:tr w14:paraId="03077D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134A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4A9BF1">
            <w:pPr>
              <w:jc w:val="center"/>
            </w:pPr>
            <w:r>
              <w:rPr>
                <w:rFonts w:ascii="宋体" w:hAnsi="宋体" w:eastAsia="宋体"/>
                <w:sz w:val="16"/>
              </w:rPr>
              <w:t>创新创业大赛经费</w:t>
            </w:r>
          </w:p>
        </w:tc>
      </w:tr>
      <w:tr w14:paraId="37F37D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D344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DB9EF8">
            <w:pPr>
              <w:jc w:val="center"/>
            </w:pPr>
            <w:r>
              <w:rPr>
                <w:rFonts w:hint="eastAsia" w:ascii="宋体" w:hAnsi="宋体" w:eastAsia="宋体"/>
                <w:sz w:val="16"/>
              </w:rPr>
              <w:t>克孜勒苏柯尔克孜自治州科学技术局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D61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10871D">
            <w:pPr>
              <w:jc w:val="center"/>
            </w:pPr>
            <w:r>
              <w:rPr>
                <w:rFonts w:ascii="宋体" w:hAnsi="宋体" w:eastAsia="宋体"/>
                <w:sz w:val="16"/>
              </w:rPr>
              <w:t>克孜勒苏柯尔克孜自治州科技交流中心</w:t>
            </w:r>
          </w:p>
        </w:tc>
      </w:tr>
      <w:tr w14:paraId="76DF92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44821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1516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B8B6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80A9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5EB3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DDD5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2199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978FC">
            <w:pPr>
              <w:jc w:val="center"/>
            </w:pPr>
            <w:r>
              <w:rPr>
                <w:rFonts w:ascii="宋体" w:hAnsi="宋体" w:eastAsia="宋体"/>
                <w:sz w:val="16"/>
              </w:rPr>
              <w:t>得分</w:t>
            </w:r>
          </w:p>
        </w:tc>
      </w:tr>
      <w:tr w14:paraId="79FF6A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FA4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7744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772BA">
            <w:pPr>
              <w:jc w:val="center"/>
            </w:pPr>
            <w:r>
              <w:rPr>
                <w:rFonts w:ascii="宋体" w:hAnsi="宋体" w:eastAsia="宋体"/>
                <w:sz w:val="16"/>
              </w:rPr>
              <w:t>0.99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BDFCE">
            <w:pPr>
              <w:jc w:val="center"/>
            </w:pPr>
            <w:r>
              <w:rPr>
                <w:rFonts w:ascii="宋体" w:hAnsi="宋体" w:eastAsia="宋体"/>
                <w:sz w:val="16"/>
              </w:rPr>
              <w:t>0.99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AEA7A">
            <w:pPr>
              <w:jc w:val="center"/>
            </w:pPr>
            <w:r>
              <w:rPr>
                <w:rFonts w:ascii="宋体" w:hAnsi="宋体" w:eastAsia="宋体"/>
                <w:sz w:val="16"/>
              </w:rPr>
              <w:t>0.70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DD3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6D5D6">
            <w:pPr>
              <w:jc w:val="center"/>
            </w:pPr>
            <w:r>
              <w:rPr>
                <w:rFonts w:ascii="宋体" w:hAnsi="宋体" w:eastAsia="宋体"/>
                <w:sz w:val="16"/>
              </w:rPr>
              <w:t>70.7</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4578D">
            <w:pPr>
              <w:jc w:val="center"/>
            </w:pPr>
            <w:r>
              <w:rPr>
                <w:rFonts w:ascii="宋体" w:hAnsi="宋体" w:eastAsia="宋体"/>
                <w:sz w:val="16"/>
              </w:rPr>
              <w:t>2.68分</w:t>
            </w:r>
          </w:p>
        </w:tc>
      </w:tr>
      <w:tr w14:paraId="4E85A9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653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906C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4B5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995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05E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1FF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420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1CFC3">
            <w:pPr>
              <w:jc w:val="center"/>
            </w:pPr>
            <w:r>
              <w:rPr>
                <w:rFonts w:ascii="宋体" w:hAnsi="宋体" w:eastAsia="宋体"/>
                <w:sz w:val="16"/>
              </w:rPr>
              <w:t>—</w:t>
            </w:r>
          </w:p>
        </w:tc>
      </w:tr>
      <w:tr w14:paraId="0276BC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29E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186C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E9C09">
            <w:pPr>
              <w:jc w:val="center"/>
            </w:pPr>
            <w:r>
              <w:rPr>
                <w:rFonts w:ascii="宋体" w:hAnsi="宋体" w:eastAsia="宋体"/>
                <w:sz w:val="16"/>
              </w:rPr>
              <w:t>0.99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7EA9A">
            <w:pPr>
              <w:jc w:val="center"/>
            </w:pPr>
            <w:r>
              <w:rPr>
                <w:rFonts w:ascii="宋体" w:hAnsi="宋体" w:eastAsia="宋体"/>
                <w:sz w:val="16"/>
              </w:rPr>
              <w:t>0.99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50554">
            <w:pPr>
              <w:jc w:val="center"/>
            </w:pPr>
            <w:r>
              <w:rPr>
                <w:rFonts w:ascii="宋体" w:hAnsi="宋体" w:eastAsia="宋体"/>
                <w:sz w:val="16"/>
              </w:rPr>
              <w:t>0.70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3BC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180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284D9">
            <w:pPr>
              <w:jc w:val="center"/>
            </w:pPr>
            <w:r>
              <w:rPr>
                <w:rFonts w:ascii="宋体" w:hAnsi="宋体" w:eastAsia="宋体"/>
                <w:sz w:val="16"/>
              </w:rPr>
              <w:t>—</w:t>
            </w:r>
          </w:p>
        </w:tc>
      </w:tr>
      <w:tr w14:paraId="2707F6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AE171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624CC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CE7B1A">
            <w:pPr>
              <w:jc w:val="center"/>
            </w:pPr>
            <w:r>
              <w:rPr>
                <w:rFonts w:ascii="宋体" w:hAnsi="宋体" w:eastAsia="宋体"/>
                <w:sz w:val="16"/>
              </w:rPr>
              <w:t>实际完成情况</w:t>
            </w:r>
          </w:p>
        </w:tc>
      </w:tr>
      <w:tr w14:paraId="7DB7C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D9F0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38F733">
            <w:pPr>
              <w:jc w:val="both"/>
            </w:pPr>
            <w:r>
              <w:rPr>
                <w:rFonts w:ascii="宋体" w:hAnsi="宋体" w:eastAsia="宋体"/>
                <w:sz w:val="16"/>
              </w:rPr>
              <w:t>创新创业大赛资金0.99843万元，其中：财政资金0万元，其他资金0.99843万元，提高科学技术服务能力，有效提升科学技术事业传承与发展，提高这个项目的实施，促进科学技术事业的发展和传承，促进科学技术服务提升。我州举办第十届新疆创新创业大赛（克州赛区）暨第七届克州创新创业大赛，做好各项工作，组织参赛企业开展培训。</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02BE5B">
            <w:pPr>
              <w:jc w:val="both"/>
            </w:pPr>
            <w:r>
              <w:rPr>
                <w:rFonts w:hint="eastAsia" w:ascii="宋体" w:hAnsi="宋体"/>
                <w:sz w:val="16"/>
                <w:lang w:eastAsia="zh-CN"/>
              </w:rPr>
              <w:t>截至</w:t>
            </w:r>
            <w:r>
              <w:rPr>
                <w:rFonts w:ascii="宋体" w:hAnsi="宋体" w:eastAsia="宋体"/>
                <w:sz w:val="16"/>
              </w:rPr>
              <w:t>2024年12月31日，已完成：当年创新创业大赛经费项目资金用于创新创业大赛中奖励获奖企业数2家，开展发表科技信息2篇，提高科学技术服务能力，有效提升科学技术事业传承与发展，提高这个项目的实施，促进科学技术事业的发展和传承，促进科学技术服务提升。我州举办第十届新疆创新创业大赛（克州赛区）暨第七届克州创新创业大赛，做好各项工作，组织参赛企业开展培训。</w:t>
            </w:r>
          </w:p>
        </w:tc>
      </w:tr>
      <w:tr w14:paraId="1BB9A8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FEAA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02B5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D30C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68ED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925A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BD99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9A8D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CC2C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C80A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A3E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AED1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D362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EAF3F">
            <w:pPr>
              <w:jc w:val="center"/>
            </w:pPr>
            <w:r>
              <w:rPr>
                <w:rFonts w:ascii="宋体" w:hAnsi="宋体" w:eastAsia="宋体"/>
                <w:sz w:val="16"/>
              </w:rPr>
              <w:t>偏差原因分析及改进措施</w:t>
            </w:r>
          </w:p>
        </w:tc>
      </w:tr>
      <w:tr w14:paraId="53EEDC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BD051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A1B89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85DF7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3D081">
            <w:pPr>
              <w:jc w:val="center"/>
            </w:pPr>
            <w:r>
              <w:rPr>
                <w:rFonts w:ascii="宋体" w:hAnsi="宋体" w:eastAsia="宋体"/>
                <w:sz w:val="16"/>
              </w:rPr>
              <w:t>开展发表科技信息（篇）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295F">
            <w:pPr>
              <w:jc w:val="center"/>
            </w:pPr>
            <w:r>
              <w:rPr>
                <w:rFonts w:ascii="宋体" w:hAnsi="宋体" w:eastAsia="宋体"/>
                <w:sz w:val="16"/>
              </w:rPr>
              <w:t>=2篇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CCC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85C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E1F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5DF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651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16527">
            <w:pPr>
              <w:jc w:val="center"/>
            </w:pPr>
            <w:r>
              <w:rPr>
                <w:rFonts w:ascii="宋体" w:hAnsi="宋体" w:eastAsia="宋体"/>
                <w:sz w:val="16"/>
              </w:rPr>
              <w:t>=2篇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390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1C614">
            <w:pPr>
              <w:jc w:val="center"/>
            </w:pPr>
          </w:p>
        </w:tc>
      </w:tr>
      <w:tr w14:paraId="7B7D05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32C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F6A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A51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34A1A">
            <w:pPr>
              <w:jc w:val="center"/>
            </w:pPr>
            <w:r>
              <w:rPr>
                <w:rFonts w:ascii="宋体" w:hAnsi="宋体" w:eastAsia="宋体"/>
                <w:sz w:val="16"/>
              </w:rPr>
              <w:t>创新创业大赛中奖励获奖企业数（家）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2CA95">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CE6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674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954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A13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A6C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554E7">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5AB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BD394">
            <w:pPr>
              <w:jc w:val="center"/>
            </w:pPr>
          </w:p>
        </w:tc>
      </w:tr>
      <w:tr w14:paraId="681459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318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3E9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1DC9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5A63A">
            <w:pPr>
              <w:jc w:val="center"/>
            </w:pPr>
            <w:r>
              <w:rPr>
                <w:rFonts w:ascii="宋体" w:hAnsi="宋体" w:eastAsia="宋体"/>
                <w:sz w:val="16"/>
              </w:rPr>
              <w:t>奖励企业覆盖率（%）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E04C3">
            <w:pPr>
              <w:jc w:val="center"/>
            </w:pPr>
            <w:r>
              <w:rPr>
                <w:rFonts w:ascii="宋体" w:hAnsi="宋体" w:eastAsia="宋体"/>
                <w:sz w:val="16"/>
              </w:rPr>
              <w:t>&gt;=50%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DB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26F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D06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D99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399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DD04F">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4EA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6088B">
            <w:pPr>
              <w:jc w:val="center"/>
            </w:pPr>
          </w:p>
        </w:tc>
      </w:tr>
      <w:tr w14:paraId="2044A5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A8B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A3F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02E1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5D7FA">
            <w:pPr>
              <w:jc w:val="center"/>
            </w:pPr>
            <w:r>
              <w:rPr>
                <w:rFonts w:ascii="宋体" w:hAnsi="宋体" w:eastAsia="宋体"/>
                <w:sz w:val="16"/>
              </w:rPr>
              <w:t>项目各项工作按时完成率（%）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5F4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50C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363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6FF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0B6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252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2A5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8F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576E4">
            <w:pPr>
              <w:jc w:val="center"/>
            </w:pPr>
          </w:p>
        </w:tc>
      </w:tr>
      <w:tr w14:paraId="1FD307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D19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5CF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3266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2346F">
            <w:pPr>
              <w:jc w:val="center"/>
            </w:pPr>
            <w:r>
              <w:rPr>
                <w:rFonts w:ascii="宋体" w:hAnsi="宋体" w:eastAsia="宋体"/>
                <w:sz w:val="16"/>
              </w:rPr>
              <w:t>实现鼓励企业（万元）1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5324">
            <w:pPr>
              <w:jc w:val="center"/>
            </w:pPr>
            <w:r>
              <w:rPr>
                <w:rFonts w:ascii="宋体" w:hAnsi="宋体" w:eastAsia="宋体"/>
                <w:sz w:val="16"/>
              </w:rPr>
              <w:t>&lt;=0.99万元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D381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BE0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79B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C6E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0D1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FC4D6">
            <w:pPr>
              <w:jc w:val="center"/>
            </w:pPr>
            <w:r>
              <w:rPr>
                <w:rFonts w:ascii="宋体" w:hAnsi="宋体" w:eastAsia="宋体"/>
                <w:sz w:val="16"/>
              </w:rPr>
              <w:t>=0.7万元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FA9BA">
            <w:pPr>
              <w:jc w:val="center"/>
            </w:pPr>
            <w:r>
              <w:rPr>
                <w:rFonts w:ascii="宋体" w:hAnsi="宋体" w:eastAsia="宋体"/>
                <w:sz w:val="16"/>
              </w:rPr>
              <w:t>5.35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9B86E">
            <w:pPr>
              <w:jc w:val="center"/>
            </w:pPr>
            <w:r>
              <w:rPr>
                <w:rFonts w:ascii="宋体" w:hAnsi="宋体" w:eastAsia="宋体"/>
                <w:sz w:val="16"/>
              </w:rPr>
              <w:t>偏差原因：节省财政资金；改进措施：做好预算管控，保证支出和收入保持一致。</w:t>
            </w:r>
          </w:p>
        </w:tc>
      </w:tr>
      <w:tr w14:paraId="33ACF0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842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A21D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EA71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01513">
            <w:pPr>
              <w:jc w:val="center"/>
            </w:pPr>
            <w:r>
              <w:rPr>
                <w:rFonts w:ascii="宋体" w:hAnsi="宋体" w:eastAsia="宋体"/>
                <w:sz w:val="16"/>
              </w:rPr>
              <w:t>有效提高鼓励企业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BD3E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625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A8A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FAE0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AEE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2443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5C1A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C2F2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40017">
            <w:pPr>
              <w:jc w:val="center"/>
            </w:pPr>
          </w:p>
        </w:tc>
      </w:tr>
      <w:tr w14:paraId="1A68A9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D28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D2F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99F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49238">
            <w:pPr>
              <w:jc w:val="center"/>
            </w:pPr>
            <w:r>
              <w:rPr>
                <w:rFonts w:ascii="宋体" w:hAnsi="宋体" w:eastAsia="宋体"/>
                <w:sz w:val="16"/>
              </w:rPr>
              <w:t>项目受益人满意度指标（%）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7D77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718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5D3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169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98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CA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82D1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B0B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AADF4">
            <w:pPr>
              <w:jc w:val="center"/>
            </w:pPr>
          </w:p>
        </w:tc>
      </w:tr>
      <w:tr w14:paraId="6D4CB7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A0AD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EF51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E6CF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0A7BE7">
            <w:pPr>
              <w:jc w:val="center"/>
            </w:pPr>
            <w:r>
              <w:rPr>
                <w:rFonts w:ascii="宋体" w:hAnsi="宋体" w:eastAsia="宋体"/>
                <w:sz w:val="16"/>
              </w:rPr>
              <w:t>78.03分</w:t>
            </w:r>
          </w:p>
        </w:tc>
      </w:tr>
    </w:tbl>
    <w:p w14:paraId="1CD36A43">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696"/>
        <w:gridCol w:w="626"/>
        <w:gridCol w:w="626"/>
        <w:gridCol w:w="626"/>
        <w:gridCol w:w="626"/>
        <w:gridCol w:w="626"/>
        <w:gridCol w:w="776"/>
        <w:gridCol w:w="632"/>
        <w:gridCol w:w="619"/>
        <w:gridCol w:w="630"/>
      </w:tblGrid>
      <w:tr w14:paraId="07EEFA04">
        <w:tblPrEx>
          <w:tblCellMar>
            <w:top w:w="0" w:type="dxa"/>
            <w:left w:w="108" w:type="dxa"/>
            <w:bottom w:w="0" w:type="dxa"/>
            <w:right w:w="108" w:type="dxa"/>
          </w:tblCellMar>
        </w:tblPrEx>
        <w:tc>
          <w:tcPr>
            <w:tcW w:w="8848" w:type="dxa"/>
            <w:gridSpan w:val="14"/>
            <w:vAlign w:val="center"/>
          </w:tcPr>
          <w:p w14:paraId="1F5CC107">
            <w:pPr>
              <w:jc w:val="center"/>
            </w:pPr>
            <w:r>
              <w:rPr>
                <w:rFonts w:ascii="宋体" w:hAnsi="宋体" w:eastAsia="宋体"/>
                <w:sz w:val="24"/>
              </w:rPr>
              <w:t>项目支出绩效自评表</w:t>
            </w:r>
          </w:p>
        </w:tc>
      </w:tr>
      <w:tr w14:paraId="0A798B1C">
        <w:tblPrEx>
          <w:tblCellMar>
            <w:top w:w="0" w:type="dxa"/>
            <w:left w:w="108" w:type="dxa"/>
            <w:bottom w:w="0" w:type="dxa"/>
            <w:right w:w="108" w:type="dxa"/>
          </w:tblCellMar>
        </w:tblPrEx>
        <w:tc>
          <w:tcPr>
            <w:tcW w:w="8848" w:type="dxa"/>
            <w:gridSpan w:val="14"/>
            <w:vAlign w:val="center"/>
          </w:tcPr>
          <w:p w14:paraId="3401EAA7">
            <w:pPr>
              <w:jc w:val="center"/>
            </w:pPr>
            <w:r>
              <w:rPr>
                <w:rFonts w:ascii="宋体" w:hAnsi="宋体" w:eastAsia="宋体"/>
                <w:sz w:val="24"/>
              </w:rPr>
              <w:t>(2024年度)</w:t>
            </w:r>
          </w:p>
        </w:tc>
      </w:tr>
      <w:tr w14:paraId="26C7FB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708F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9C4679">
            <w:pPr>
              <w:jc w:val="center"/>
            </w:pPr>
            <w:r>
              <w:rPr>
                <w:rFonts w:ascii="宋体" w:hAnsi="宋体" w:eastAsia="宋体"/>
                <w:sz w:val="16"/>
              </w:rPr>
              <w:t>系列科普活动经费</w:t>
            </w:r>
          </w:p>
        </w:tc>
      </w:tr>
      <w:tr w14:paraId="7DEB10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0631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60819A">
            <w:pPr>
              <w:jc w:val="center"/>
            </w:pPr>
            <w:r>
              <w:rPr>
                <w:rFonts w:hint="eastAsia" w:ascii="宋体" w:hAnsi="宋体" w:eastAsia="宋体"/>
                <w:sz w:val="16"/>
              </w:rPr>
              <w:t>克孜勒苏柯尔克孜自治州科学技术局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8309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08C7B1">
            <w:pPr>
              <w:jc w:val="center"/>
            </w:pPr>
            <w:r>
              <w:rPr>
                <w:rFonts w:ascii="宋体" w:hAnsi="宋体" w:eastAsia="宋体"/>
                <w:sz w:val="16"/>
              </w:rPr>
              <w:t>克孜勒苏柯尔克孜自治州科技交流中心</w:t>
            </w:r>
          </w:p>
        </w:tc>
      </w:tr>
      <w:tr w14:paraId="775363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28F25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C68C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5446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821B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8FE3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88A9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358C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5C96D">
            <w:pPr>
              <w:jc w:val="center"/>
            </w:pPr>
            <w:r>
              <w:rPr>
                <w:rFonts w:ascii="宋体" w:hAnsi="宋体" w:eastAsia="宋体"/>
                <w:sz w:val="16"/>
              </w:rPr>
              <w:t>得分</w:t>
            </w:r>
          </w:p>
        </w:tc>
      </w:tr>
      <w:tr w14:paraId="2F533E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53B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60C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A01A2">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3D645">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18BDD">
            <w:pPr>
              <w:jc w:val="center"/>
            </w:pPr>
            <w:r>
              <w:rPr>
                <w:rFonts w:ascii="宋体" w:hAnsi="宋体" w:eastAsia="宋体"/>
                <w:sz w:val="16"/>
              </w:rPr>
              <w:t>3.93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827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9F8B6">
            <w:pPr>
              <w:jc w:val="center"/>
            </w:pPr>
            <w:r>
              <w:rPr>
                <w:rFonts w:ascii="宋体" w:hAnsi="宋体" w:eastAsia="宋体"/>
                <w:sz w:val="16"/>
              </w:rPr>
              <w:t>49.1</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EF37C">
            <w:pPr>
              <w:jc w:val="center"/>
            </w:pPr>
            <w:r>
              <w:rPr>
                <w:rFonts w:ascii="宋体" w:hAnsi="宋体" w:eastAsia="宋体"/>
                <w:sz w:val="16"/>
              </w:rPr>
              <w:t>0.00分</w:t>
            </w:r>
          </w:p>
        </w:tc>
      </w:tr>
      <w:tr w14:paraId="4BB012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AB5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2BD8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5E7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EAA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DB8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D24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173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049B9">
            <w:pPr>
              <w:jc w:val="center"/>
            </w:pPr>
            <w:r>
              <w:rPr>
                <w:rFonts w:ascii="宋体" w:hAnsi="宋体" w:eastAsia="宋体"/>
                <w:sz w:val="16"/>
              </w:rPr>
              <w:t>—</w:t>
            </w:r>
          </w:p>
        </w:tc>
      </w:tr>
      <w:tr w14:paraId="4D9EBA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C5E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7459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FFA38">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86103">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A4E79">
            <w:pPr>
              <w:jc w:val="center"/>
            </w:pPr>
            <w:r>
              <w:rPr>
                <w:rFonts w:ascii="宋体" w:hAnsi="宋体" w:eastAsia="宋体"/>
                <w:sz w:val="16"/>
              </w:rPr>
              <w:t>3.93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6CB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DDE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EB408">
            <w:pPr>
              <w:jc w:val="center"/>
            </w:pPr>
            <w:r>
              <w:rPr>
                <w:rFonts w:ascii="宋体" w:hAnsi="宋体" w:eastAsia="宋体"/>
                <w:sz w:val="16"/>
              </w:rPr>
              <w:t>—</w:t>
            </w:r>
          </w:p>
        </w:tc>
      </w:tr>
      <w:tr w14:paraId="147988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9F91B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60116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923C51">
            <w:pPr>
              <w:jc w:val="center"/>
            </w:pPr>
            <w:r>
              <w:rPr>
                <w:rFonts w:ascii="宋体" w:hAnsi="宋体" w:eastAsia="宋体"/>
                <w:sz w:val="16"/>
              </w:rPr>
              <w:t>实际完成情况</w:t>
            </w:r>
          </w:p>
        </w:tc>
      </w:tr>
      <w:tr w14:paraId="3577C8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2D1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2C0BAB">
            <w:pPr>
              <w:jc w:val="both"/>
            </w:pPr>
            <w:r>
              <w:rPr>
                <w:rFonts w:ascii="宋体" w:hAnsi="宋体" w:eastAsia="宋体"/>
                <w:sz w:val="16"/>
              </w:rPr>
              <w:t>系列科普活动资金8万元，其中：财政资金0万元，其他资金8万元，提高科学技术服务能力，有效提升科学技术事业传承与发展，提高这个项目的实施，促进科学技术事业的发展和传承，促进科学技术服务提升。为进一步补齐提升科普普及工作短板，提升科普服务工作质量，达到提高科学技术事业的发展工作效果,开展科普活动,发放宣传资料,开展现场指导工作</w:t>
            </w:r>
            <w:r>
              <w:rPr>
                <w:rFonts w:hint="eastAsia" w:ascii="宋体" w:hAnsi="宋体"/>
                <w:sz w:val="16"/>
                <w:lang w:eastAsia="zh-CN"/>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E642C1">
            <w:pPr>
              <w:jc w:val="both"/>
            </w:pPr>
            <w:r>
              <w:rPr>
                <w:rFonts w:hint="eastAsia" w:ascii="宋体" w:hAnsi="宋体"/>
                <w:sz w:val="16"/>
                <w:lang w:eastAsia="zh-CN"/>
              </w:rPr>
              <w:t>截至</w:t>
            </w:r>
            <w:r>
              <w:rPr>
                <w:rFonts w:ascii="宋体" w:hAnsi="宋体" w:eastAsia="宋体"/>
                <w:sz w:val="16"/>
              </w:rPr>
              <w:t>2024年12月31日，已完成：开展科普活动11场，发放宣传资料2800份，开展现场指导42次，提高科学技术服务能力，有效提升科学技术事业传承与发展，提高这个项目的实施，促进科学技术事业的发展和传承，促进科学技术服务提升。为进一步补齐提升科普普及工作短板，提升科普服务工作质量，达到提高科学技术事业的发展工作效果,开展科普活动,发放宣传资料,开展现场指导工作</w:t>
            </w:r>
            <w:r>
              <w:rPr>
                <w:rFonts w:hint="eastAsia" w:ascii="宋体" w:hAnsi="宋体"/>
                <w:sz w:val="16"/>
                <w:lang w:eastAsia="zh-CN"/>
              </w:rPr>
              <w:t>。</w:t>
            </w:r>
          </w:p>
        </w:tc>
      </w:tr>
      <w:tr w14:paraId="51B6DF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9014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0390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4A0F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6801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894E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C687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6733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E6A9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A5C5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FF6D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E61D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EA96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0BE73">
            <w:pPr>
              <w:jc w:val="center"/>
            </w:pPr>
            <w:r>
              <w:rPr>
                <w:rFonts w:ascii="宋体" w:hAnsi="宋体" w:eastAsia="宋体"/>
                <w:sz w:val="16"/>
              </w:rPr>
              <w:t>偏差原因分析及改进措施</w:t>
            </w:r>
          </w:p>
        </w:tc>
      </w:tr>
      <w:tr w14:paraId="6EFDBA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F9C2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25BA7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2CE9C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4012F">
            <w:pPr>
              <w:jc w:val="center"/>
            </w:pPr>
            <w:r>
              <w:rPr>
                <w:rFonts w:ascii="宋体" w:hAnsi="宋体" w:eastAsia="宋体"/>
                <w:sz w:val="16"/>
              </w:rPr>
              <w:t>开展科普活动（场）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E4591">
            <w:pPr>
              <w:jc w:val="center"/>
            </w:pPr>
            <w:r>
              <w:rPr>
                <w:rFonts w:ascii="宋体" w:hAnsi="宋体" w:eastAsia="宋体"/>
                <w:sz w:val="16"/>
              </w:rPr>
              <w:t>&gt;=13场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A14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E5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F32A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C9B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BAE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61FF7">
            <w:pPr>
              <w:jc w:val="center"/>
            </w:pPr>
            <w:r>
              <w:rPr>
                <w:rFonts w:ascii="宋体" w:hAnsi="宋体" w:eastAsia="宋体"/>
                <w:sz w:val="16"/>
              </w:rPr>
              <w:t>=11场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C205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9A587">
            <w:pPr>
              <w:jc w:val="center"/>
            </w:pPr>
            <w:r>
              <w:rPr>
                <w:rFonts w:ascii="宋体" w:hAnsi="宋体" w:eastAsia="宋体"/>
                <w:sz w:val="16"/>
              </w:rPr>
              <w:t>偏差原因：此项工作经费下达时间2024年的5月份低，因此一年内可以正常开支，留部分结余资金；改进措施：做好政策宣传工作，当年的资金必须在当年使用，不能结转。</w:t>
            </w:r>
          </w:p>
        </w:tc>
      </w:tr>
      <w:tr w14:paraId="6975B9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634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72B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427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E00A2">
            <w:pPr>
              <w:jc w:val="center"/>
            </w:pPr>
            <w:r>
              <w:rPr>
                <w:rFonts w:ascii="宋体" w:hAnsi="宋体" w:eastAsia="宋体"/>
                <w:sz w:val="16"/>
              </w:rPr>
              <w:t>发放宣传资料（份）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A89C3">
            <w:pPr>
              <w:jc w:val="center"/>
            </w:pPr>
            <w:r>
              <w:rPr>
                <w:rFonts w:ascii="宋体" w:hAnsi="宋体" w:eastAsia="宋体"/>
                <w:sz w:val="16"/>
              </w:rPr>
              <w:t>&gt;=3000份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082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EF1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D4BF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F8B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EC4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229D3">
            <w:pPr>
              <w:jc w:val="center"/>
            </w:pPr>
            <w:r>
              <w:rPr>
                <w:rFonts w:ascii="宋体" w:hAnsi="宋体" w:eastAsia="宋体"/>
                <w:sz w:val="16"/>
              </w:rPr>
              <w:t>=2800份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867FB">
            <w:pPr>
              <w:jc w:val="center"/>
            </w:pPr>
            <w:r>
              <w:rPr>
                <w:rFonts w:ascii="宋体" w:hAnsi="宋体" w:eastAsia="宋体"/>
                <w:sz w:val="16"/>
              </w:rPr>
              <w:t>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9882B">
            <w:pPr>
              <w:jc w:val="center"/>
            </w:pPr>
            <w:r>
              <w:rPr>
                <w:rFonts w:ascii="宋体" w:hAnsi="宋体" w:eastAsia="宋体"/>
                <w:sz w:val="16"/>
              </w:rPr>
              <w:t>偏差原因：此项工作经费下达时间2024年的5月份低，因此一年内可以正常开支，留部分结余资金；改进措施：做好政策宣传工作，当年的资金必须在当年使用，不能结转。</w:t>
            </w:r>
          </w:p>
        </w:tc>
      </w:tr>
      <w:tr w14:paraId="544384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D74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3E1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A23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9BEB0">
            <w:pPr>
              <w:jc w:val="center"/>
            </w:pPr>
            <w:r>
              <w:rPr>
                <w:rFonts w:ascii="宋体" w:hAnsi="宋体" w:eastAsia="宋体"/>
                <w:sz w:val="16"/>
              </w:rPr>
              <w:t>开展现场指导（次）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163A7">
            <w:pPr>
              <w:jc w:val="center"/>
            </w:pPr>
            <w:r>
              <w:rPr>
                <w:rFonts w:ascii="宋体" w:hAnsi="宋体" w:eastAsia="宋体"/>
                <w:sz w:val="16"/>
              </w:rPr>
              <w:t>&gt;=42次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44D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024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1C92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795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110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D6378">
            <w:pPr>
              <w:jc w:val="center"/>
            </w:pPr>
            <w:r>
              <w:rPr>
                <w:rFonts w:ascii="宋体" w:hAnsi="宋体" w:eastAsia="宋体"/>
                <w:sz w:val="16"/>
              </w:rPr>
              <w:t>=42次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4E2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525A7">
            <w:pPr>
              <w:jc w:val="center"/>
            </w:pPr>
          </w:p>
        </w:tc>
      </w:tr>
      <w:tr w14:paraId="471F5F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334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D4E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E6FA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BD4A2">
            <w:pPr>
              <w:jc w:val="center"/>
            </w:pPr>
            <w:r>
              <w:rPr>
                <w:rFonts w:ascii="宋体" w:hAnsi="宋体" w:eastAsia="宋体"/>
                <w:sz w:val="16"/>
              </w:rPr>
              <w:t>媒体宣传工作开展覆盖率(%)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053AE">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C3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A3C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A2CD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4BF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543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F89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700F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F4371">
            <w:pPr>
              <w:jc w:val="center"/>
            </w:pPr>
          </w:p>
        </w:tc>
      </w:tr>
      <w:tr w14:paraId="5E2F63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DB8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C6D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1E1B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82FDE">
            <w:pPr>
              <w:jc w:val="center"/>
            </w:pPr>
            <w:r>
              <w:rPr>
                <w:rFonts w:ascii="宋体" w:hAnsi="宋体" w:eastAsia="宋体"/>
                <w:sz w:val="16"/>
              </w:rPr>
              <w:t>项目工作按期完成(%)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1A48B">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BFD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585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0FFE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C4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32A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A86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C246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5C13D">
            <w:pPr>
              <w:jc w:val="center"/>
            </w:pPr>
          </w:p>
        </w:tc>
      </w:tr>
      <w:tr w14:paraId="5AC6CB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6E5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9C932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29AC0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BA82">
            <w:pPr>
              <w:jc w:val="center"/>
            </w:pPr>
            <w:r>
              <w:rPr>
                <w:rFonts w:ascii="宋体" w:hAnsi="宋体" w:eastAsia="宋体"/>
                <w:sz w:val="16"/>
              </w:rPr>
              <w:t>宣传经费（万元）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9FB42">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27B2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E2C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FF7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C77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A21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CFB21">
            <w:pPr>
              <w:jc w:val="center"/>
            </w:pPr>
            <w:r>
              <w:rPr>
                <w:rFonts w:ascii="宋体" w:hAnsi="宋体" w:eastAsia="宋体"/>
                <w:sz w:val="16"/>
              </w:rPr>
              <w:t>=1.317万元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81DA9">
            <w:pPr>
              <w:jc w:val="center"/>
            </w:pPr>
            <w:r>
              <w:rPr>
                <w:rFonts w:ascii="宋体" w:hAnsi="宋体" w:eastAsia="宋体"/>
                <w:sz w:val="16"/>
              </w:rPr>
              <w:t>0.73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3AE68">
            <w:pPr>
              <w:jc w:val="center"/>
            </w:pPr>
            <w:r>
              <w:rPr>
                <w:rFonts w:ascii="宋体" w:hAnsi="宋体" w:eastAsia="宋体"/>
                <w:sz w:val="16"/>
              </w:rPr>
              <w:t>偏差原因：此项工作经费下达时间2024年的5月份低，因此一年内可以正常开支，留部分结余资金；改进措施：做好政策宣传工作，当年的资金必须在当年使用，不能结转。</w:t>
            </w:r>
          </w:p>
        </w:tc>
      </w:tr>
      <w:tr w14:paraId="773BAE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AF1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80D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0FA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E4078">
            <w:pPr>
              <w:jc w:val="center"/>
            </w:pPr>
            <w:r>
              <w:rPr>
                <w:rFonts w:ascii="宋体" w:hAnsi="宋体" w:eastAsia="宋体"/>
                <w:sz w:val="16"/>
              </w:rPr>
              <w:t>开展科普活动经费（万元）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164F6">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D776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D35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5B9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8AD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454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A8E54">
            <w:pPr>
              <w:jc w:val="center"/>
            </w:pPr>
            <w:r>
              <w:rPr>
                <w:rFonts w:ascii="宋体" w:hAnsi="宋体" w:eastAsia="宋体"/>
                <w:sz w:val="16"/>
              </w:rPr>
              <w:t>=2.1932万元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27AD2">
            <w:pPr>
              <w:jc w:val="center"/>
            </w:pPr>
            <w:r>
              <w:rPr>
                <w:rFonts w:ascii="宋体" w:hAnsi="宋体" w:eastAsia="宋体"/>
                <w:sz w:val="16"/>
              </w:rPr>
              <w:t>1.64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D1380">
            <w:pPr>
              <w:jc w:val="center"/>
            </w:pPr>
            <w:r>
              <w:rPr>
                <w:rFonts w:ascii="宋体" w:hAnsi="宋体" w:eastAsia="宋体"/>
                <w:sz w:val="16"/>
              </w:rPr>
              <w:t>偏差原因：此项工作经费下达时间2024年的5月份低，因此一年内可以正常开支，留部分结余资金；改进措施：做好政策宣传工作，当年的资金必须在当年使用，不能结转。</w:t>
            </w:r>
          </w:p>
        </w:tc>
      </w:tr>
      <w:tr w14:paraId="312F87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C1B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65C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82D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FD089">
            <w:pPr>
              <w:jc w:val="center"/>
            </w:pPr>
            <w:r>
              <w:rPr>
                <w:rFonts w:ascii="宋体" w:hAnsi="宋体" w:eastAsia="宋体"/>
                <w:sz w:val="16"/>
              </w:rPr>
              <w:t>指导经费（万元）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B5D51">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D57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AB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0EA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B45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B05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FDF3">
            <w:pPr>
              <w:jc w:val="center"/>
            </w:pPr>
            <w:r>
              <w:rPr>
                <w:rFonts w:ascii="宋体" w:hAnsi="宋体" w:eastAsia="宋体"/>
                <w:sz w:val="16"/>
              </w:rPr>
              <w:t>=0.4163万元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45EA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9AB97">
            <w:pPr>
              <w:jc w:val="center"/>
            </w:pPr>
            <w:r>
              <w:rPr>
                <w:rFonts w:ascii="宋体" w:hAnsi="宋体" w:eastAsia="宋体"/>
                <w:sz w:val="16"/>
              </w:rPr>
              <w:t>偏差原因：此项工作经费下达时间2024年的5月份低，因此一年内可以正常开支，留部分结余资金；改进措施：做好政策宣传工作，当年的资金必须在当年使用，不能结转。</w:t>
            </w:r>
          </w:p>
        </w:tc>
      </w:tr>
      <w:tr w14:paraId="255AD1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126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DC0D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147B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0E8BC">
            <w:pPr>
              <w:jc w:val="center"/>
            </w:pPr>
            <w:r>
              <w:rPr>
                <w:rFonts w:ascii="宋体" w:hAnsi="宋体" w:eastAsia="宋体"/>
                <w:sz w:val="16"/>
              </w:rPr>
              <w:t>有效提高科普宣传工作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331E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C67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B64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D78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9FAD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D9A5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28E8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B6F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F0C05">
            <w:pPr>
              <w:jc w:val="center"/>
            </w:pPr>
          </w:p>
        </w:tc>
      </w:tr>
      <w:tr w14:paraId="3022D0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09B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D2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0A6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31BCB">
            <w:pPr>
              <w:jc w:val="center"/>
            </w:pPr>
            <w:r>
              <w:rPr>
                <w:rFonts w:ascii="宋体" w:hAnsi="宋体" w:eastAsia="宋体"/>
                <w:sz w:val="16"/>
              </w:rPr>
              <w:t>项目受益人满意度（%）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625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EE2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82E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B0A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7A43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0E8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4B83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5CB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3C53E">
            <w:pPr>
              <w:jc w:val="center"/>
            </w:pPr>
          </w:p>
        </w:tc>
      </w:tr>
      <w:tr w14:paraId="1B21B9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9189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AEA6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1AFF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AA7508">
            <w:pPr>
              <w:jc w:val="center"/>
            </w:pPr>
            <w:r>
              <w:rPr>
                <w:rFonts w:ascii="宋体" w:hAnsi="宋体" w:eastAsia="宋体"/>
                <w:sz w:val="16"/>
              </w:rPr>
              <w:t>67.97分</w:t>
            </w:r>
          </w:p>
        </w:tc>
      </w:tr>
    </w:tbl>
    <w:p w14:paraId="384FF02E">
      <w:r>
        <w:br w:type="page"/>
      </w:r>
    </w:p>
    <w:p w14:paraId="3AD846A1">
      <w:pPr>
        <w:spacing w:line="640" w:lineRule="exact"/>
        <w:ind w:firstLine="640"/>
        <w:jc w:val="both"/>
        <w:outlineLvl w:val="2"/>
      </w:pPr>
      <w:r>
        <w:rPr>
          <w:rFonts w:ascii="黑体" w:hAnsi="黑体" w:eastAsia="黑体"/>
          <w:sz w:val="32"/>
        </w:rPr>
        <w:t>十二、其他需说明的事项</w:t>
      </w:r>
    </w:p>
    <w:p w14:paraId="301B09DE">
      <w:pPr>
        <w:spacing w:line="580" w:lineRule="exact"/>
        <w:ind w:firstLine="640"/>
        <w:jc w:val="both"/>
      </w:pPr>
      <w:r>
        <w:rPr>
          <w:rFonts w:ascii="仿宋_GB2312" w:hAnsi="仿宋_GB2312" w:eastAsia="仿宋_GB2312"/>
          <w:b w:val="0"/>
          <w:sz w:val="32"/>
        </w:rPr>
        <w:t>本单位无其他需说明的事项。</w:t>
      </w:r>
    </w:p>
    <w:p w14:paraId="6729C368">
      <w:r>
        <w:br w:type="page"/>
      </w:r>
    </w:p>
    <w:p w14:paraId="5934C5A9">
      <w:pPr>
        <w:spacing w:line="240" w:lineRule="auto"/>
        <w:jc w:val="center"/>
        <w:outlineLvl w:val="1"/>
      </w:pPr>
      <w:r>
        <w:rPr>
          <w:rFonts w:ascii="黑体" w:hAnsi="黑体" w:eastAsia="黑体"/>
          <w:sz w:val="32"/>
        </w:rPr>
        <w:t>第三部分 专业名词解释</w:t>
      </w:r>
    </w:p>
    <w:p w14:paraId="675C62C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290A39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6232E1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1F0880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FC807F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8C606E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9C29C1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8DBA99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657FBF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ADD398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B18974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9CB288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49F500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9491F9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0A9568E">
      <w:r>
        <w:br w:type="page"/>
      </w:r>
    </w:p>
    <w:p w14:paraId="6DAB3993">
      <w:pPr>
        <w:spacing w:line="240" w:lineRule="auto"/>
        <w:jc w:val="center"/>
        <w:outlineLvl w:val="1"/>
      </w:pPr>
      <w:r>
        <w:rPr>
          <w:rFonts w:ascii="黑体" w:hAnsi="黑体" w:eastAsia="黑体"/>
          <w:sz w:val="32"/>
        </w:rPr>
        <w:t>第四部分 部门决算报表（见附表）</w:t>
      </w:r>
    </w:p>
    <w:p w14:paraId="1D93026B">
      <w:pPr>
        <w:spacing w:line="240" w:lineRule="auto"/>
        <w:ind w:firstLine="640"/>
        <w:jc w:val="both"/>
      </w:pPr>
      <w:r>
        <w:rPr>
          <w:rFonts w:ascii="仿宋_GB2312" w:hAnsi="仿宋_GB2312" w:eastAsia="仿宋_GB2312"/>
          <w:b w:val="0"/>
          <w:sz w:val="32"/>
        </w:rPr>
        <w:t>一、《收入支出决算总表》</w:t>
      </w:r>
    </w:p>
    <w:p w14:paraId="43AD5DCC">
      <w:pPr>
        <w:spacing w:line="240" w:lineRule="auto"/>
        <w:ind w:firstLine="640"/>
        <w:jc w:val="both"/>
      </w:pPr>
      <w:r>
        <w:rPr>
          <w:rFonts w:ascii="仿宋_GB2312" w:hAnsi="仿宋_GB2312" w:eastAsia="仿宋_GB2312"/>
          <w:b w:val="0"/>
          <w:sz w:val="32"/>
        </w:rPr>
        <w:t>二、《收入决算表》</w:t>
      </w:r>
    </w:p>
    <w:p w14:paraId="53D7EB1F">
      <w:pPr>
        <w:spacing w:line="240" w:lineRule="auto"/>
        <w:ind w:firstLine="640"/>
        <w:jc w:val="both"/>
      </w:pPr>
      <w:r>
        <w:rPr>
          <w:rFonts w:ascii="仿宋_GB2312" w:hAnsi="仿宋_GB2312" w:eastAsia="仿宋_GB2312"/>
          <w:b w:val="0"/>
          <w:sz w:val="32"/>
        </w:rPr>
        <w:t>三、《支出决算表》</w:t>
      </w:r>
    </w:p>
    <w:p w14:paraId="69148A0F">
      <w:pPr>
        <w:spacing w:line="240" w:lineRule="auto"/>
        <w:ind w:firstLine="640"/>
        <w:jc w:val="both"/>
      </w:pPr>
      <w:r>
        <w:rPr>
          <w:rFonts w:ascii="仿宋_GB2312" w:hAnsi="仿宋_GB2312" w:eastAsia="仿宋_GB2312"/>
          <w:b w:val="0"/>
          <w:sz w:val="32"/>
        </w:rPr>
        <w:t>四、《财政拨款收入支出决算总表》</w:t>
      </w:r>
    </w:p>
    <w:p w14:paraId="2336D292">
      <w:pPr>
        <w:spacing w:line="240" w:lineRule="auto"/>
        <w:ind w:firstLine="640"/>
        <w:jc w:val="both"/>
      </w:pPr>
      <w:r>
        <w:rPr>
          <w:rFonts w:ascii="仿宋_GB2312" w:hAnsi="仿宋_GB2312" w:eastAsia="仿宋_GB2312"/>
          <w:b w:val="0"/>
          <w:sz w:val="32"/>
        </w:rPr>
        <w:t>五、《一般公共预算财政拨款支出决算表》</w:t>
      </w:r>
    </w:p>
    <w:p w14:paraId="2647F5D2">
      <w:pPr>
        <w:spacing w:line="240" w:lineRule="auto"/>
        <w:ind w:firstLine="640"/>
        <w:jc w:val="both"/>
      </w:pPr>
      <w:r>
        <w:rPr>
          <w:rFonts w:ascii="仿宋_GB2312" w:hAnsi="仿宋_GB2312" w:eastAsia="仿宋_GB2312"/>
          <w:b w:val="0"/>
          <w:sz w:val="32"/>
        </w:rPr>
        <w:t>六、《一般公共预算财政拨款基本支出决算表》</w:t>
      </w:r>
    </w:p>
    <w:p w14:paraId="1075DD0E">
      <w:pPr>
        <w:spacing w:line="240" w:lineRule="auto"/>
        <w:ind w:firstLine="640"/>
        <w:jc w:val="both"/>
      </w:pPr>
      <w:r>
        <w:rPr>
          <w:rFonts w:ascii="仿宋_GB2312" w:hAnsi="仿宋_GB2312" w:eastAsia="仿宋_GB2312"/>
          <w:b w:val="0"/>
          <w:sz w:val="32"/>
        </w:rPr>
        <w:t>七、《政府性基金预算财政拨款收入支出决算表》</w:t>
      </w:r>
    </w:p>
    <w:p w14:paraId="657E5971">
      <w:pPr>
        <w:spacing w:line="240" w:lineRule="auto"/>
        <w:ind w:firstLine="640"/>
        <w:jc w:val="both"/>
      </w:pPr>
      <w:r>
        <w:rPr>
          <w:rFonts w:ascii="仿宋_GB2312" w:hAnsi="仿宋_GB2312" w:eastAsia="仿宋_GB2312"/>
          <w:b w:val="0"/>
          <w:sz w:val="32"/>
        </w:rPr>
        <w:t>八、《国有资本经营预算财政拨款收入支出决算表》</w:t>
      </w:r>
    </w:p>
    <w:p w14:paraId="1E22512B">
      <w:pPr>
        <w:spacing w:line="240" w:lineRule="auto"/>
        <w:ind w:firstLine="640"/>
        <w:jc w:val="both"/>
      </w:pPr>
      <w:r>
        <w:rPr>
          <w:rFonts w:ascii="仿宋_GB2312" w:hAnsi="仿宋_GB2312" w:eastAsia="仿宋_GB2312"/>
          <w:b w:val="0"/>
          <w:sz w:val="32"/>
        </w:rPr>
        <w:t>九、《财政拨款“三公”经费支出决算表》</w:t>
      </w:r>
    </w:p>
    <w:p w14:paraId="4E86D79A">
      <w:pPr>
        <w:spacing w:line="240" w:lineRule="auto"/>
        <w:ind w:firstLine="640"/>
        <w:jc w:val="both"/>
      </w:pPr>
    </w:p>
    <w:p w14:paraId="48C375EB">
      <w:pPr>
        <w:spacing w:line="240" w:lineRule="auto"/>
        <w:ind w:firstLine="640"/>
        <w:jc w:val="both"/>
      </w:pPr>
    </w:p>
    <w:p w14:paraId="3638393C">
      <w:pPr>
        <w:spacing w:line="240" w:lineRule="auto"/>
        <w:ind w:firstLine="640"/>
        <w:jc w:val="both"/>
      </w:pPr>
    </w:p>
    <w:p w14:paraId="06344235">
      <w:pPr>
        <w:spacing w:line="240" w:lineRule="auto"/>
        <w:ind w:firstLine="640"/>
        <w:jc w:val="both"/>
      </w:pPr>
    </w:p>
    <w:p w14:paraId="45DAAE2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D80F938-CE8C-40F7-BB3F-C263E738949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6B4486A-56FE-47B7-AA00-29ACD44588CA}"/>
  </w:font>
  <w:font w:name="仿宋_GB2312">
    <w:panose1 w:val="02010609030101010101"/>
    <w:charset w:val="86"/>
    <w:family w:val="modern"/>
    <w:pitch w:val="default"/>
    <w:sig w:usb0="00000001" w:usb1="080E0000" w:usb2="00000000" w:usb3="00000000" w:csb0="00040000" w:csb1="00000000"/>
    <w:embedRegular r:id="rId3" w:fontKey="{7507D63D-8E14-420A-9790-9BDDFEF03F65}"/>
  </w:font>
  <w:font w:name="楷体_GB2312">
    <w:panose1 w:val="02010609030101010101"/>
    <w:charset w:val="86"/>
    <w:family w:val="auto"/>
    <w:pitch w:val="default"/>
    <w:sig w:usb0="00000001" w:usb1="080E0000" w:usb2="00000000" w:usb3="00000000" w:csb0="00040000" w:csb1="00000000"/>
    <w:embedRegular r:id="rId4" w:fontKey="{52611E45-E172-4A8E-81DA-20D5F2EAC9E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2161C2"/>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EA43077"/>
    <w:rsid w:val="5FA17648"/>
    <w:rsid w:val="5FD320BD"/>
    <w:rsid w:val="60DE4D57"/>
    <w:rsid w:val="613409CB"/>
    <w:rsid w:val="61A46A97"/>
    <w:rsid w:val="62DD7D21"/>
    <w:rsid w:val="65D97752"/>
    <w:rsid w:val="664C500C"/>
    <w:rsid w:val="67D111AB"/>
    <w:rsid w:val="68DB0208"/>
    <w:rsid w:val="68DF36D5"/>
    <w:rsid w:val="69846A0E"/>
    <w:rsid w:val="69AD798C"/>
    <w:rsid w:val="6A013600"/>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4900</Words>
  <Characters>5490</Characters>
  <Lines>0</Lines>
  <Paragraphs>0</Paragraphs>
  <TotalTime>6</TotalTime>
  <ScaleCrop>false</ScaleCrop>
  <LinksUpToDate>false</LinksUpToDate>
  <CharactersWithSpaces>5499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2025-09-02T05:30:33Z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eyJoZGlkIjoiZTEwMTFjZmI3NWUwMGRmYWEyNzFiMzQ2OTlkZWE5ODAiLCJ1c2VySWQiOiI0MzE2NzY3NzkifQ==</vt:lpwstr>
  </property>
</Properties>
</file>