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中共克孜勒苏柯尔克孜自治州机构编制委员会办公室2024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30344C4">
      <w:r>
        <w:br w:type="page"/>
      </w:r>
    </w:p>
    <w:p w14:paraId="727A6A98">
      <w:pPr>
        <w:spacing w:line="640" w:lineRule="exact"/>
        <w:jc w:val="center"/>
        <w:outlineLvl w:val="1"/>
      </w:pPr>
      <w:r>
        <w:rPr>
          <w:rFonts w:ascii="黑体" w:hAnsi="黑体" w:eastAsia="黑体"/>
          <w:sz w:val="32"/>
        </w:rPr>
        <w:t>第一部分 单位概况</w:t>
      </w:r>
    </w:p>
    <w:p w14:paraId="1181E9E6">
      <w:pPr>
        <w:spacing w:line="640" w:lineRule="exact"/>
        <w:ind w:firstLine="640"/>
        <w:jc w:val="both"/>
        <w:outlineLvl w:val="2"/>
      </w:pPr>
      <w:r>
        <w:rPr>
          <w:rFonts w:ascii="黑体" w:hAnsi="黑体" w:eastAsia="黑体"/>
          <w:sz w:val="32"/>
        </w:rPr>
        <w:t>一、主要职能</w:t>
      </w:r>
    </w:p>
    <w:p w14:paraId="67AE53D0">
      <w:pPr>
        <w:spacing w:line="580" w:lineRule="exact"/>
        <w:ind w:firstLine="640"/>
        <w:jc w:val="both"/>
      </w:pPr>
      <w:r>
        <w:rPr>
          <w:rFonts w:ascii="仿宋_GB2312" w:hAnsi="仿宋_GB2312" w:eastAsia="仿宋_GB2312"/>
          <w:sz w:val="32"/>
        </w:rPr>
        <w:t>贯彻执行中央、自治区有关党政群机关机构编制管理的方针、政策和法规，拟定实施细则和管理办法；研究提出自治州级机关各部门的职能协调意见；研究拟定自治州各类机构改革事宜；审核和管理自治州各级编制，以及副科级以上领导职数。审核自治州人民政府议事协调机构和办事机构的设置，参与自治州行政许可事项的规范和清理工作；做好事业单位法人登记和统一社会信用代码赋码工作。</w:t>
      </w:r>
    </w:p>
    <w:p w14:paraId="3FA08BF9">
      <w:pPr>
        <w:spacing w:line="640" w:lineRule="exact"/>
        <w:ind w:firstLine="640"/>
        <w:jc w:val="both"/>
        <w:outlineLvl w:val="2"/>
      </w:pPr>
      <w:r>
        <w:rPr>
          <w:rFonts w:ascii="黑体" w:hAnsi="黑体" w:eastAsia="黑体"/>
          <w:sz w:val="32"/>
        </w:rPr>
        <w:t>二、机构设置及人员情况</w:t>
      </w:r>
    </w:p>
    <w:p w14:paraId="6F0F5548">
      <w:pPr>
        <w:spacing w:line="580" w:lineRule="exact"/>
        <w:ind w:firstLine="640"/>
        <w:jc w:val="both"/>
      </w:pPr>
      <w:r>
        <w:rPr>
          <w:rFonts w:ascii="仿宋_GB2312" w:hAnsi="仿宋_GB2312" w:eastAsia="仿宋_GB2312"/>
          <w:sz w:val="32"/>
        </w:rPr>
        <w:t>中共克孜勒苏柯尔克孜自治州机构编制委员会办公室2024年度，实有人数23人，其中：在职人员18人，增加3人；离休人员0人，增加0人；退休人员5人,增加0人。</w:t>
      </w:r>
    </w:p>
    <w:p w14:paraId="370251B1">
      <w:pPr>
        <w:spacing w:line="580" w:lineRule="exact"/>
        <w:ind w:firstLine="640"/>
        <w:jc w:val="both"/>
      </w:pPr>
      <w:r>
        <w:rPr>
          <w:rFonts w:ascii="仿宋_GB2312" w:hAnsi="仿宋_GB2312" w:eastAsia="仿宋_GB2312"/>
          <w:sz w:val="32"/>
        </w:rPr>
        <w:t>中共克孜勒苏柯尔克孜自治州机构编制委员会办公室无下属预算单位，下设6个科室，分别是：综合科、监督检查科、事业机构编制科、行政机关编制科、事业单位登记管理局、电子政务中心。</w:t>
      </w:r>
    </w:p>
    <w:p w14:paraId="37620D29">
      <w:r>
        <w:br w:type="page"/>
      </w:r>
    </w:p>
    <w:p w14:paraId="2910FF01">
      <w:pPr>
        <w:spacing w:line="240" w:lineRule="auto"/>
        <w:jc w:val="center"/>
        <w:outlineLvl w:val="1"/>
      </w:pPr>
      <w:r>
        <w:rPr>
          <w:rFonts w:ascii="黑体" w:hAnsi="黑体" w:eastAsia="黑体"/>
          <w:sz w:val="32"/>
        </w:rPr>
        <w:t>第二部分 部门决算情况说明</w:t>
      </w:r>
    </w:p>
    <w:p w14:paraId="13D62B77">
      <w:pPr>
        <w:spacing w:line="640" w:lineRule="exact"/>
        <w:ind w:firstLine="640"/>
        <w:jc w:val="both"/>
        <w:outlineLvl w:val="2"/>
      </w:pPr>
      <w:r>
        <w:rPr>
          <w:rFonts w:ascii="黑体" w:hAnsi="黑体" w:eastAsia="黑体"/>
          <w:sz w:val="32"/>
        </w:rPr>
        <w:t>一、收入支出决算总体情况说明</w:t>
      </w:r>
    </w:p>
    <w:p w14:paraId="1D411FE9">
      <w:pPr>
        <w:spacing w:line="580" w:lineRule="exact"/>
        <w:ind w:firstLine="640"/>
        <w:jc w:val="both"/>
      </w:pPr>
      <w:r>
        <w:rPr>
          <w:rFonts w:ascii="仿宋_GB2312" w:hAnsi="仿宋_GB2312" w:eastAsia="仿宋_GB2312"/>
          <w:b/>
          <w:sz w:val="32"/>
        </w:rPr>
        <w:t>2024年度收入总计369.00万元，</w:t>
      </w:r>
      <w:r>
        <w:rPr>
          <w:rFonts w:ascii="仿宋_GB2312" w:hAnsi="仿宋_GB2312" w:eastAsia="仿宋_GB2312"/>
          <w:b w:val="0"/>
          <w:sz w:val="32"/>
        </w:rPr>
        <w:t>其中：本年收入合计358.75万元，使用非财政拨款结余（含专用结余）0.00万元，年初结转和结余10.24万元。</w:t>
      </w:r>
    </w:p>
    <w:p w14:paraId="7D1AB118">
      <w:pPr>
        <w:spacing w:line="580" w:lineRule="exact"/>
        <w:ind w:firstLine="640"/>
        <w:jc w:val="both"/>
      </w:pPr>
      <w:r>
        <w:rPr>
          <w:rFonts w:ascii="仿宋_GB2312" w:hAnsi="仿宋_GB2312" w:eastAsia="仿宋_GB2312"/>
          <w:b/>
          <w:sz w:val="32"/>
        </w:rPr>
        <w:t>2024年度支出总计369.00万元，</w:t>
      </w:r>
      <w:r>
        <w:rPr>
          <w:rFonts w:ascii="仿宋_GB2312" w:hAnsi="仿宋_GB2312" w:eastAsia="仿宋_GB2312"/>
          <w:b w:val="0"/>
          <w:sz w:val="32"/>
        </w:rPr>
        <w:t>其中：本年支出合计359.84万元，结余分配0.00万元，年末结转和结余9.15万元。</w:t>
      </w:r>
    </w:p>
    <w:p w14:paraId="32085427">
      <w:pPr>
        <w:spacing w:line="580" w:lineRule="exact"/>
        <w:ind w:firstLine="640"/>
        <w:jc w:val="both"/>
      </w:pPr>
      <w:r>
        <w:rPr>
          <w:rFonts w:ascii="仿宋_GB2312" w:hAnsi="仿宋_GB2312" w:eastAsia="仿宋_GB2312"/>
          <w:b w:val="0"/>
          <w:sz w:val="32"/>
        </w:rPr>
        <w:t>收入支出总体与上年相比，增加61.88万元，增长20.15%，主要原因是：1.本年在职人员增加，在职人员工资增长，社保、公积金基数调增，相关支出增加；2.本年增加党和国家机构及事业单位改革工作经费项目、2024年驻村工作经费项目。</w:t>
      </w:r>
    </w:p>
    <w:p w14:paraId="4C4636CF">
      <w:pPr>
        <w:spacing w:line="640" w:lineRule="exact"/>
        <w:ind w:firstLine="640"/>
        <w:jc w:val="both"/>
        <w:outlineLvl w:val="2"/>
      </w:pPr>
      <w:r>
        <w:rPr>
          <w:rFonts w:ascii="黑体" w:hAnsi="黑体" w:eastAsia="黑体"/>
          <w:sz w:val="32"/>
        </w:rPr>
        <w:t>二、收入决算情况说明</w:t>
      </w:r>
    </w:p>
    <w:p w14:paraId="3AA8990C">
      <w:pPr>
        <w:spacing w:line="580" w:lineRule="exact"/>
        <w:ind w:firstLine="640"/>
        <w:jc w:val="both"/>
      </w:pPr>
      <w:r>
        <w:rPr>
          <w:rFonts w:ascii="仿宋_GB2312" w:hAnsi="仿宋_GB2312" w:eastAsia="仿宋_GB2312"/>
          <w:b/>
          <w:sz w:val="32"/>
        </w:rPr>
        <w:t>本年收入358.75万元，</w:t>
      </w:r>
      <w:r>
        <w:rPr>
          <w:rFonts w:ascii="仿宋_GB2312" w:hAnsi="仿宋_GB2312" w:eastAsia="仿宋_GB2312"/>
          <w:b w:val="0"/>
          <w:sz w:val="32"/>
        </w:rPr>
        <w:t>其中：财政拨款收入358.73万元，占99.99%；上级补助收入0.00万元，占0.00%；事业收入0.00万元，占0.00%；经营收入0.00万元，占0.00%；附属单位上缴收入0.00万元，占0.00%；其他收入0.02万元，占0.006%。</w:t>
      </w:r>
    </w:p>
    <w:p w14:paraId="386C2D2C">
      <w:pPr>
        <w:spacing w:line="640" w:lineRule="exact"/>
        <w:ind w:firstLine="640"/>
        <w:jc w:val="both"/>
        <w:outlineLvl w:val="2"/>
      </w:pPr>
      <w:r>
        <w:rPr>
          <w:rFonts w:ascii="黑体" w:hAnsi="黑体" w:eastAsia="黑体"/>
          <w:sz w:val="32"/>
        </w:rPr>
        <w:t>三、支出决算情况说明</w:t>
      </w:r>
    </w:p>
    <w:p w14:paraId="149EE6F9">
      <w:pPr>
        <w:spacing w:line="580" w:lineRule="exact"/>
        <w:ind w:firstLine="640"/>
        <w:jc w:val="both"/>
      </w:pPr>
      <w:r>
        <w:rPr>
          <w:rFonts w:ascii="仿宋_GB2312" w:hAnsi="仿宋_GB2312" w:eastAsia="仿宋_GB2312"/>
          <w:b/>
          <w:sz w:val="32"/>
        </w:rPr>
        <w:t>本年支出359.84万元，</w:t>
      </w:r>
      <w:r>
        <w:rPr>
          <w:rFonts w:ascii="仿宋_GB2312" w:hAnsi="仿宋_GB2312" w:eastAsia="仿宋_GB2312"/>
          <w:b w:val="0"/>
          <w:sz w:val="32"/>
        </w:rPr>
        <w:t>其中：基本支出343.38万元，占95.43%；项目支出16.47万元，占4.58%；上缴上级支出0.00万元，占0.00%；经营支出0.00万元，占0.00%；对附属单位补助支出0.00万元，占0.00%。</w:t>
      </w:r>
    </w:p>
    <w:p w14:paraId="31256DCF">
      <w:pPr>
        <w:spacing w:line="640" w:lineRule="exact"/>
        <w:ind w:firstLine="640"/>
        <w:jc w:val="both"/>
        <w:outlineLvl w:val="2"/>
      </w:pPr>
      <w:r>
        <w:rPr>
          <w:rFonts w:ascii="黑体" w:hAnsi="黑体" w:eastAsia="黑体"/>
          <w:sz w:val="32"/>
        </w:rPr>
        <w:t>四、财政拨款收入支出决算总体情况说明</w:t>
      </w:r>
    </w:p>
    <w:p w14:paraId="043A8BE8">
      <w:pPr>
        <w:spacing w:line="580" w:lineRule="exact"/>
        <w:ind w:firstLine="640"/>
        <w:jc w:val="both"/>
      </w:pPr>
      <w:r>
        <w:rPr>
          <w:rFonts w:ascii="仿宋_GB2312" w:hAnsi="仿宋_GB2312" w:eastAsia="仿宋_GB2312"/>
          <w:b/>
          <w:sz w:val="32"/>
        </w:rPr>
        <w:t>2024年度财政拨款收入总计358.73万元，</w:t>
      </w:r>
      <w:r>
        <w:rPr>
          <w:rFonts w:ascii="仿宋_GB2312" w:hAnsi="仿宋_GB2312" w:eastAsia="仿宋_GB2312"/>
          <w:b w:val="0"/>
          <w:sz w:val="32"/>
        </w:rPr>
        <w:t>其中：年初财政拨款结转和结余0.00万元，本年财政拨款收入358.73万元。</w:t>
      </w:r>
      <w:r>
        <w:rPr>
          <w:rFonts w:ascii="仿宋_GB2312" w:hAnsi="仿宋_GB2312" w:eastAsia="仿宋_GB2312"/>
          <w:b/>
          <w:sz w:val="32"/>
        </w:rPr>
        <w:t>财政拨款支出总计358.73万元，</w:t>
      </w:r>
      <w:r>
        <w:rPr>
          <w:rFonts w:ascii="仿宋_GB2312" w:hAnsi="仿宋_GB2312" w:eastAsia="仿宋_GB2312"/>
          <w:b w:val="0"/>
          <w:sz w:val="32"/>
        </w:rPr>
        <w:t>其中：年末财政拨款结转和结余0.00万元，本年财政拨款支出358.73万元。</w:t>
      </w:r>
    </w:p>
    <w:p w14:paraId="12EAF09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增加66.90万元，增长22.92%，主要原因是：1.本年在职人员增加，在职人员工资增长，社保、公积金基数调增，相关支出增加；2.本年增加党和国家机构及事业单位改革工作经费项目、2024年驻村工作经费项目。</w:t>
      </w:r>
      <w:r>
        <w:rPr>
          <w:rFonts w:ascii="仿宋_GB2312" w:hAnsi="仿宋_GB2312" w:eastAsia="仿宋_GB2312"/>
          <w:b/>
          <w:sz w:val="32"/>
        </w:rPr>
        <w:t>与年初预算相比，</w:t>
      </w:r>
      <w:r>
        <w:rPr>
          <w:rFonts w:ascii="仿宋_GB2312" w:hAnsi="仿宋_GB2312" w:eastAsia="仿宋_GB2312"/>
          <w:b w:val="0"/>
          <w:sz w:val="32"/>
        </w:rPr>
        <w:t>年初预算数328.26万元，决算数358.73万元，预决算差异率9.28%，主要原因是：本年在职人员增加，年中追加人员经费及人员工资、社保、公积金基数调增部分资金，导致预决算存在差异。</w:t>
      </w:r>
    </w:p>
    <w:p w14:paraId="1377803A">
      <w:pPr>
        <w:spacing w:line="640" w:lineRule="exact"/>
        <w:ind w:firstLine="640"/>
        <w:jc w:val="both"/>
        <w:outlineLvl w:val="2"/>
      </w:pPr>
      <w:r>
        <w:rPr>
          <w:rFonts w:ascii="黑体" w:hAnsi="黑体" w:eastAsia="黑体"/>
          <w:sz w:val="32"/>
        </w:rPr>
        <w:t>五、一般公共预算财政拨款支出决算情况说明</w:t>
      </w:r>
    </w:p>
    <w:p w14:paraId="35623CD8">
      <w:pPr>
        <w:spacing w:line="640" w:lineRule="exact"/>
        <w:ind w:firstLine="640"/>
        <w:jc w:val="both"/>
        <w:outlineLvl w:val="3"/>
      </w:pPr>
      <w:r>
        <w:rPr>
          <w:rFonts w:ascii="楷体_GB2312" w:hAnsi="楷体_GB2312" w:eastAsia="楷体_GB2312"/>
          <w:b/>
          <w:sz w:val="32"/>
        </w:rPr>
        <w:t>（一）一般公共预算财政拨款支出决算总体情况</w:t>
      </w:r>
    </w:p>
    <w:p w14:paraId="34C8EE11">
      <w:pPr>
        <w:spacing w:line="580" w:lineRule="exact"/>
        <w:ind w:firstLine="640"/>
        <w:jc w:val="both"/>
      </w:pPr>
      <w:r>
        <w:rPr>
          <w:rFonts w:ascii="仿宋_GB2312" w:hAnsi="仿宋_GB2312" w:eastAsia="仿宋_GB2312"/>
          <w:b/>
          <w:sz w:val="32"/>
        </w:rPr>
        <w:t>2024年度一般公共预算财政拨款支出358.73万元，</w:t>
      </w:r>
      <w:r>
        <w:rPr>
          <w:rFonts w:ascii="仿宋_GB2312" w:hAnsi="仿宋_GB2312" w:eastAsia="仿宋_GB2312"/>
          <w:b w:val="0"/>
          <w:sz w:val="32"/>
        </w:rPr>
        <w:t>占本年支出合计的99.69%。</w:t>
      </w:r>
      <w:r>
        <w:rPr>
          <w:rFonts w:ascii="仿宋_GB2312" w:hAnsi="仿宋_GB2312" w:eastAsia="仿宋_GB2312"/>
          <w:b/>
          <w:sz w:val="32"/>
        </w:rPr>
        <w:t>与上年相比，</w:t>
      </w:r>
      <w:r>
        <w:rPr>
          <w:rFonts w:ascii="仿宋_GB2312" w:hAnsi="仿宋_GB2312" w:eastAsia="仿宋_GB2312"/>
          <w:b w:val="0"/>
          <w:sz w:val="32"/>
        </w:rPr>
        <w:t>增加66.90万元，增长22.92%，主要原因是：1.本年在职人员增加，在职人员工资增长，社保、公积金基数调增，相关支出增加；2.本年增加党和国家机构及事业单位改革工作经费项目、2024年驻村工作经费项目。</w:t>
      </w:r>
      <w:r>
        <w:rPr>
          <w:rFonts w:ascii="仿宋_GB2312" w:hAnsi="仿宋_GB2312" w:eastAsia="仿宋_GB2312"/>
          <w:b/>
          <w:sz w:val="32"/>
        </w:rPr>
        <w:t>与年初预算相比,</w:t>
      </w:r>
      <w:r>
        <w:rPr>
          <w:rFonts w:ascii="仿宋_GB2312" w:hAnsi="仿宋_GB2312" w:eastAsia="仿宋_GB2312"/>
          <w:b w:val="0"/>
          <w:sz w:val="32"/>
        </w:rPr>
        <w:t>年初预算数328.26万元，决算数358.73万元，预决算差异率9.28%，主要原因是：本年在职人员增加，年中追加人员经费及人员工资、社保、公积金基数调增部分资金，导致预决算存在差异。</w:t>
      </w:r>
    </w:p>
    <w:p w14:paraId="6F2F87F6">
      <w:pPr>
        <w:spacing w:line="640" w:lineRule="exact"/>
        <w:ind w:firstLine="640"/>
        <w:jc w:val="both"/>
        <w:outlineLvl w:val="3"/>
      </w:pPr>
      <w:r>
        <w:rPr>
          <w:rFonts w:ascii="楷体_GB2312" w:hAnsi="楷体_GB2312" w:eastAsia="楷体_GB2312"/>
          <w:b/>
          <w:sz w:val="32"/>
        </w:rPr>
        <w:t>（二）一般公共预算财政拨款支出决算结构情况</w:t>
      </w:r>
    </w:p>
    <w:p w14:paraId="41024692">
      <w:pPr>
        <w:spacing w:line="580" w:lineRule="exact"/>
        <w:ind w:firstLine="640"/>
        <w:jc w:val="both"/>
      </w:pPr>
      <w:r>
        <w:rPr>
          <w:rFonts w:ascii="仿宋_GB2312" w:hAnsi="仿宋_GB2312" w:eastAsia="仿宋_GB2312"/>
          <w:b w:val="0"/>
          <w:sz w:val="32"/>
        </w:rPr>
        <w:t>1.一般公共服务支出(类)320.32万元,占89.29%。</w:t>
      </w:r>
    </w:p>
    <w:p w14:paraId="0D96EF5B">
      <w:pPr>
        <w:spacing w:line="580" w:lineRule="exact"/>
        <w:ind w:firstLine="640"/>
        <w:jc w:val="both"/>
      </w:pPr>
      <w:r>
        <w:rPr>
          <w:rFonts w:ascii="仿宋_GB2312" w:hAnsi="仿宋_GB2312" w:eastAsia="仿宋_GB2312"/>
          <w:b w:val="0"/>
          <w:sz w:val="32"/>
        </w:rPr>
        <w:t>2.社会保障和就业支出(类)38.41万元,占10.71%。</w:t>
      </w:r>
    </w:p>
    <w:p w14:paraId="27003B7D">
      <w:pPr>
        <w:spacing w:line="640" w:lineRule="exact"/>
        <w:ind w:firstLine="640"/>
        <w:jc w:val="both"/>
        <w:outlineLvl w:val="3"/>
      </w:pPr>
      <w:r>
        <w:rPr>
          <w:rFonts w:ascii="楷体_GB2312" w:hAnsi="楷体_GB2312" w:eastAsia="楷体_GB2312"/>
          <w:b/>
          <w:sz w:val="32"/>
        </w:rPr>
        <w:t>（三）一般公共预算财政拨款支出决算具体情况</w:t>
      </w:r>
    </w:p>
    <w:p w14:paraId="10924132">
      <w:pPr>
        <w:spacing w:line="580" w:lineRule="exact"/>
        <w:ind w:firstLine="640"/>
        <w:jc w:val="both"/>
      </w:pPr>
      <w:r>
        <w:rPr>
          <w:rFonts w:ascii="仿宋_GB2312" w:hAnsi="仿宋_GB2312" w:eastAsia="仿宋_GB2312"/>
          <w:b w:val="0"/>
          <w:sz w:val="32"/>
        </w:rPr>
        <w:t>1.一般公共服务支出(类)其他共产党事务支出(款)行政运行(项):支出决算数为302.54万元，比上年决算增加43.76万元，增长16.91%,主要原因是：本年在职人员增加，人员工资增加，相关支出增加。</w:t>
      </w:r>
    </w:p>
    <w:p w14:paraId="36E0910D">
      <w:pPr>
        <w:spacing w:line="580" w:lineRule="exact"/>
        <w:ind w:firstLine="640"/>
        <w:jc w:val="both"/>
      </w:pPr>
      <w:r>
        <w:rPr>
          <w:rFonts w:ascii="仿宋_GB2312" w:hAnsi="仿宋_GB2312" w:eastAsia="仿宋_GB2312"/>
          <w:b w:val="0"/>
          <w:sz w:val="32"/>
        </w:rPr>
        <w:t>2.一般公共服务支出(类)其他共产党事务支出(款)事业运行(项):支出决算数为1.32万元，比上年决算增加0.21万元，增长18.92%,主要原因是：本年在职人员增加，人员工资增加，相关支出增加。</w:t>
      </w:r>
    </w:p>
    <w:p w14:paraId="0E73A035">
      <w:pPr>
        <w:spacing w:line="580" w:lineRule="exact"/>
        <w:ind w:firstLine="640"/>
        <w:jc w:val="both"/>
      </w:pPr>
      <w:r>
        <w:rPr>
          <w:rFonts w:ascii="仿宋_GB2312" w:hAnsi="仿宋_GB2312" w:eastAsia="仿宋_GB2312"/>
          <w:b w:val="0"/>
          <w:sz w:val="32"/>
        </w:rPr>
        <w:t>3.一般公共服务支出(类)其他共产党事务支出(款)其他共产党事务支出(项):支出决算数为16.47万元，比上年决算增加16.47万元，增长100.00%,主要原因是：本年增加党和国家机构及事业单位改革工作经费项目、2024年驻村工作经费项目。</w:t>
      </w:r>
    </w:p>
    <w:p w14:paraId="48102E3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4.社会保障和就业支出(类)行政事业单位养老支出(款)行政单位离退休(项):支出决算数为8.96万元，比上年决算增加1.55万元，增长20.92%,主要原因是：本年增加退休人员基础绩效奖，退休费支出增加。</w:t>
      </w:r>
    </w:p>
    <w:p w14:paraId="231A5FB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5.社会保障和就业支出(类)行政事业单位养老支出(款)机关事业单位基本养老保险缴费支出(项):支出决算数为29.45万元，比上年决算增加4.93万元，增长20.11%,主要原因是：</w:t>
      </w:r>
      <w:r>
        <w:rPr>
          <w:rFonts w:hint="eastAsia" w:ascii="仿宋_GB2312" w:hAnsi="仿宋_GB2312" w:eastAsia="仿宋_GB2312"/>
          <w:b w:val="0"/>
          <w:sz w:val="32"/>
          <w:lang w:val="en-US" w:eastAsia="zh-CN"/>
        </w:rPr>
        <w:t>在职人员增加，</w:t>
      </w:r>
      <w:r>
        <w:rPr>
          <w:rFonts w:ascii="仿宋_GB2312" w:hAnsi="仿宋_GB2312" w:eastAsia="仿宋_GB2312"/>
          <w:b w:val="0"/>
          <w:sz w:val="32"/>
        </w:rPr>
        <w:t>人员工资基数调增，养老缴费基数上涨，相应支出增加。</w:t>
      </w:r>
    </w:p>
    <w:p w14:paraId="4BA237D4">
      <w:pPr>
        <w:spacing w:line="640" w:lineRule="exact"/>
        <w:ind w:firstLine="640"/>
        <w:jc w:val="both"/>
        <w:outlineLvl w:val="2"/>
      </w:pPr>
      <w:r>
        <w:rPr>
          <w:rFonts w:ascii="黑体" w:hAnsi="黑体" w:eastAsia="黑体"/>
          <w:sz w:val="32"/>
        </w:rPr>
        <w:t>六、一般公共预算财政拨款基本支出决算情况说明</w:t>
      </w:r>
    </w:p>
    <w:p w14:paraId="45D9D1C9">
      <w:pPr>
        <w:spacing w:line="580" w:lineRule="exact"/>
        <w:ind w:firstLine="640"/>
        <w:jc w:val="both"/>
      </w:pPr>
      <w:r>
        <w:rPr>
          <w:rFonts w:ascii="仿宋_GB2312" w:hAnsi="仿宋_GB2312" w:eastAsia="仿宋_GB2312"/>
          <w:b w:val="0"/>
          <w:sz w:val="32"/>
        </w:rPr>
        <w:t>2024年度一般公共预算财政拨款基本支出342.27万元，其中：</w:t>
      </w:r>
      <w:r>
        <w:rPr>
          <w:rFonts w:ascii="仿宋_GB2312" w:hAnsi="仿宋_GB2312" w:eastAsia="仿宋_GB2312"/>
          <w:b/>
          <w:sz w:val="32"/>
        </w:rPr>
        <w:t>人员经费330.61万元，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包括：基本工资、津贴补贴、奖金、机关事业单位基本养老保险缴费、职工基本医疗保险缴费、其他社会保障缴费、住房公积金、其他工资福利支出、退休费、生活补助。</w:t>
      </w:r>
    </w:p>
    <w:p w14:paraId="682A0788">
      <w:pPr>
        <w:spacing w:line="580" w:lineRule="exact"/>
        <w:ind w:firstLine="640"/>
        <w:jc w:val="both"/>
      </w:pPr>
      <w:r>
        <w:rPr>
          <w:rFonts w:ascii="仿宋_GB2312" w:hAnsi="仿宋_GB2312" w:eastAsia="仿宋_GB2312"/>
          <w:b/>
          <w:sz w:val="32"/>
        </w:rPr>
        <w:t>公用经费11.66万元，</w:t>
      </w:r>
      <w:r>
        <w:rPr>
          <w:rFonts w:ascii="仿宋_GB2312" w:hAnsi="仿宋_GB2312" w:eastAsia="仿宋_GB2312"/>
          <w:b w:val="0"/>
          <w:sz w:val="32"/>
        </w:rPr>
        <w:t>包括：办公费、印刷费、邮电费、差旅费、公务接待费、工会经费、福利费、公务用车运行维护费、其他商品和服务支出。</w:t>
      </w:r>
    </w:p>
    <w:p w14:paraId="01EF4952">
      <w:pPr>
        <w:spacing w:line="640" w:lineRule="exact"/>
        <w:ind w:firstLine="640"/>
        <w:jc w:val="both"/>
        <w:outlineLvl w:val="2"/>
      </w:pPr>
      <w:r>
        <w:rPr>
          <w:rFonts w:ascii="黑体" w:hAnsi="黑体" w:eastAsia="黑体"/>
          <w:sz w:val="32"/>
        </w:rPr>
        <w:t>七、政府性基金预算财政拨款收入支出决算情况说明</w:t>
      </w:r>
    </w:p>
    <w:p w14:paraId="0346BD2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737740A">
      <w:pPr>
        <w:spacing w:line="640" w:lineRule="exact"/>
        <w:ind w:firstLine="640"/>
        <w:jc w:val="both"/>
        <w:outlineLvl w:val="2"/>
      </w:pPr>
      <w:r>
        <w:rPr>
          <w:rFonts w:ascii="黑体" w:hAnsi="黑体" w:eastAsia="黑体"/>
          <w:sz w:val="32"/>
        </w:rPr>
        <w:t>八、国有资本经营预算财政拨款收入支出决算情况说明</w:t>
      </w:r>
    </w:p>
    <w:p w14:paraId="1C8DE08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3DDAE35">
      <w:pPr>
        <w:spacing w:line="640" w:lineRule="exact"/>
        <w:ind w:firstLine="640"/>
        <w:jc w:val="both"/>
        <w:outlineLvl w:val="2"/>
      </w:pPr>
      <w:r>
        <w:rPr>
          <w:rFonts w:ascii="黑体" w:hAnsi="黑体" w:eastAsia="黑体"/>
          <w:sz w:val="32"/>
        </w:rPr>
        <w:t>九、财政拨款“三公”经费支出决算情况说明</w:t>
      </w:r>
    </w:p>
    <w:p w14:paraId="03F395AD">
      <w:pPr>
        <w:spacing w:line="580" w:lineRule="exact"/>
        <w:ind w:firstLine="640"/>
        <w:jc w:val="both"/>
      </w:pPr>
      <w:r>
        <w:rPr>
          <w:rFonts w:ascii="仿宋_GB2312" w:hAnsi="仿宋_GB2312" w:eastAsia="仿宋_GB2312"/>
          <w:b/>
          <w:sz w:val="32"/>
        </w:rPr>
        <w:t>2024年度财政拨款“三公”经费支出1.93万元，</w:t>
      </w:r>
      <w:r>
        <w:rPr>
          <w:rFonts w:ascii="仿宋_GB2312" w:hAnsi="仿宋_GB2312" w:eastAsia="仿宋_GB2312"/>
          <w:b w:val="0"/>
          <w:sz w:val="32"/>
        </w:rPr>
        <w:t>比上年减少0.17万元，下降8.10%，主要原因是：严格落实中央八项规定精神，厉行节约，减少公务接待费。其中：因公出国（境）费支出0.00万元，占0.00%，比上年增加0.00万元，增长0.00%，主要原因是：2023年与2024年均未安排因公出国（境）费支出。公务用车购置及运行维护费支出1.50万元，占77.72%，比上年增加0.00万元，增长0.00%，主要原因是：本单位公务用车运行维护费与上年一致无变化。公务接待费支出0.43万元，占22.28%，比上年减少0.17万元，下降28.33%，主要原因是：严格落实中央八项规定精神，厉行节约，减少公务接待费。</w:t>
      </w:r>
    </w:p>
    <w:p w14:paraId="7BFDB238">
      <w:pPr>
        <w:spacing w:line="580" w:lineRule="exact"/>
        <w:ind w:firstLine="640"/>
        <w:jc w:val="both"/>
      </w:pPr>
      <w:r>
        <w:rPr>
          <w:rFonts w:ascii="仿宋_GB2312" w:hAnsi="仿宋_GB2312" w:eastAsia="仿宋_GB2312"/>
          <w:b/>
          <w:sz w:val="32"/>
        </w:rPr>
        <w:t>具体情况如下：</w:t>
      </w:r>
    </w:p>
    <w:p w14:paraId="4CD6EB5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C47AA3">
      <w:pPr>
        <w:spacing w:line="580" w:lineRule="exact"/>
        <w:ind w:firstLine="640"/>
        <w:jc w:val="both"/>
      </w:pPr>
      <w:r>
        <w:rPr>
          <w:rFonts w:ascii="仿宋_GB2312" w:hAnsi="仿宋_GB2312" w:eastAsia="仿宋_GB2312"/>
          <w:b w:val="0"/>
          <w:sz w:val="32"/>
        </w:rPr>
        <w:t>公务用车购置及运行维护费1.50万元，其中：公务用车购置费0.00万元，公务用车运行维护费1.50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077F13B6">
      <w:pPr>
        <w:spacing w:line="580" w:lineRule="exact"/>
        <w:ind w:firstLine="640"/>
        <w:jc w:val="both"/>
      </w:pPr>
      <w:r>
        <w:rPr>
          <w:rFonts w:ascii="仿宋_GB2312" w:hAnsi="仿宋_GB2312" w:eastAsia="仿宋_GB2312"/>
          <w:b w:val="0"/>
          <w:sz w:val="32"/>
        </w:rPr>
        <w:t>公务接待费0.43万元，开支内容包括因接待上级领导检查产生的就餐费。单位全年安排的国内公务接待4批次，40人次。</w:t>
      </w:r>
    </w:p>
    <w:p w14:paraId="7558FED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1.93万元，决算数1.93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1.50万元，决算数1.50万元，预决算差异率0.00%，主要原因是：严格按照预算执行，预决算无差异。公务接待费全年预算数0.43万元，决算数0.43万元，预决算差异率0.00%，主要原因是：严格按照预算执行，预决算无差异。</w:t>
      </w:r>
    </w:p>
    <w:p w14:paraId="5F18BE7E">
      <w:pPr>
        <w:spacing w:line="640" w:lineRule="exact"/>
        <w:ind w:firstLine="640"/>
        <w:jc w:val="both"/>
        <w:outlineLvl w:val="2"/>
      </w:pPr>
      <w:r>
        <w:rPr>
          <w:rFonts w:ascii="黑体" w:hAnsi="黑体" w:eastAsia="黑体"/>
          <w:sz w:val="32"/>
        </w:rPr>
        <w:t>十、其他重要事项的情况说明</w:t>
      </w:r>
    </w:p>
    <w:p w14:paraId="65442B94">
      <w:pPr>
        <w:spacing w:line="640" w:lineRule="exact"/>
        <w:ind w:firstLine="640"/>
        <w:jc w:val="both"/>
        <w:outlineLvl w:val="3"/>
      </w:pPr>
      <w:r>
        <w:rPr>
          <w:rFonts w:ascii="楷体_GB2312" w:hAnsi="楷体_GB2312" w:eastAsia="楷体_GB2312"/>
          <w:b/>
          <w:sz w:val="32"/>
        </w:rPr>
        <w:t>（一）机关运行经费及公用经费支出情况</w:t>
      </w:r>
    </w:p>
    <w:p w14:paraId="7142B82D">
      <w:pPr>
        <w:spacing w:line="580" w:lineRule="exact"/>
        <w:ind w:firstLine="640"/>
        <w:jc w:val="both"/>
      </w:pPr>
      <w:r>
        <w:rPr>
          <w:rFonts w:ascii="仿宋_GB2312" w:hAnsi="仿宋_GB2312" w:eastAsia="仿宋_GB2312"/>
          <w:b w:val="0"/>
          <w:sz w:val="32"/>
        </w:rPr>
        <w:t>2024年度中共克孜勒苏柯尔克孜自治州机构编制委员会办公室（行政单位和参照公务员法管理事业单位）机关运行经费支出11.66万元，比上年减少2.09万元，下降15.20%，主要原因是：严控经费支出，厉行节约，减少经费支出。</w:t>
      </w:r>
    </w:p>
    <w:p w14:paraId="39E2735C">
      <w:pPr>
        <w:spacing w:line="640" w:lineRule="exact"/>
        <w:ind w:firstLine="640"/>
        <w:jc w:val="both"/>
        <w:outlineLvl w:val="3"/>
      </w:pPr>
      <w:r>
        <w:rPr>
          <w:rFonts w:ascii="楷体_GB2312" w:hAnsi="楷体_GB2312" w:eastAsia="楷体_GB2312"/>
          <w:b/>
          <w:sz w:val="32"/>
        </w:rPr>
        <w:t>（二）政府采购情况</w:t>
      </w:r>
    </w:p>
    <w:p w14:paraId="34254906">
      <w:pPr>
        <w:spacing w:line="580" w:lineRule="exact"/>
        <w:ind w:firstLine="640"/>
        <w:jc w:val="both"/>
      </w:pPr>
      <w:r>
        <w:rPr>
          <w:rFonts w:ascii="仿宋_GB2312" w:hAnsi="仿宋_GB2312" w:eastAsia="仿宋_GB2312"/>
          <w:b w:val="0"/>
          <w:sz w:val="32"/>
        </w:rPr>
        <w:t>2024年度政府采购支出总额1.96万元，其中：政府采购货物支出1.54万元、政府采购工程支出0.00万元、政府采购服务支出0.42万元。</w:t>
      </w:r>
    </w:p>
    <w:p w14:paraId="4E86C2D0">
      <w:pPr>
        <w:spacing w:line="580" w:lineRule="exact"/>
        <w:ind w:firstLine="640"/>
        <w:jc w:val="both"/>
      </w:pPr>
      <w:r>
        <w:rPr>
          <w:rFonts w:ascii="仿宋_GB2312" w:hAnsi="仿宋_GB2312" w:eastAsia="仿宋_GB2312"/>
          <w:b w:val="0"/>
          <w:sz w:val="32"/>
        </w:rPr>
        <w:t>授予中小企业合同金额1.71万元，占政府采购支出总额的87.24%，其中：授予小微企业合同金额1.71万元，占政府采购支出总额的87.24%。</w:t>
      </w:r>
    </w:p>
    <w:p w14:paraId="1FBCDBA3">
      <w:pPr>
        <w:spacing w:line="640" w:lineRule="exact"/>
        <w:ind w:firstLine="640"/>
        <w:jc w:val="both"/>
        <w:outlineLvl w:val="3"/>
      </w:pPr>
      <w:r>
        <w:rPr>
          <w:rFonts w:ascii="楷体_GB2312" w:hAnsi="楷体_GB2312" w:eastAsia="楷体_GB2312"/>
          <w:b/>
          <w:sz w:val="32"/>
        </w:rPr>
        <w:t>（三）国有资产占用情况说明</w:t>
      </w:r>
    </w:p>
    <w:p w14:paraId="0B70F83A">
      <w:pPr>
        <w:spacing w:line="580" w:lineRule="exact"/>
        <w:ind w:firstLine="640"/>
        <w:jc w:val="both"/>
      </w:pPr>
      <w:r>
        <w:rPr>
          <w:rFonts w:ascii="仿宋_GB2312" w:hAnsi="仿宋_GB2312" w:eastAsia="仿宋_GB2312"/>
          <w:b w:val="0"/>
          <w:sz w:val="32"/>
        </w:rPr>
        <w:t>截至2024年12月31日，房屋0.00平方米，价值0.00万元。车辆1辆，价值14.11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A9FAF7D">
      <w:pPr>
        <w:spacing w:line="640" w:lineRule="exact"/>
        <w:ind w:firstLine="640"/>
        <w:jc w:val="both"/>
        <w:outlineLvl w:val="2"/>
      </w:pPr>
      <w:r>
        <w:rPr>
          <w:rFonts w:ascii="黑体" w:hAnsi="黑体" w:eastAsia="黑体"/>
          <w:sz w:val="32"/>
        </w:rPr>
        <w:t>十一、预算绩效的情况说明</w:t>
      </w:r>
    </w:p>
    <w:p w14:paraId="0CC1EB0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369.00万元，实际执行总额359.84万元；预算绩效评价项目2个，全年预算数8.01万元，全年执行数8.01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71295CF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9B9F9B4">
        <w:tblPrEx>
          <w:tblCellMar>
            <w:top w:w="0" w:type="dxa"/>
            <w:left w:w="108" w:type="dxa"/>
            <w:bottom w:w="0" w:type="dxa"/>
            <w:right w:w="108" w:type="dxa"/>
          </w:tblCellMar>
        </w:tblPrEx>
        <w:tc>
          <w:tcPr>
            <w:tcW w:w="8840" w:type="dxa"/>
            <w:gridSpan w:val="8"/>
            <w:vAlign w:val="center"/>
          </w:tcPr>
          <w:p w14:paraId="007338C7">
            <w:pPr>
              <w:jc w:val="center"/>
            </w:pPr>
            <w:r>
              <w:rPr>
                <w:rFonts w:ascii="宋体" w:hAnsi="宋体" w:eastAsia="宋体"/>
                <w:sz w:val="24"/>
              </w:rPr>
              <w:t>单位整体支出绩效自评表</w:t>
            </w:r>
          </w:p>
        </w:tc>
      </w:tr>
      <w:tr w14:paraId="26D05709">
        <w:tblPrEx>
          <w:tblCellMar>
            <w:top w:w="0" w:type="dxa"/>
            <w:left w:w="108" w:type="dxa"/>
            <w:bottom w:w="0" w:type="dxa"/>
            <w:right w:w="108" w:type="dxa"/>
          </w:tblCellMar>
        </w:tblPrEx>
        <w:tc>
          <w:tcPr>
            <w:tcW w:w="8840" w:type="dxa"/>
            <w:gridSpan w:val="8"/>
            <w:vAlign w:val="center"/>
          </w:tcPr>
          <w:p w14:paraId="00DCCCA6">
            <w:pPr>
              <w:jc w:val="center"/>
            </w:pPr>
            <w:r>
              <w:rPr>
                <w:rFonts w:ascii="宋体" w:hAnsi="宋体" w:eastAsia="宋体"/>
                <w:sz w:val="24"/>
              </w:rPr>
              <w:t>（2024年度）</w:t>
            </w:r>
          </w:p>
        </w:tc>
      </w:tr>
      <w:tr w14:paraId="0A2404D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847D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F4E5E4">
            <w:pPr>
              <w:jc w:val="center"/>
            </w:pPr>
            <w:r>
              <w:rPr>
                <w:rFonts w:ascii="宋体" w:hAnsi="宋体" w:eastAsia="宋体"/>
                <w:sz w:val="16"/>
              </w:rPr>
              <w:t>中共克孜勒苏柯尔克孜自治州机构编制委员会办公室</w:t>
            </w:r>
          </w:p>
        </w:tc>
      </w:tr>
      <w:tr w14:paraId="0726999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6CD50">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238C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C31C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F382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1AD65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2D46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97B4C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8A0DB">
            <w:pPr>
              <w:jc w:val="center"/>
            </w:pPr>
            <w:r>
              <w:rPr>
                <w:rFonts w:ascii="宋体" w:hAnsi="宋体" w:eastAsia="宋体"/>
                <w:sz w:val="16"/>
              </w:rPr>
              <w:t>得分</w:t>
            </w:r>
          </w:p>
        </w:tc>
      </w:tr>
      <w:tr w14:paraId="42634B8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25590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9428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A0C16">
            <w:pPr>
              <w:jc w:val="center"/>
            </w:pPr>
            <w:r>
              <w:rPr>
                <w:rFonts w:ascii="宋体" w:hAnsi="宋体" w:eastAsia="宋体"/>
                <w:sz w:val="16"/>
              </w:rPr>
              <w:t>388.26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2BFD42">
            <w:pPr>
              <w:jc w:val="center"/>
            </w:pPr>
            <w:r>
              <w:rPr>
                <w:rFonts w:ascii="宋体" w:hAnsi="宋体" w:eastAsia="宋体"/>
                <w:sz w:val="16"/>
              </w:rPr>
              <w:t>369.00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03DB38">
            <w:pPr>
              <w:jc w:val="center"/>
            </w:pPr>
            <w:r>
              <w:rPr>
                <w:rFonts w:ascii="宋体" w:hAnsi="宋体" w:eastAsia="宋体"/>
                <w:sz w:val="16"/>
              </w:rPr>
              <w:t>359.84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D8E9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ECFA8">
            <w:pPr>
              <w:jc w:val="center"/>
            </w:pPr>
            <w:r>
              <w:rPr>
                <w:rFonts w:ascii="宋体" w:hAnsi="宋体" w:eastAsia="宋体"/>
                <w:sz w:val="16"/>
              </w:rPr>
              <w:t>97.52%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5F192">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bookmarkStart w:id="0" w:name="_GoBack"/>
            <w:bookmarkEnd w:id="0"/>
            <w:r>
              <w:rPr>
                <w:rFonts w:ascii="宋体" w:hAnsi="宋体" w:eastAsia="宋体"/>
                <w:sz w:val="16"/>
              </w:rPr>
              <w:t>75</w:t>
            </w:r>
            <w:r>
              <w:rPr>
                <w:rFonts w:hint="eastAsia" w:ascii="宋体" w:hAnsi="宋体"/>
                <w:sz w:val="16"/>
                <w:lang w:val="en-US" w:eastAsia="zh-CN"/>
              </w:rPr>
              <w:t>分</w:t>
            </w:r>
          </w:p>
        </w:tc>
      </w:tr>
      <w:tr w14:paraId="129059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72C7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F6094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AD54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6FE5A">
            <w:pPr>
              <w:jc w:val="center"/>
            </w:pPr>
            <w:r>
              <w:rPr>
                <w:rFonts w:ascii="宋体" w:hAnsi="宋体" w:eastAsia="宋体"/>
                <w:sz w:val="16"/>
              </w:rPr>
              <w:t>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77B91">
            <w:pPr>
              <w:jc w:val="center"/>
            </w:pPr>
            <w:r>
              <w:rPr>
                <w:rFonts w:ascii="宋体" w:hAnsi="宋体" w:eastAsia="宋体"/>
                <w:sz w:val="16"/>
              </w:rPr>
              <w:t>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8E037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3AD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1E501">
            <w:pPr>
              <w:jc w:val="center"/>
            </w:pPr>
            <w:r>
              <w:rPr>
                <w:rFonts w:ascii="宋体" w:hAnsi="宋体" w:eastAsia="宋体"/>
                <w:sz w:val="16"/>
              </w:rPr>
              <w:t>—</w:t>
            </w:r>
          </w:p>
        </w:tc>
      </w:tr>
      <w:tr w14:paraId="344EDC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093A6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91FB8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48934">
            <w:pPr>
              <w:jc w:val="center"/>
            </w:pPr>
            <w:r>
              <w:rPr>
                <w:rFonts w:ascii="宋体" w:hAnsi="宋体" w:eastAsia="宋体"/>
                <w:sz w:val="16"/>
              </w:rPr>
              <w:t>328.26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A2AEC">
            <w:pPr>
              <w:jc w:val="center"/>
            </w:pPr>
            <w:r>
              <w:rPr>
                <w:rFonts w:ascii="宋体" w:hAnsi="宋体" w:eastAsia="宋体"/>
                <w:sz w:val="16"/>
              </w:rPr>
              <w:t>362.00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5BF02">
            <w:pPr>
              <w:jc w:val="center"/>
            </w:pPr>
            <w:r>
              <w:rPr>
                <w:rFonts w:ascii="宋体" w:hAnsi="宋体" w:eastAsia="宋体"/>
                <w:sz w:val="16"/>
              </w:rPr>
              <w:t>352.84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45360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F6F8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DC8E4">
            <w:pPr>
              <w:jc w:val="center"/>
            </w:pPr>
            <w:r>
              <w:rPr>
                <w:rFonts w:ascii="宋体" w:hAnsi="宋体" w:eastAsia="宋体"/>
                <w:sz w:val="16"/>
              </w:rPr>
              <w:t>—</w:t>
            </w:r>
          </w:p>
        </w:tc>
      </w:tr>
      <w:tr w14:paraId="78B191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A9BD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ECCD1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3765A">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790C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C327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35AD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119B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714471">
            <w:pPr>
              <w:jc w:val="center"/>
            </w:pPr>
            <w:r>
              <w:rPr>
                <w:rFonts w:ascii="宋体" w:hAnsi="宋体" w:eastAsia="宋体"/>
                <w:sz w:val="16"/>
              </w:rPr>
              <w:t>—</w:t>
            </w:r>
          </w:p>
        </w:tc>
      </w:tr>
      <w:tr w14:paraId="5E4ACB3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5F39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3FD7F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81D095">
            <w:pPr>
              <w:jc w:val="center"/>
            </w:pPr>
            <w:r>
              <w:rPr>
                <w:rFonts w:ascii="宋体" w:hAnsi="宋体" w:eastAsia="宋体"/>
                <w:sz w:val="16"/>
              </w:rPr>
              <w:t>实际完成情况</w:t>
            </w:r>
          </w:p>
        </w:tc>
      </w:tr>
      <w:tr w14:paraId="6A2928E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AB960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9D5D4D">
            <w:pPr>
              <w:jc w:val="both"/>
            </w:pPr>
            <w:r>
              <w:rPr>
                <w:rFonts w:ascii="宋体" w:hAnsi="宋体" w:eastAsia="宋体"/>
                <w:sz w:val="16"/>
              </w:rPr>
              <w:t>深入学习宣传贯彻党的二十大精神，全面贯彻习近平新时代中国特色社会主义思想，完整准确贯彻新时代党的治疆方略，深入学习贯彻习近平总书记对新疆系列重要讲话重要指示批示精神，深刻领悟“两个确立”的决定性意义，增强“四个意识”、坚定“四个自信”、做到“两个维护”，围绕自治区改革发展稳定重点工作，持续深化改革，健全完善机构职能体系、推进事业单位改革，重塑事业单位功能定位、优化机构编制资源配置管理，加强重点领域和基层机构编制保障、加快推进</w:t>
            </w:r>
            <w:r>
              <w:rPr>
                <w:rFonts w:hint="eastAsia" w:ascii="宋体" w:hAnsi="宋体"/>
                <w:sz w:val="16"/>
                <w:lang w:eastAsia="zh-CN"/>
              </w:rPr>
              <w:t>机构编制法定化</w:t>
            </w:r>
            <w:r>
              <w:rPr>
                <w:rFonts w:ascii="宋体" w:hAnsi="宋体" w:eastAsia="宋体"/>
                <w:sz w:val="16"/>
              </w:rPr>
              <w:t>建设，加强机构编制监督检查、加强自身建设，打造政治强、业务精、作风优的机构编制干部队伍，深入推进机构改革工作。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AF9068">
            <w:pPr>
              <w:jc w:val="both"/>
            </w:pPr>
            <w:r>
              <w:rPr>
                <w:rFonts w:ascii="宋体" w:hAnsi="宋体" w:eastAsia="宋体"/>
                <w:sz w:val="16"/>
              </w:rPr>
              <w:t>截至2024年12月31日，按照事业单位暂行条例和实施细则2024年完成了对全州145家事业单位的设立登记、变更登记、到期换领、证书补领、注销登记及法人代表人年度报告。实施情况为按照自治区编办的安排部署2024年完成了41家对全州行政、群团、垂管等单位的统一社会信用代码赋码工作。机构编制重要事项报告、实地调研督查等方式深入县（市）和州直行政机关。事业100余家单位调查督查，走访调研督查占单位总数50%</w:t>
            </w:r>
          </w:p>
        </w:tc>
      </w:tr>
      <w:tr w14:paraId="0407360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D31FD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92C6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C433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776C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D945E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F272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AF225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88B33">
            <w:pPr>
              <w:jc w:val="center"/>
            </w:pPr>
            <w:r>
              <w:rPr>
                <w:rFonts w:ascii="宋体" w:hAnsi="宋体" w:eastAsia="宋体"/>
                <w:sz w:val="16"/>
              </w:rPr>
              <w:t>得分</w:t>
            </w:r>
          </w:p>
        </w:tc>
      </w:tr>
      <w:tr w14:paraId="3DA3207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27CF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06C9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30527">
            <w:pPr>
              <w:jc w:val="center"/>
            </w:pPr>
            <w:r>
              <w:rPr>
                <w:rFonts w:ascii="宋体" w:hAnsi="宋体" w:eastAsia="宋体"/>
                <w:sz w:val="16"/>
              </w:rPr>
              <w:t>事业法人年度报告（个）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1BECC">
            <w:pPr>
              <w:jc w:val="center"/>
            </w:pPr>
            <w:r>
              <w:rPr>
                <w:rFonts w:ascii="宋体" w:hAnsi="宋体" w:eastAsia="宋体"/>
                <w:sz w:val="16"/>
              </w:rPr>
              <w:t>&gt;=145个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D3B32">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3D056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94D53">
            <w:pPr>
              <w:jc w:val="center"/>
            </w:pPr>
            <w:r>
              <w:rPr>
                <w:rFonts w:ascii="宋体" w:hAnsi="宋体" w:eastAsia="宋体"/>
                <w:sz w:val="16"/>
              </w:rPr>
              <w:t>145个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80C79">
            <w:pPr>
              <w:jc w:val="center"/>
            </w:pPr>
            <w:r>
              <w:rPr>
                <w:rFonts w:ascii="宋体" w:hAnsi="宋体" w:eastAsia="宋体"/>
                <w:sz w:val="16"/>
              </w:rPr>
              <w:t>30</w:t>
            </w:r>
          </w:p>
        </w:tc>
      </w:tr>
      <w:tr w14:paraId="217022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80B71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839D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B5B19">
            <w:pPr>
              <w:jc w:val="center"/>
            </w:pPr>
            <w:r>
              <w:rPr>
                <w:rFonts w:ascii="宋体" w:hAnsi="宋体" w:eastAsia="宋体"/>
                <w:sz w:val="16"/>
              </w:rPr>
              <w:t>统一社会信用代码赋码工作（个）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9F13B">
            <w:pPr>
              <w:jc w:val="center"/>
            </w:pPr>
            <w:r>
              <w:rPr>
                <w:rFonts w:ascii="宋体" w:hAnsi="宋体" w:eastAsia="宋体"/>
                <w:sz w:val="16"/>
              </w:rPr>
              <w:t>&gt;=15个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E267E">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A2A2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BEB21">
            <w:pPr>
              <w:jc w:val="center"/>
            </w:pPr>
            <w:r>
              <w:rPr>
                <w:rFonts w:ascii="宋体" w:hAnsi="宋体" w:eastAsia="宋体"/>
                <w:sz w:val="16"/>
              </w:rPr>
              <w:t>41个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654D5E">
            <w:pPr>
              <w:jc w:val="center"/>
            </w:pPr>
            <w:r>
              <w:rPr>
                <w:rFonts w:ascii="宋体" w:hAnsi="宋体" w:eastAsia="宋体"/>
                <w:sz w:val="16"/>
              </w:rPr>
              <w:t>30</w:t>
            </w:r>
          </w:p>
        </w:tc>
      </w:tr>
      <w:tr w14:paraId="545AAB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468F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2EC21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3B235">
            <w:pPr>
              <w:jc w:val="center"/>
            </w:pPr>
            <w:r>
              <w:rPr>
                <w:rFonts w:ascii="宋体" w:hAnsi="宋体" w:eastAsia="宋体"/>
                <w:sz w:val="16"/>
              </w:rPr>
              <w:t>全州机构编制监督检查抽查率（%）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6CCE7">
            <w:pPr>
              <w:jc w:val="center"/>
            </w:pPr>
            <w:r>
              <w:rPr>
                <w:rFonts w:ascii="宋体" w:hAnsi="宋体" w:eastAsia="宋体"/>
                <w:sz w:val="16"/>
              </w:rPr>
              <w:t>&gt;=25%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2355B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00DA1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5CDA7">
            <w:pPr>
              <w:jc w:val="center"/>
            </w:pPr>
            <w:r>
              <w:rPr>
                <w:rFonts w:ascii="宋体" w:hAnsi="宋体" w:eastAsia="宋体"/>
                <w:sz w:val="16"/>
              </w:rPr>
              <w:t>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3A4922">
            <w:pPr>
              <w:jc w:val="center"/>
            </w:pPr>
            <w:r>
              <w:rPr>
                <w:rFonts w:ascii="宋体" w:hAnsi="宋体" w:eastAsia="宋体"/>
                <w:sz w:val="16"/>
              </w:rPr>
              <w:t>30</w:t>
            </w:r>
          </w:p>
        </w:tc>
      </w:tr>
    </w:tbl>
    <w:p w14:paraId="2DF049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BDEDEE6">
        <w:tblPrEx>
          <w:tblCellMar>
            <w:top w:w="0" w:type="dxa"/>
            <w:left w:w="108" w:type="dxa"/>
            <w:bottom w:w="0" w:type="dxa"/>
            <w:right w:w="108" w:type="dxa"/>
          </w:tblCellMar>
        </w:tblPrEx>
        <w:tc>
          <w:tcPr>
            <w:tcW w:w="8848" w:type="dxa"/>
            <w:gridSpan w:val="14"/>
            <w:vAlign w:val="center"/>
          </w:tcPr>
          <w:p w14:paraId="523A75F2">
            <w:pPr>
              <w:jc w:val="center"/>
            </w:pPr>
            <w:r>
              <w:rPr>
                <w:rFonts w:ascii="宋体" w:hAnsi="宋体" w:eastAsia="宋体"/>
                <w:sz w:val="24"/>
              </w:rPr>
              <w:t>项目支出绩效自评表</w:t>
            </w:r>
          </w:p>
        </w:tc>
      </w:tr>
      <w:tr w14:paraId="7D68EBEF">
        <w:tblPrEx>
          <w:tblCellMar>
            <w:top w:w="0" w:type="dxa"/>
            <w:left w:w="108" w:type="dxa"/>
            <w:bottom w:w="0" w:type="dxa"/>
            <w:right w:w="108" w:type="dxa"/>
          </w:tblCellMar>
        </w:tblPrEx>
        <w:tc>
          <w:tcPr>
            <w:tcW w:w="8848" w:type="dxa"/>
            <w:gridSpan w:val="14"/>
            <w:vAlign w:val="center"/>
          </w:tcPr>
          <w:p w14:paraId="77072948">
            <w:pPr>
              <w:jc w:val="center"/>
            </w:pPr>
            <w:r>
              <w:rPr>
                <w:rFonts w:ascii="宋体" w:hAnsi="宋体" w:eastAsia="宋体"/>
                <w:sz w:val="24"/>
              </w:rPr>
              <w:t>(2024年度)</w:t>
            </w:r>
          </w:p>
        </w:tc>
      </w:tr>
      <w:tr w14:paraId="034D1D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31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E8489D">
            <w:pPr>
              <w:jc w:val="center"/>
            </w:pPr>
            <w:r>
              <w:rPr>
                <w:rFonts w:ascii="宋体" w:hAnsi="宋体" w:eastAsia="宋体"/>
                <w:sz w:val="16"/>
              </w:rPr>
              <w:t>2024年为民办实事和第一书记工作经费</w:t>
            </w:r>
          </w:p>
        </w:tc>
      </w:tr>
      <w:tr w14:paraId="67D5E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16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8BDEA">
            <w:pPr>
              <w:jc w:val="center"/>
            </w:pPr>
            <w:r>
              <w:rPr>
                <w:rFonts w:ascii="宋体" w:hAnsi="宋体" w:eastAsia="宋体"/>
                <w:sz w:val="16"/>
              </w:rPr>
              <w:t>中共克孜勒苏柯尔克孜自治州机构编制委员会办公室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46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FE898E">
            <w:pPr>
              <w:jc w:val="center"/>
            </w:pPr>
            <w:r>
              <w:rPr>
                <w:rFonts w:ascii="宋体" w:hAnsi="宋体" w:eastAsia="宋体"/>
                <w:sz w:val="16"/>
              </w:rPr>
              <w:t>中共克孜勒苏柯尔克孜自治州机构编制委员会办公室</w:t>
            </w:r>
          </w:p>
        </w:tc>
      </w:tr>
      <w:tr w14:paraId="6E4F94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EF3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18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44F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5D2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E5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71A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B2D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CEE8">
            <w:pPr>
              <w:jc w:val="center"/>
            </w:pPr>
            <w:r>
              <w:rPr>
                <w:rFonts w:ascii="宋体" w:hAnsi="宋体" w:eastAsia="宋体"/>
                <w:sz w:val="16"/>
              </w:rPr>
              <w:t>得分</w:t>
            </w:r>
          </w:p>
        </w:tc>
      </w:tr>
      <w:tr w14:paraId="6F683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98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060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0659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975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971D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E2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3428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B129">
            <w:pPr>
              <w:jc w:val="center"/>
            </w:pPr>
            <w:r>
              <w:rPr>
                <w:rFonts w:ascii="宋体" w:hAnsi="宋体" w:eastAsia="宋体"/>
                <w:sz w:val="16"/>
              </w:rPr>
              <w:t>10.00分</w:t>
            </w:r>
          </w:p>
        </w:tc>
      </w:tr>
      <w:tr w14:paraId="4BA1A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2BB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B79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D322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A0CB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9047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525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931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6527">
            <w:pPr>
              <w:jc w:val="center"/>
            </w:pPr>
            <w:r>
              <w:rPr>
                <w:rFonts w:ascii="宋体" w:hAnsi="宋体" w:eastAsia="宋体"/>
                <w:sz w:val="16"/>
              </w:rPr>
              <w:t>—</w:t>
            </w:r>
          </w:p>
        </w:tc>
      </w:tr>
      <w:tr w14:paraId="1DD05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6C8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EEB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307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B67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F1E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8F3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FE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9126">
            <w:pPr>
              <w:jc w:val="center"/>
            </w:pPr>
            <w:r>
              <w:rPr>
                <w:rFonts w:ascii="宋体" w:hAnsi="宋体" w:eastAsia="宋体"/>
                <w:sz w:val="16"/>
              </w:rPr>
              <w:t>—</w:t>
            </w:r>
          </w:p>
        </w:tc>
      </w:tr>
      <w:tr w14:paraId="1279FE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C0E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185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011C3B">
            <w:pPr>
              <w:jc w:val="center"/>
            </w:pPr>
            <w:r>
              <w:rPr>
                <w:rFonts w:ascii="宋体" w:hAnsi="宋体" w:eastAsia="宋体"/>
                <w:sz w:val="16"/>
              </w:rPr>
              <w:t>实际完成情况</w:t>
            </w:r>
          </w:p>
        </w:tc>
      </w:tr>
      <w:tr w14:paraId="04199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00D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4A1E7A">
            <w:pPr>
              <w:jc w:val="both"/>
            </w:pPr>
            <w:r>
              <w:rPr>
                <w:rFonts w:ascii="宋体" w:hAnsi="宋体" w:eastAsia="宋体"/>
                <w:sz w:val="16"/>
              </w:rPr>
              <w:t>项目资金7万元，其中：财政资金7万元，其他资金0万元，通过支持村级组织建设，办公场所建设，办公用品购置2次。用于改善民生改善农村人居环境4次、开展文化惠民活动3次、帮扶困难群众2次。通过该项目的实施，将有效保障第一书记履行职责，促进基层发展，维护社会稳定，夯实党在新疆的执政基础，为实现社会稳定和长治久安总目标提供坚强保障，具有显著的社会效益和经济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347A40">
            <w:pPr>
              <w:jc w:val="both"/>
            </w:pPr>
            <w:r>
              <w:rPr>
                <w:rFonts w:ascii="宋体" w:hAnsi="宋体" w:eastAsia="宋体"/>
                <w:sz w:val="16"/>
              </w:rPr>
              <w:t>截至2024年12月31日，举办各类活动次数6次，改善人居环境、修涵洞6件，帮扶困难群众86人，通过该项目的实施，将有效保障第一书记履行职责，促进基层发展，维护社会稳定，夯实党在新疆的执政基础，为实现社会稳定和长治久安总目标提供坚强保障，具有显著的社会效益和经济效益。</w:t>
            </w:r>
          </w:p>
        </w:tc>
      </w:tr>
      <w:tr w14:paraId="2F988D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F4F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40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E2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CD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56D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D1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DE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76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31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54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80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53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88504">
            <w:pPr>
              <w:jc w:val="center"/>
            </w:pPr>
            <w:r>
              <w:rPr>
                <w:rFonts w:ascii="宋体" w:hAnsi="宋体" w:eastAsia="宋体"/>
                <w:sz w:val="16"/>
              </w:rPr>
              <w:t>偏差原因分析及改进措施</w:t>
            </w:r>
          </w:p>
        </w:tc>
      </w:tr>
      <w:tr w14:paraId="63CFE0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7FD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8C9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140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D532">
            <w:pPr>
              <w:jc w:val="center"/>
            </w:pPr>
            <w:r>
              <w:rPr>
                <w:rFonts w:ascii="宋体" w:hAnsi="宋体" w:eastAsia="宋体"/>
                <w:sz w:val="16"/>
              </w:rPr>
              <w:t>举办各类活动次数（次）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043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E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94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01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9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5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A3CF">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E13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BFCF">
            <w:pPr>
              <w:jc w:val="center"/>
            </w:pPr>
          </w:p>
        </w:tc>
      </w:tr>
      <w:tr w14:paraId="52959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EF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14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8B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2D7F">
            <w:pPr>
              <w:jc w:val="center"/>
            </w:pPr>
            <w:r>
              <w:rPr>
                <w:rFonts w:ascii="宋体" w:hAnsi="宋体" w:eastAsia="宋体"/>
                <w:sz w:val="16"/>
              </w:rPr>
              <w:t>改善人居环境、修涵洞（件）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F047">
            <w:pPr>
              <w:jc w:val="center"/>
            </w:pPr>
            <w:r>
              <w:rPr>
                <w:rFonts w:ascii="宋体" w:hAnsi="宋体" w:eastAsia="宋体"/>
                <w:sz w:val="16"/>
              </w:rPr>
              <w:t>&gt;=3件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2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FD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DD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B6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F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2798">
            <w:pPr>
              <w:jc w:val="center"/>
            </w:pPr>
            <w:r>
              <w:rPr>
                <w:rFonts w:ascii="宋体" w:hAnsi="宋体" w:eastAsia="宋体"/>
                <w:sz w:val="16"/>
              </w:rPr>
              <w: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653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F5A99">
            <w:pPr>
              <w:jc w:val="center"/>
            </w:pPr>
          </w:p>
        </w:tc>
      </w:tr>
      <w:tr w14:paraId="3F21C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07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0C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7B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96DB">
            <w:pPr>
              <w:jc w:val="center"/>
            </w:pPr>
            <w:r>
              <w:rPr>
                <w:rFonts w:ascii="宋体" w:hAnsi="宋体" w:eastAsia="宋体"/>
                <w:sz w:val="16"/>
              </w:rPr>
              <w:t>帮扶困难群众（人）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EDA9">
            <w:pPr>
              <w:jc w:val="center"/>
            </w:pPr>
            <w:r>
              <w:rPr>
                <w:rFonts w:ascii="宋体" w:hAnsi="宋体" w:eastAsia="宋体"/>
                <w:sz w:val="16"/>
              </w:rPr>
              <w:t>&gt;=46人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3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BA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CB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C3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A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F657">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12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0CB98">
            <w:pPr>
              <w:jc w:val="center"/>
            </w:pPr>
          </w:p>
        </w:tc>
      </w:tr>
      <w:tr w14:paraId="6083D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E1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4DB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0F6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CA09">
            <w:pPr>
              <w:jc w:val="center"/>
            </w:pPr>
            <w:r>
              <w:rPr>
                <w:rFonts w:ascii="宋体" w:hAnsi="宋体" w:eastAsia="宋体"/>
                <w:sz w:val="16"/>
              </w:rPr>
              <w:t>活动开展完成率（%）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D11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9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8D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DC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8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E7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E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AB0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0219D">
            <w:pPr>
              <w:jc w:val="center"/>
            </w:pPr>
          </w:p>
        </w:tc>
      </w:tr>
      <w:tr w14:paraId="45C53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4F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6D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FA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28D5">
            <w:pPr>
              <w:jc w:val="center"/>
            </w:pPr>
            <w:r>
              <w:rPr>
                <w:rFonts w:ascii="宋体" w:hAnsi="宋体" w:eastAsia="宋体"/>
                <w:sz w:val="16"/>
              </w:rPr>
              <w:t>人居环境改善率（%）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B5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4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D2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5F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C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A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73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71B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66269">
            <w:pPr>
              <w:jc w:val="center"/>
            </w:pPr>
          </w:p>
        </w:tc>
      </w:tr>
      <w:tr w14:paraId="7F4A4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8E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0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DD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C3E0">
            <w:pPr>
              <w:jc w:val="center"/>
            </w:pPr>
            <w:r>
              <w:rPr>
                <w:rFonts w:ascii="宋体" w:hAnsi="宋体" w:eastAsia="宋体"/>
                <w:sz w:val="16"/>
              </w:rPr>
              <w:t>困难群众帮扶覆盖率（%）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BE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1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55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D4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EA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A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1A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EFA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F226">
            <w:pPr>
              <w:jc w:val="center"/>
            </w:pPr>
          </w:p>
        </w:tc>
      </w:tr>
      <w:tr w14:paraId="69A75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F5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607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ACD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9B1F">
            <w:pPr>
              <w:jc w:val="center"/>
            </w:pPr>
            <w:r>
              <w:rPr>
                <w:rFonts w:ascii="宋体" w:hAnsi="宋体" w:eastAsia="宋体"/>
                <w:sz w:val="16"/>
              </w:rPr>
              <w:t>各类活动开展及时率（%）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29C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8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47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4B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5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25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A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40F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3AB66">
            <w:pPr>
              <w:jc w:val="center"/>
            </w:pPr>
          </w:p>
        </w:tc>
      </w:tr>
      <w:tr w14:paraId="30334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15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B8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BF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BF54">
            <w:pPr>
              <w:jc w:val="center"/>
            </w:pPr>
            <w:r>
              <w:rPr>
                <w:rFonts w:ascii="宋体" w:hAnsi="宋体" w:eastAsia="宋体"/>
                <w:sz w:val="16"/>
              </w:rPr>
              <w:t>人居环境改善及时率（%）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55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31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32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58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B8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3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55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745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0F054">
            <w:pPr>
              <w:jc w:val="center"/>
            </w:pPr>
          </w:p>
        </w:tc>
      </w:tr>
      <w:tr w14:paraId="43DAF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B3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29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BC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32CB">
            <w:pPr>
              <w:jc w:val="center"/>
            </w:pPr>
            <w:r>
              <w:rPr>
                <w:rFonts w:ascii="宋体" w:hAnsi="宋体" w:eastAsia="宋体"/>
                <w:sz w:val="16"/>
              </w:rPr>
              <w:t>困难群众帮扶及时率（%）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AA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2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B0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2A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9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7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70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157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012CB">
            <w:pPr>
              <w:jc w:val="center"/>
            </w:pPr>
          </w:p>
        </w:tc>
      </w:tr>
      <w:tr w14:paraId="6AE39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703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CBA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FB5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F560">
            <w:pPr>
              <w:jc w:val="center"/>
            </w:pPr>
            <w:r>
              <w:rPr>
                <w:rFonts w:ascii="宋体" w:hAnsi="宋体" w:eastAsia="宋体"/>
                <w:sz w:val="16"/>
              </w:rPr>
              <w:t>改善人居环境、修涵洞（万元）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0EFF">
            <w:pPr>
              <w:jc w:val="center"/>
            </w:pPr>
            <w:r>
              <w:rPr>
                <w:rFonts w:ascii="宋体" w:hAnsi="宋体" w:eastAsia="宋体"/>
                <w:sz w:val="16"/>
              </w:rPr>
              <w:t>&gt;=5万元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46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E2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14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AD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A0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6376">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CF1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64142">
            <w:pPr>
              <w:jc w:val="center"/>
            </w:pPr>
          </w:p>
        </w:tc>
      </w:tr>
      <w:tr w14:paraId="1BE1E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B3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97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B8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5382">
            <w:pPr>
              <w:jc w:val="center"/>
            </w:pPr>
            <w:r>
              <w:rPr>
                <w:rFonts w:ascii="宋体" w:hAnsi="宋体" w:eastAsia="宋体"/>
                <w:sz w:val="16"/>
              </w:rPr>
              <w:t>开展文化惠民活动经费（万元）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655A">
            <w:pPr>
              <w:jc w:val="center"/>
            </w:pPr>
            <w:r>
              <w:rPr>
                <w:rFonts w:ascii="宋体" w:hAnsi="宋体" w:eastAsia="宋体"/>
                <w:sz w:val="16"/>
              </w:rPr>
              <w:t>&gt;=1万元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8D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DA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61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5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79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C09E">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643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8BAF3">
            <w:pPr>
              <w:jc w:val="center"/>
            </w:pPr>
          </w:p>
        </w:tc>
      </w:tr>
      <w:tr w14:paraId="525C6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99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7A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12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2A20">
            <w:pPr>
              <w:jc w:val="center"/>
            </w:pPr>
            <w:r>
              <w:rPr>
                <w:rFonts w:ascii="宋体" w:hAnsi="宋体" w:eastAsia="宋体"/>
                <w:sz w:val="16"/>
              </w:rPr>
              <w:t>帮扶困难群众经费（万元）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9FC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9A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50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1C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D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25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A3B9">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540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0F798">
            <w:pPr>
              <w:jc w:val="center"/>
            </w:pPr>
          </w:p>
        </w:tc>
      </w:tr>
      <w:tr w14:paraId="47459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39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2A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ED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90FD">
            <w:pPr>
              <w:jc w:val="center"/>
            </w:pPr>
            <w:r>
              <w:rPr>
                <w:rFonts w:ascii="宋体" w:hAnsi="宋体" w:eastAsia="宋体"/>
                <w:sz w:val="16"/>
              </w:rPr>
              <w:t>提高群众幸福感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FC5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8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83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76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39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38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A96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171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5F7C5">
            <w:pPr>
              <w:jc w:val="center"/>
            </w:pPr>
          </w:p>
        </w:tc>
      </w:tr>
      <w:tr w14:paraId="2E068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4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7B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99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9FA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BB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E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86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6E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9B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284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F4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15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DB285">
            <w:pPr>
              <w:jc w:val="center"/>
            </w:pPr>
          </w:p>
        </w:tc>
      </w:tr>
      <w:tr w14:paraId="0114A6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7C2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C92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CEB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C15FE3">
            <w:pPr>
              <w:jc w:val="center"/>
            </w:pPr>
            <w:r>
              <w:rPr>
                <w:rFonts w:ascii="宋体" w:hAnsi="宋体" w:eastAsia="宋体"/>
                <w:sz w:val="16"/>
              </w:rPr>
              <w:t>100分</w:t>
            </w:r>
          </w:p>
        </w:tc>
      </w:tr>
    </w:tbl>
    <w:p w14:paraId="5B534B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81D0FEB">
        <w:tblPrEx>
          <w:tblCellMar>
            <w:top w:w="0" w:type="dxa"/>
            <w:left w:w="108" w:type="dxa"/>
            <w:bottom w:w="0" w:type="dxa"/>
            <w:right w:w="108" w:type="dxa"/>
          </w:tblCellMar>
        </w:tblPrEx>
        <w:tc>
          <w:tcPr>
            <w:tcW w:w="8848" w:type="dxa"/>
            <w:gridSpan w:val="14"/>
            <w:vAlign w:val="center"/>
          </w:tcPr>
          <w:p w14:paraId="3FCD5274">
            <w:pPr>
              <w:jc w:val="center"/>
            </w:pPr>
            <w:r>
              <w:rPr>
                <w:rFonts w:ascii="宋体" w:hAnsi="宋体" w:eastAsia="宋体"/>
                <w:sz w:val="24"/>
              </w:rPr>
              <w:t>项目支出绩效自评表</w:t>
            </w:r>
          </w:p>
        </w:tc>
      </w:tr>
      <w:tr w14:paraId="44A27698">
        <w:tblPrEx>
          <w:tblCellMar>
            <w:top w:w="0" w:type="dxa"/>
            <w:left w:w="108" w:type="dxa"/>
            <w:bottom w:w="0" w:type="dxa"/>
            <w:right w:w="108" w:type="dxa"/>
          </w:tblCellMar>
        </w:tblPrEx>
        <w:tc>
          <w:tcPr>
            <w:tcW w:w="8848" w:type="dxa"/>
            <w:gridSpan w:val="14"/>
            <w:vAlign w:val="center"/>
          </w:tcPr>
          <w:p w14:paraId="7BECAA98">
            <w:pPr>
              <w:jc w:val="center"/>
            </w:pPr>
            <w:r>
              <w:rPr>
                <w:rFonts w:ascii="宋体" w:hAnsi="宋体" w:eastAsia="宋体"/>
                <w:sz w:val="24"/>
              </w:rPr>
              <w:t>(2024年度)</w:t>
            </w:r>
          </w:p>
        </w:tc>
      </w:tr>
      <w:tr w14:paraId="4A14DB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C9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F4E5F9">
            <w:pPr>
              <w:jc w:val="center"/>
            </w:pPr>
            <w:r>
              <w:rPr>
                <w:rFonts w:ascii="宋体" w:hAnsi="宋体" w:eastAsia="宋体"/>
                <w:sz w:val="16"/>
              </w:rPr>
              <w:t>其他资金结余</w:t>
            </w:r>
          </w:p>
        </w:tc>
      </w:tr>
      <w:tr w14:paraId="53222F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03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644B18">
            <w:pPr>
              <w:jc w:val="center"/>
            </w:pPr>
            <w:r>
              <w:rPr>
                <w:rFonts w:ascii="宋体" w:hAnsi="宋体" w:eastAsia="宋体"/>
                <w:sz w:val="16"/>
              </w:rPr>
              <w:t>中共克孜勒苏柯尔克孜自治州机构编制委员会办公室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14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D7AFE6">
            <w:pPr>
              <w:jc w:val="center"/>
            </w:pPr>
            <w:r>
              <w:rPr>
                <w:rFonts w:ascii="宋体" w:hAnsi="宋体" w:eastAsia="宋体"/>
                <w:sz w:val="16"/>
              </w:rPr>
              <w:t>中共克孜勒苏柯尔克孜自治州机构编制委员会办公室</w:t>
            </w:r>
          </w:p>
        </w:tc>
      </w:tr>
      <w:tr w14:paraId="48BCEB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47F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684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91A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22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7D0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FCB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864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6B1E">
            <w:pPr>
              <w:jc w:val="center"/>
            </w:pPr>
            <w:r>
              <w:rPr>
                <w:rFonts w:ascii="宋体" w:hAnsi="宋体" w:eastAsia="宋体"/>
                <w:sz w:val="16"/>
              </w:rPr>
              <w:t>得分</w:t>
            </w:r>
          </w:p>
        </w:tc>
      </w:tr>
      <w:tr w14:paraId="23C2E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D1C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735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9C884">
            <w:pPr>
              <w:jc w:val="center"/>
            </w:pPr>
            <w:r>
              <w:rPr>
                <w:rFonts w:ascii="宋体" w:hAnsi="宋体" w:eastAsia="宋体"/>
                <w:sz w:val="16"/>
              </w:rPr>
              <w:t>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EF9B">
            <w:pPr>
              <w:jc w:val="center"/>
            </w:pPr>
            <w:r>
              <w:rPr>
                <w:rFonts w:ascii="宋体" w:hAnsi="宋体" w:eastAsia="宋体"/>
                <w:sz w:val="16"/>
              </w:rPr>
              <w:t>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A8D43">
            <w:pPr>
              <w:jc w:val="center"/>
            </w:pPr>
            <w:r>
              <w:rPr>
                <w:rFonts w:ascii="宋体" w:hAnsi="宋体" w:eastAsia="宋体"/>
                <w:sz w:val="16"/>
              </w:rPr>
              <w:t>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F8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784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78D4">
            <w:pPr>
              <w:jc w:val="center"/>
            </w:pPr>
            <w:r>
              <w:rPr>
                <w:rFonts w:ascii="宋体" w:hAnsi="宋体" w:eastAsia="宋体"/>
                <w:sz w:val="16"/>
              </w:rPr>
              <w:t>10.00分</w:t>
            </w:r>
          </w:p>
        </w:tc>
      </w:tr>
      <w:tr w14:paraId="6FF2C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FED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357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38E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87B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817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7A8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4B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2571">
            <w:pPr>
              <w:jc w:val="center"/>
            </w:pPr>
            <w:r>
              <w:rPr>
                <w:rFonts w:ascii="宋体" w:hAnsi="宋体" w:eastAsia="宋体"/>
                <w:sz w:val="16"/>
              </w:rPr>
              <w:t>—</w:t>
            </w:r>
          </w:p>
        </w:tc>
      </w:tr>
      <w:tr w14:paraId="0F3C1E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46B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E41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EA1A8">
            <w:pPr>
              <w:jc w:val="center"/>
            </w:pPr>
            <w:r>
              <w:rPr>
                <w:rFonts w:ascii="宋体" w:hAnsi="宋体" w:eastAsia="宋体"/>
                <w:sz w:val="16"/>
              </w:rPr>
              <w:t>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A1C68">
            <w:pPr>
              <w:jc w:val="center"/>
            </w:pPr>
            <w:r>
              <w:rPr>
                <w:rFonts w:ascii="宋体" w:hAnsi="宋体" w:eastAsia="宋体"/>
                <w:sz w:val="16"/>
              </w:rPr>
              <w:t>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3E5B0">
            <w:pPr>
              <w:jc w:val="center"/>
            </w:pPr>
            <w:r>
              <w:rPr>
                <w:rFonts w:ascii="宋体" w:hAnsi="宋体" w:eastAsia="宋体"/>
                <w:sz w:val="16"/>
              </w:rPr>
              <w:t>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A1D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EE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C027">
            <w:pPr>
              <w:jc w:val="center"/>
            </w:pPr>
            <w:r>
              <w:rPr>
                <w:rFonts w:ascii="宋体" w:hAnsi="宋体" w:eastAsia="宋体"/>
                <w:sz w:val="16"/>
              </w:rPr>
              <w:t>—</w:t>
            </w:r>
          </w:p>
        </w:tc>
      </w:tr>
      <w:tr w14:paraId="1DF1AB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8EE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748D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C7D709">
            <w:pPr>
              <w:jc w:val="center"/>
            </w:pPr>
            <w:r>
              <w:rPr>
                <w:rFonts w:ascii="宋体" w:hAnsi="宋体" w:eastAsia="宋体"/>
                <w:sz w:val="16"/>
              </w:rPr>
              <w:t>实际完成情况</w:t>
            </w:r>
          </w:p>
        </w:tc>
      </w:tr>
      <w:tr w14:paraId="1FEE7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07E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415F2">
            <w:pPr>
              <w:jc w:val="both"/>
            </w:pPr>
            <w:r>
              <w:rPr>
                <w:rFonts w:ascii="宋体" w:hAnsi="宋体" w:eastAsia="宋体"/>
                <w:sz w:val="16"/>
              </w:rPr>
              <w:t>该项目总资金1.01万元，其中财政资金0万元，非财政拨款1.01万元。该项目资金用于</w:t>
            </w:r>
            <w:r>
              <w:rPr>
                <w:rFonts w:hint="eastAsia" w:ascii="宋体" w:hAnsi="宋体"/>
                <w:sz w:val="16"/>
                <w:lang w:eastAsia="zh-CN"/>
              </w:rPr>
              <w:t>本单位</w:t>
            </w:r>
            <w:r>
              <w:rPr>
                <w:rFonts w:ascii="宋体" w:hAnsi="宋体" w:eastAsia="宋体"/>
                <w:sz w:val="16"/>
              </w:rPr>
              <w:t>提升编办整体业务水平，培养骨干力量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0C4B6F">
            <w:pPr>
              <w:jc w:val="both"/>
            </w:pPr>
            <w:r>
              <w:rPr>
                <w:rFonts w:ascii="宋体" w:hAnsi="宋体" w:eastAsia="宋体"/>
                <w:sz w:val="16"/>
              </w:rPr>
              <w:t>截至2024年12月31日，已完成：机构编制助力援疆活动2次，通过该项目实施，主题授课两次进行深入交流、真情帮带，进一步提升克州机构编制骨干能力水平。</w:t>
            </w:r>
          </w:p>
        </w:tc>
      </w:tr>
      <w:tr w14:paraId="02A28C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600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0C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0D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A4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BD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5E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49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47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D0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EA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BDA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45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40B32">
            <w:pPr>
              <w:jc w:val="center"/>
            </w:pPr>
            <w:r>
              <w:rPr>
                <w:rFonts w:ascii="宋体" w:hAnsi="宋体" w:eastAsia="宋体"/>
                <w:sz w:val="16"/>
              </w:rPr>
              <w:t>偏差原因分析及改进措施</w:t>
            </w:r>
          </w:p>
        </w:tc>
      </w:tr>
      <w:tr w14:paraId="4271E1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CC3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F77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63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C585">
            <w:pPr>
              <w:jc w:val="center"/>
            </w:pPr>
            <w:r>
              <w:rPr>
                <w:rFonts w:ascii="宋体" w:hAnsi="宋体" w:eastAsia="宋体"/>
                <w:sz w:val="16"/>
              </w:rPr>
              <w:t>机构编制助力援疆活动（次）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0C3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E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10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26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C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5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AC7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F5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48CF">
            <w:pPr>
              <w:jc w:val="center"/>
            </w:pPr>
          </w:p>
        </w:tc>
      </w:tr>
      <w:tr w14:paraId="499BC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B27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CF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7D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64EA">
            <w:pPr>
              <w:jc w:val="center"/>
            </w:pPr>
            <w:r>
              <w:rPr>
                <w:rFonts w:ascii="宋体" w:hAnsi="宋体" w:eastAsia="宋体"/>
                <w:sz w:val="16"/>
              </w:rPr>
              <w:t>活动开展科学性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E5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3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9D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7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B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FD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7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7F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24DD8">
            <w:pPr>
              <w:jc w:val="center"/>
            </w:pPr>
          </w:p>
        </w:tc>
      </w:tr>
      <w:tr w14:paraId="03558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39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66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73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4B2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9E80">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D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59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3A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2D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4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E3A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63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110E">
            <w:pPr>
              <w:jc w:val="center"/>
            </w:pPr>
          </w:p>
        </w:tc>
      </w:tr>
      <w:tr w14:paraId="773AA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D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E1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92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7970">
            <w:pPr>
              <w:jc w:val="center"/>
            </w:pPr>
            <w:r>
              <w:rPr>
                <w:rFonts w:ascii="宋体" w:hAnsi="宋体" w:eastAsia="宋体"/>
                <w:sz w:val="16"/>
              </w:rPr>
              <w:t>活动开展费用（万元）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844B">
            <w:pPr>
              <w:jc w:val="center"/>
            </w:pPr>
            <w:r>
              <w:rPr>
                <w:rFonts w:ascii="宋体" w:hAnsi="宋体" w:eastAsia="宋体"/>
                <w:sz w:val="16"/>
              </w:rPr>
              <w:t>&lt;=1.01万元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A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2F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C8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F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67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BEE6">
            <w:pPr>
              <w:jc w:val="center"/>
            </w:pPr>
            <w:r>
              <w:rPr>
                <w:rFonts w:ascii="宋体" w:hAnsi="宋体" w:eastAsia="宋体"/>
                <w:sz w:val="16"/>
              </w:rPr>
              <w: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32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B868">
            <w:pPr>
              <w:jc w:val="center"/>
            </w:pPr>
          </w:p>
        </w:tc>
      </w:tr>
      <w:tr w14:paraId="47528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B20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F2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89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31FF">
            <w:pPr>
              <w:jc w:val="center"/>
            </w:pPr>
            <w:r>
              <w:rPr>
                <w:rFonts w:ascii="宋体" w:hAnsi="宋体" w:eastAsia="宋体"/>
                <w:sz w:val="16"/>
              </w:rPr>
              <w:t>有利于提高机构编制合理性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879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B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6F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D0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BB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A0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14E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8DA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D09C">
            <w:pPr>
              <w:jc w:val="center"/>
            </w:pPr>
          </w:p>
        </w:tc>
      </w:tr>
      <w:tr w14:paraId="537B7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9F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63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0F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ADF1">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1F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6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ED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4A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A2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E4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02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5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B0B48">
            <w:pPr>
              <w:jc w:val="center"/>
            </w:pPr>
          </w:p>
        </w:tc>
      </w:tr>
      <w:tr w14:paraId="562CA3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B1A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F3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401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0A7632">
            <w:pPr>
              <w:jc w:val="center"/>
            </w:pPr>
            <w:r>
              <w:rPr>
                <w:rFonts w:ascii="宋体" w:hAnsi="宋体" w:eastAsia="宋体"/>
                <w:sz w:val="16"/>
              </w:rPr>
              <w:t>100分</w:t>
            </w:r>
          </w:p>
        </w:tc>
      </w:tr>
    </w:tbl>
    <w:p w14:paraId="5913CDB5">
      <w:r>
        <w:br w:type="page"/>
      </w:r>
    </w:p>
    <w:p w14:paraId="612A664E">
      <w:pPr>
        <w:spacing w:line="640" w:lineRule="exact"/>
        <w:ind w:firstLine="640"/>
        <w:jc w:val="both"/>
        <w:outlineLvl w:val="2"/>
      </w:pPr>
      <w:r>
        <w:rPr>
          <w:rFonts w:ascii="黑体" w:hAnsi="黑体" w:eastAsia="黑体"/>
          <w:sz w:val="32"/>
        </w:rPr>
        <w:t>十二、其他需说明的事项</w:t>
      </w:r>
    </w:p>
    <w:p w14:paraId="75D95568">
      <w:pPr>
        <w:spacing w:line="580" w:lineRule="exact"/>
        <w:ind w:firstLine="640"/>
        <w:jc w:val="both"/>
      </w:pPr>
      <w:r>
        <w:rPr>
          <w:rFonts w:ascii="仿宋_GB2312" w:hAnsi="仿宋_GB2312" w:eastAsia="仿宋_GB2312"/>
          <w:b w:val="0"/>
          <w:sz w:val="32"/>
        </w:rPr>
        <w:t>本单位无其他需说明的事项。</w:t>
      </w:r>
    </w:p>
    <w:p w14:paraId="70290509">
      <w:r>
        <w:br w:type="page"/>
      </w:r>
    </w:p>
    <w:p w14:paraId="33C1010E">
      <w:pPr>
        <w:spacing w:line="240" w:lineRule="auto"/>
        <w:jc w:val="center"/>
        <w:outlineLvl w:val="1"/>
      </w:pPr>
      <w:r>
        <w:rPr>
          <w:rFonts w:ascii="黑体" w:hAnsi="黑体" w:eastAsia="黑体"/>
          <w:sz w:val="32"/>
        </w:rPr>
        <w:t>第三部分 专业名词解释</w:t>
      </w:r>
    </w:p>
    <w:p w14:paraId="1370083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DD8B42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F22BA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6FEE9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A3AA30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8709B7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6ECB38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4A34D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61975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115C8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21DD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8F0A7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DD218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1A2F3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D1BA502">
      <w:r>
        <w:br w:type="page"/>
      </w:r>
    </w:p>
    <w:p w14:paraId="028B95D9">
      <w:pPr>
        <w:spacing w:line="240" w:lineRule="auto"/>
        <w:jc w:val="center"/>
        <w:outlineLvl w:val="1"/>
      </w:pPr>
      <w:r>
        <w:rPr>
          <w:rFonts w:ascii="黑体" w:hAnsi="黑体" w:eastAsia="黑体"/>
          <w:sz w:val="32"/>
        </w:rPr>
        <w:t>第四部分 部门决算报表（见附表）</w:t>
      </w:r>
    </w:p>
    <w:p w14:paraId="53CDC068">
      <w:pPr>
        <w:spacing w:line="240" w:lineRule="auto"/>
        <w:ind w:firstLine="640"/>
        <w:jc w:val="both"/>
      </w:pPr>
      <w:r>
        <w:rPr>
          <w:rFonts w:ascii="仿宋_GB2312" w:hAnsi="仿宋_GB2312" w:eastAsia="仿宋_GB2312"/>
          <w:b w:val="0"/>
          <w:sz w:val="32"/>
        </w:rPr>
        <w:t>一、《收入支出决算总表》</w:t>
      </w:r>
    </w:p>
    <w:p w14:paraId="53283D94">
      <w:pPr>
        <w:spacing w:line="240" w:lineRule="auto"/>
        <w:ind w:firstLine="640"/>
        <w:jc w:val="both"/>
      </w:pPr>
      <w:r>
        <w:rPr>
          <w:rFonts w:ascii="仿宋_GB2312" w:hAnsi="仿宋_GB2312" w:eastAsia="仿宋_GB2312"/>
          <w:b w:val="0"/>
          <w:sz w:val="32"/>
        </w:rPr>
        <w:t>二、《收入决算表》</w:t>
      </w:r>
    </w:p>
    <w:p w14:paraId="4F6498A5">
      <w:pPr>
        <w:spacing w:line="240" w:lineRule="auto"/>
        <w:ind w:firstLine="640"/>
        <w:jc w:val="both"/>
      </w:pPr>
      <w:r>
        <w:rPr>
          <w:rFonts w:ascii="仿宋_GB2312" w:hAnsi="仿宋_GB2312" w:eastAsia="仿宋_GB2312"/>
          <w:b w:val="0"/>
          <w:sz w:val="32"/>
        </w:rPr>
        <w:t>三、《支出决算表》</w:t>
      </w:r>
    </w:p>
    <w:p w14:paraId="35D8CB40">
      <w:pPr>
        <w:spacing w:line="240" w:lineRule="auto"/>
        <w:ind w:firstLine="640"/>
        <w:jc w:val="both"/>
      </w:pPr>
      <w:r>
        <w:rPr>
          <w:rFonts w:ascii="仿宋_GB2312" w:hAnsi="仿宋_GB2312" w:eastAsia="仿宋_GB2312"/>
          <w:b w:val="0"/>
          <w:sz w:val="32"/>
        </w:rPr>
        <w:t>四、《财政拨款收入支出决算总表》</w:t>
      </w:r>
    </w:p>
    <w:p w14:paraId="30A72F96">
      <w:pPr>
        <w:spacing w:line="240" w:lineRule="auto"/>
        <w:ind w:firstLine="640"/>
        <w:jc w:val="both"/>
      </w:pPr>
      <w:r>
        <w:rPr>
          <w:rFonts w:ascii="仿宋_GB2312" w:hAnsi="仿宋_GB2312" w:eastAsia="仿宋_GB2312"/>
          <w:b w:val="0"/>
          <w:sz w:val="32"/>
        </w:rPr>
        <w:t>五、《一般公共预算财政拨款支出决算表》</w:t>
      </w:r>
    </w:p>
    <w:p w14:paraId="0BA32916">
      <w:pPr>
        <w:spacing w:line="240" w:lineRule="auto"/>
        <w:ind w:firstLine="640"/>
        <w:jc w:val="both"/>
      </w:pPr>
      <w:r>
        <w:rPr>
          <w:rFonts w:ascii="仿宋_GB2312" w:hAnsi="仿宋_GB2312" w:eastAsia="仿宋_GB2312"/>
          <w:b w:val="0"/>
          <w:sz w:val="32"/>
        </w:rPr>
        <w:t>六、《一般公共预算财政拨款基本支出决算表》</w:t>
      </w:r>
    </w:p>
    <w:p w14:paraId="0F221E67">
      <w:pPr>
        <w:spacing w:line="240" w:lineRule="auto"/>
        <w:ind w:firstLine="640"/>
        <w:jc w:val="both"/>
      </w:pPr>
      <w:r>
        <w:rPr>
          <w:rFonts w:ascii="仿宋_GB2312" w:hAnsi="仿宋_GB2312" w:eastAsia="仿宋_GB2312"/>
          <w:b w:val="0"/>
          <w:sz w:val="32"/>
        </w:rPr>
        <w:t>七、《政府性基金预算财政拨款收入支出决算表》</w:t>
      </w:r>
    </w:p>
    <w:p w14:paraId="425A1057">
      <w:pPr>
        <w:spacing w:line="240" w:lineRule="auto"/>
        <w:ind w:firstLine="640"/>
        <w:jc w:val="both"/>
      </w:pPr>
      <w:r>
        <w:rPr>
          <w:rFonts w:ascii="仿宋_GB2312" w:hAnsi="仿宋_GB2312" w:eastAsia="仿宋_GB2312"/>
          <w:b w:val="0"/>
          <w:sz w:val="32"/>
        </w:rPr>
        <w:t>八、《国有资本经营预算财政拨款收入支出决算表》</w:t>
      </w:r>
    </w:p>
    <w:p w14:paraId="7971938F">
      <w:pPr>
        <w:spacing w:line="240" w:lineRule="auto"/>
        <w:ind w:firstLine="640"/>
        <w:jc w:val="both"/>
      </w:pPr>
      <w:r>
        <w:rPr>
          <w:rFonts w:ascii="仿宋_GB2312" w:hAnsi="仿宋_GB2312" w:eastAsia="仿宋_GB2312"/>
          <w:b w:val="0"/>
          <w:sz w:val="32"/>
        </w:rPr>
        <w:t>九、《财政拨款“三公”经费支出决算表》</w:t>
      </w:r>
    </w:p>
    <w:p w14:paraId="0B2C3168">
      <w:pPr>
        <w:spacing w:line="240" w:lineRule="auto"/>
        <w:ind w:firstLine="640"/>
        <w:jc w:val="both"/>
      </w:pPr>
    </w:p>
    <w:p w14:paraId="3BB2200C">
      <w:pPr>
        <w:spacing w:line="240" w:lineRule="auto"/>
        <w:ind w:firstLine="640"/>
        <w:jc w:val="both"/>
      </w:pPr>
    </w:p>
    <w:p w14:paraId="422A4A88">
      <w:pPr>
        <w:spacing w:line="240" w:lineRule="auto"/>
        <w:ind w:firstLine="640"/>
        <w:jc w:val="both"/>
      </w:pPr>
    </w:p>
    <w:p w14:paraId="751FFE4C">
      <w:pPr>
        <w:spacing w:line="240" w:lineRule="auto"/>
        <w:ind w:firstLine="640"/>
        <w:jc w:val="both"/>
      </w:pPr>
    </w:p>
    <w:p w14:paraId="76FA3D8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317044-8858-4050-9A37-B9F1F437C13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45E75FA-E32A-449F-B01B-E856655F89BD}"/>
  </w:font>
  <w:font w:name="仿宋_GB2312">
    <w:altName w:val="仿宋"/>
    <w:panose1 w:val="02010609030101010101"/>
    <w:charset w:val="86"/>
    <w:family w:val="modern"/>
    <w:pitch w:val="default"/>
    <w:sig w:usb0="00000000" w:usb1="00000000" w:usb2="00000000" w:usb3="00000000" w:csb0="00040000" w:csb1="00000000"/>
    <w:embedRegular r:id="rId3" w:fontKey="{42C3625F-C088-4E80-ACC2-54FD678764B4}"/>
  </w:font>
  <w:font w:name="楷体_GB2312">
    <w:altName w:val="楷体"/>
    <w:panose1 w:val="00000000000000000000"/>
    <w:charset w:val="00"/>
    <w:family w:val="auto"/>
    <w:pitch w:val="default"/>
    <w:sig w:usb0="00000000" w:usb1="00000000" w:usb2="00000000" w:usb3="00000000" w:csb0="00000000" w:csb1="00000000"/>
    <w:embedRegular r:id="rId4" w:fontKey="{95BDA125-9E98-4F93-91AB-B3BED465D099}"/>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0762BE"/>
    <w:rsid w:val="3B1220C9"/>
    <w:rsid w:val="3D5275AC"/>
    <w:rsid w:val="3EA7725F"/>
    <w:rsid w:val="3EC014A1"/>
    <w:rsid w:val="40834692"/>
    <w:rsid w:val="423A32B2"/>
    <w:rsid w:val="423C0CB4"/>
    <w:rsid w:val="427B5743"/>
    <w:rsid w:val="42E64542"/>
    <w:rsid w:val="464B7E04"/>
    <w:rsid w:val="464F7E64"/>
    <w:rsid w:val="46901EEE"/>
    <w:rsid w:val="469C74D2"/>
    <w:rsid w:val="47445515"/>
    <w:rsid w:val="477010C4"/>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4407</Words>
  <Characters>4996</Characters>
  <Lines>0</Lines>
  <Paragraphs>0</Paragraphs>
  <TotalTime>5</TotalTime>
  <ScaleCrop>false</ScaleCrop>
  <LinksUpToDate>false</LinksUpToDate>
  <CharactersWithSpaces>5004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