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FF6652"/>
    <w:p w14:paraId="16575A61">
      <w:pPr>
        <w:spacing w:line="570" w:lineRule="exact"/>
        <w:jc w:val="center"/>
        <w:rPr>
          <w:rFonts w:ascii="华文中宋" w:hAnsi="华文中宋" w:eastAsia="华文中宋" w:cs="宋体"/>
          <w:b/>
          <w:kern w:val="0"/>
          <w:sz w:val="52"/>
          <w:szCs w:val="52"/>
        </w:rPr>
      </w:pPr>
    </w:p>
    <w:p w14:paraId="354928F3">
      <w:pPr>
        <w:spacing w:line="570" w:lineRule="exact"/>
        <w:jc w:val="center"/>
        <w:rPr>
          <w:rFonts w:ascii="华文中宋" w:hAnsi="华文中宋" w:eastAsia="华文中宋" w:cs="宋体"/>
          <w:b/>
          <w:kern w:val="0"/>
          <w:sz w:val="52"/>
          <w:szCs w:val="52"/>
        </w:rPr>
      </w:pPr>
    </w:p>
    <w:p w14:paraId="5F7DFEA2">
      <w:pPr>
        <w:spacing w:line="570" w:lineRule="exact"/>
        <w:jc w:val="center"/>
        <w:rPr>
          <w:rFonts w:ascii="华文中宋" w:hAnsi="华文中宋" w:eastAsia="华文中宋" w:cs="宋体"/>
          <w:b/>
          <w:kern w:val="0"/>
          <w:sz w:val="52"/>
          <w:szCs w:val="52"/>
        </w:rPr>
      </w:pPr>
    </w:p>
    <w:p w14:paraId="730F51B7">
      <w:pPr>
        <w:spacing w:line="570" w:lineRule="exact"/>
        <w:jc w:val="center"/>
        <w:rPr>
          <w:rFonts w:ascii="华文中宋" w:hAnsi="华文中宋" w:eastAsia="华文中宋" w:cs="宋体"/>
          <w:b/>
          <w:kern w:val="0"/>
          <w:sz w:val="52"/>
          <w:szCs w:val="52"/>
        </w:rPr>
      </w:pPr>
    </w:p>
    <w:p w14:paraId="299686E9">
      <w:pPr>
        <w:spacing w:line="570" w:lineRule="exact"/>
        <w:jc w:val="both"/>
        <w:rPr>
          <w:rFonts w:ascii="华文中宋" w:hAnsi="华文中宋" w:eastAsia="华文中宋" w:cs="宋体"/>
          <w:b/>
          <w:kern w:val="0"/>
          <w:sz w:val="52"/>
          <w:szCs w:val="52"/>
        </w:rPr>
      </w:pPr>
    </w:p>
    <w:p w14:paraId="560AADF4">
      <w:pPr>
        <w:spacing w:line="570" w:lineRule="exact"/>
        <w:jc w:val="center"/>
        <w:rPr>
          <w:rFonts w:ascii="华文中宋" w:hAnsi="华文中宋" w:eastAsia="华文中宋" w:cs="宋体"/>
          <w:b/>
          <w:kern w:val="0"/>
          <w:sz w:val="52"/>
          <w:szCs w:val="52"/>
        </w:rPr>
      </w:pPr>
    </w:p>
    <w:p w14:paraId="2C47E648">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45586729">
      <w:pPr>
        <w:spacing w:line="570" w:lineRule="exact"/>
        <w:jc w:val="center"/>
        <w:rPr>
          <w:rFonts w:ascii="华文中宋" w:hAnsi="华文中宋" w:eastAsia="华文中宋" w:cs="宋体"/>
          <w:b/>
          <w:kern w:val="0"/>
          <w:sz w:val="52"/>
          <w:szCs w:val="52"/>
        </w:rPr>
      </w:pPr>
    </w:p>
    <w:p w14:paraId="3D2A966F">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75DC98B3">
      <w:pPr>
        <w:spacing w:line="570" w:lineRule="exact"/>
        <w:jc w:val="center"/>
        <w:rPr>
          <w:rFonts w:hAnsi="宋体" w:eastAsia="仿宋_GB2312" w:cs="宋体"/>
          <w:kern w:val="0"/>
          <w:sz w:val="30"/>
          <w:szCs w:val="30"/>
        </w:rPr>
      </w:pPr>
    </w:p>
    <w:p w14:paraId="35DAE8AA">
      <w:pPr>
        <w:spacing w:line="570" w:lineRule="exact"/>
        <w:jc w:val="center"/>
        <w:rPr>
          <w:rFonts w:hAnsi="宋体" w:eastAsia="仿宋_GB2312" w:cs="宋体"/>
          <w:kern w:val="0"/>
          <w:sz w:val="30"/>
          <w:szCs w:val="30"/>
        </w:rPr>
      </w:pPr>
    </w:p>
    <w:p w14:paraId="3AA13A5D">
      <w:pPr>
        <w:spacing w:line="570" w:lineRule="exact"/>
        <w:jc w:val="center"/>
        <w:rPr>
          <w:rFonts w:hAnsi="宋体" w:eastAsia="仿宋_GB2312" w:cs="宋体"/>
          <w:kern w:val="0"/>
          <w:sz w:val="30"/>
          <w:szCs w:val="30"/>
        </w:rPr>
      </w:pPr>
    </w:p>
    <w:p w14:paraId="435D552B">
      <w:pPr>
        <w:spacing w:line="570" w:lineRule="exact"/>
        <w:jc w:val="center"/>
        <w:rPr>
          <w:rFonts w:hAnsi="宋体" w:eastAsia="仿宋_GB2312" w:cs="宋体"/>
          <w:kern w:val="0"/>
          <w:sz w:val="30"/>
          <w:szCs w:val="30"/>
        </w:rPr>
      </w:pPr>
    </w:p>
    <w:p w14:paraId="0D2ACCEA">
      <w:pPr>
        <w:spacing w:line="570" w:lineRule="exact"/>
        <w:jc w:val="center"/>
        <w:rPr>
          <w:rFonts w:hAnsi="宋体" w:eastAsia="仿宋_GB2312" w:cs="宋体"/>
          <w:kern w:val="0"/>
          <w:sz w:val="30"/>
          <w:szCs w:val="30"/>
        </w:rPr>
      </w:pPr>
    </w:p>
    <w:p w14:paraId="0218BB82">
      <w:pPr>
        <w:spacing w:line="570" w:lineRule="exact"/>
        <w:jc w:val="center"/>
        <w:rPr>
          <w:rFonts w:hAnsi="宋体" w:eastAsia="仿宋_GB2312" w:cs="宋体"/>
          <w:kern w:val="0"/>
          <w:sz w:val="30"/>
          <w:szCs w:val="30"/>
        </w:rPr>
      </w:pPr>
    </w:p>
    <w:p w14:paraId="603274D1">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9"/>
          <w:rFonts w:hint="eastAsia" w:ascii="仿宋" w:hAnsi="仿宋" w:eastAsia="仿宋" w:cs="仿宋"/>
          <w:b w:val="0"/>
          <w:bCs w:val="0"/>
          <w:spacing w:val="-4"/>
          <w:sz w:val="32"/>
          <w:szCs w:val="32"/>
        </w:rPr>
        <w:t>2024为民办实事项目</w:t>
      </w:r>
    </w:p>
    <w:p w14:paraId="23AE2D67">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9"/>
          <w:rFonts w:hint="eastAsia" w:ascii="仿宋" w:hAnsi="仿宋" w:eastAsia="仿宋" w:cs="仿宋"/>
          <w:b w:val="0"/>
          <w:bCs w:val="0"/>
          <w:spacing w:val="-4"/>
          <w:sz w:val="32"/>
          <w:szCs w:val="32"/>
        </w:rPr>
        <w:t>阿图什市人民法院</w:t>
      </w:r>
    </w:p>
    <w:p w14:paraId="2A870761">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9"/>
          <w:rFonts w:hint="eastAsia" w:ascii="仿宋" w:hAnsi="仿宋" w:eastAsia="仿宋" w:cs="仿宋"/>
          <w:b w:val="0"/>
          <w:bCs w:val="0"/>
          <w:spacing w:val="-4"/>
          <w:sz w:val="32"/>
          <w:szCs w:val="32"/>
        </w:rPr>
        <w:t>克州中级人民法院</w:t>
      </w:r>
    </w:p>
    <w:p w14:paraId="2228B159">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9"/>
          <w:rFonts w:hint="eastAsia" w:ascii="仿宋" w:hAnsi="仿宋" w:eastAsia="仿宋" w:cs="仿宋"/>
          <w:b w:val="0"/>
          <w:bCs w:val="0"/>
          <w:spacing w:val="-4"/>
          <w:sz w:val="32"/>
          <w:szCs w:val="32"/>
        </w:rPr>
        <w:t>党跟武</w:t>
      </w:r>
    </w:p>
    <w:p w14:paraId="41CDE140">
      <w:pPr>
        <w:spacing w:line="540" w:lineRule="exact"/>
        <w:ind w:firstLine="360" w:firstLineChars="100"/>
        <w:rPr>
          <w:rStyle w:val="19"/>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9"/>
          <w:rFonts w:hint="eastAsia" w:ascii="仿宋" w:hAnsi="仿宋" w:eastAsia="仿宋" w:cs="仿宋"/>
          <w:b w:val="0"/>
          <w:bCs w:val="0"/>
          <w:spacing w:val="-4"/>
          <w:sz w:val="32"/>
          <w:szCs w:val="32"/>
        </w:rPr>
        <w:t>2025年04月27日</w:t>
      </w:r>
    </w:p>
    <w:p w14:paraId="0B4FE651">
      <w:pPr>
        <w:rPr>
          <w:rStyle w:val="19"/>
          <w:rFonts w:hint="eastAsia" w:ascii="仿宋" w:hAnsi="仿宋" w:eastAsia="仿宋" w:cs="仿宋"/>
          <w:b w:val="0"/>
          <w:bCs w:val="0"/>
          <w:spacing w:val="-4"/>
          <w:sz w:val="32"/>
          <w:szCs w:val="32"/>
        </w:rPr>
      </w:pPr>
      <w:r>
        <w:br w:type="page"/>
      </w:r>
    </w:p>
    <w:p w14:paraId="3E7C0B1E">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一、基本情况</w:t>
      </w:r>
    </w:p>
    <w:p w14:paraId="66711D36">
      <w:pPr>
        <w:spacing w:line="570" w:lineRule="exact"/>
        <w:ind w:firstLine="627" w:firstLineChars="200"/>
        <w:rPr>
          <w:rStyle w:val="19"/>
          <w:rFonts w:ascii="方正楷体_GBK" w:hAnsi="方正楷体_GBK" w:eastAsia="方正楷体_GBK" w:cs="方正楷体_GBK"/>
          <w:bCs w:val="0"/>
          <w:spacing w:val="-4"/>
          <w:sz w:val="32"/>
          <w:szCs w:val="32"/>
        </w:rPr>
      </w:pPr>
      <w:r>
        <w:rPr>
          <w:rStyle w:val="19"/>
          <w:rFonts w:hint="eastAsia" w:ascii="楷体" w:hAnsi="楷体" w:eastAsia="楷体" w:cs="楷体"/>
          <w:bCs w:val="0"/>
          <w:spacing w:val="-4"/>
          <w:sz w:val="32"/>
          <w:szCs w:val="32"/>
        </w:rPr>
        <w:t>（一）项目概况。包括项目背景、主要内容及实施情况、资金投入和使用情况等。</w:t>
      </w:r>
    </w:p>
    <w:p w14:paraId="03D8A058">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1.项目背景</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为民办实事经费结转项目实施前期、过程及效果，评价财政预算资金使用的效率及效益。根据自治州相关工作要求，加大兰杆村基础设施建设力度，改善办学条件、医疗卫生条件，通过转移就业、发展产业、土地清理再分配、护边补偿、易地搬迁、生态补偿、综合社会保障等措施，使农牧民人均纯收入超过年度国家扶贫标准，不愁吃、不愁穿、义务教育有保障、基本医疗有保障、住房安全有保障。农牧民人均纯收入超过年度国家扶贫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2.主要内容及实施情况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（1）主要内容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按照行政村的规模分类，上阿图什兰干村为民办实事经费和第一书记工作经费为中村17万元，由自治区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自治区“访民情惠民生聚民心”驻村工作为民办实事工作经费使用管理办法（试行）的通知》（新民办发〔2016〕62号），宣传国家相关政策及法律法规，维护社会稳定和长治久安，从而提高群众幸福度和归属感。</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3.项目实施主体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该项目由阿图什市人民法院单位实施，内设个科室，分别是：综合办公室、政治处、立案庭、民庭、执行局、刑庭及乡法庭。主要职能是阿图什市人民法院是市政府的一个职能部门，全额拨款的独立核算单位，隶属于市政府。主要职责是法律规定由基层法院管辖的刑事、民事、行政案件；审理由市检察院按照审判监督程序提起的抗诉案件；依照审判监督程序，审理申诉的刑事、民事、行政件；依法行使司法执行权和司法决定权，执行本院已经发生法律效力的判决、裁定以及国家行政机关申请执行的案件和外地法院委托执行的案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编制人数91人，其中：行政人员编制87人、工勤3人、参公0人、事业编制0人。实有在职人数74人，其中：行政在职71人、工勤3人、参公0人、事业在职0人。离退休人员50人，其中：行政退休人员50人、事业退休0人。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4.资金投入和使用情况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（1）项目资金安排落实、总投入等情况分析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为民办实事好事和第一书记经费资金【2024】16号文本年度安排下达资金17万元，为为民办实事好事资金，最终确定项目资金总数为17万元。其中：中央财政拨款0万元，自治区财政拨款17万元，本级财政拨款0万元，上年结余0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（2）项目资金实际使用情况分析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截至2024年12月31日，为民办实事好事项目，实际支出16.98万元，预算执行率100%。主要用于乡村法律宣传、日常活动</w:t>
      </w:r>
      <w:bookmarkStart w:id="0" w:name="_GoBack"/>
      <w:bookmarkEnd w:id="0"/>
      <w:r>
        <w:rPr>
          <w:rStyle w:val="19"/>
          <w:rFonts w:hint="eastAsia" w:ascii="仿宋" w:hAnsi="仿宋" w:eastAsia="仿宋" w:cs="仿宋"/>
          <w:b w:val="0"/>
          <w:bCs w:val="0"/>
          <w:spacing w:val="-4"/>
          <w:sz w:val="32"/>
          <w:szCs w:val="32"/>
        </w:rPr>
        <w:t>及村改善路段环境、养兔基地维护。</w:t>
      </w:r>
    </w:p>
    <w:p w14:paraId="38CF4D05">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（二）项目绩效目标。包括总体目标和阶段性目标。</w:t>
      </w:r>
    </w:p>
    <w:p w14:paraId="2982BC14">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1.项目绩效总目标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该资金用于建设我院驻村工作队，面向群众、面向基层，面向经济社会发展，以求真务实的工作作风，着力解决影响群干关系、影响群众切身利益、影响社会和谐稳定的突出问题，规范社会行为，解决社会矛盾，应对社会风险，坚持人民主体地位，贯彻全心全意为人民群众服务的宗旨，用心探索结合社会管理加强和发送群众 工作 的新途径和新方法，发挥群众参与社会管理的基础性作用。</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2.阶段性目标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（1）项目产出目标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①数量指标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“活动开展次数”指标，预期指标值为≥2次；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“养兔基地、路面维护维修”指标，预期指标值为≥2次；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“传困难群众”指标，预期指标值为≥2次。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②质量指标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“活动举办成功率”指标，预期指标值为＝100%；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“维护维修验收合格率”指标，预期指标值为＝100%；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“宣传单印刷合格率”指标，预期指标值为＝100%。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③时效指标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“活动奖励发放及时率”指标，预期指标值为=100%；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“宣传政策普及率”指标，预期指标值为=100%。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（2）项目成本指标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①经济成本指标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“活动奖品支出”指标，预期指标值为≤1万元；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“改善路段环境”指标，预期指标值为≤8.90万元；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“养兔基地维护”指标，预期指标值为≤7.10万元。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①经济效益指标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无此类指标。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②社会效益指标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“提升公共服务水平”指标，预期指标值为有效提升；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③生态效益指标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无此类指标。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（4）相关满意度指标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““保障人员满意度（%）”指标，预期指标值为≥100%。</w:t>
      </w:r>
    </w:p>
    <w:p w14:paraId="7C58A42F">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二、绩效评价工作开展情况</w:t>
      </w:r>
    </w:p>
    <w:p w14:paraId="1061546F">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（一）绩效评价目的、对象</w:t>
      </w:r>
      <w:r>
        <w:rPr>
          <w:rStyle w:val="19"/>
          <w:rFonts w:hint="eastAsia" w:ascii="楷体" w:hAnsi="楷体" w:eastAsia="楷体" w:cs="楷体"/>
          <w:bCs w:val="0"/>
          <w:spacing w:val="-4"/>
          <w:sz w:val="32"/>
          <w:szCs w:val="32"/>
          <w:lang w:eastAsia="zh-CN"/>
        </w:rPr>
        <w:t>和</w:t>
      </w:r>
      <w:r>
        <w:rPr>
          <w:rStyle w:val="19"/>
          <w:rFonts w:hint="eastAsia" w:ascii="楷体" w:hAnsi="楷体" w:eastAsia="楷体" w:cs="楷体"/>
          <w:bCs w:val="0"/>
          <w:spacing w:val="-4"/>
          <w:sz w:val="32"/>
          <w:szCs w:val="32"/>
        </w:rPr>
        <w:t>范围。</w:t>
      </w:r>
    </w:p>
    <w:p w14:paraId="35556F07">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1.绩效评价目的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为民办实事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2.绩效评价对象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3.绩效评价范围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1B9B57CF">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（二）绩效评价原则、评价指标体系（附表说明）、评价方法、评价标准等。</w:t>
      </w:r>
    </w:p>
    <w:p w14:paraId="52CDE973">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1.绩效评价原则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2024年为民办实事经费项目资金进行绩效评价，旨在了解项目资金使用和项目管理情况、取得的成绩及效益，进而分析在政策执行、预算资金安排、项目实施等方面存在的问题并提出针对性建议。本次绩效评价遵循的原则包括：</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（1）科学公正。绩效评价应当运用科学合理的方法，按照规范的程序，对项目绩效进行客观、公正的反映。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（4）公开透明。绩效评价结果应依法依规公开，并自觉接受社会监督。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2.绩效评价指标体系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一级指标为：决策、过程、产出、效益。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3.绩效评价方法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三级指标分析环节：总体采用比较法，同时辅以文献法、成本效益法、因素分析法以及公众评判法，根据不同三级指标类型进行逐项分析。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立项依据充分性：比较法、文献法，查找法律法规政策以及规划，对比实际执行内容和政策支持内容是否匹配。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立项程序规范性：比较法、文献法，查找相关项目设立的政策和文件要求，对比分析实际执行程序是否按照政策及文件要求执行，分析立项程序的规范性。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绩效目标合理性：比较法，对比分析年初编制项目支出绩效目标表与项目内容的相关性、资金的匹配性等。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绩效指标明确性：比较法，比较分析年初编制项目支出绩效目标表是否符合双七原则，是否可衡量。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预算编制科学性：成本效益分析法，分析在产出一定的情况下，成本取值是否有依据，是否经过询价，是否按照市场最低成本编制。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资金分配合理性：因素分析法，综合分析资金的分配依据是否充分，分配金额是否与项目实施单位需求金额一致，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资金到位率：比较法，资金到位率预期指标值应为100.0%，通过实际计算，分析实际完成值和预期指标值之间的差距和原因。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预算执行率：比较法，预算执行率预期指标值应为100.0%，通过实际计算，分析实际完成值和预期指标值之间的差距和原因。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资金使用合规性：文献法、实地勘察法，一是查找资金管理办法，包括专项资金管理办法和单位自有资金管理办法；二是通过查账了解具体开支情况，是否专款专用，是否按照标准支出。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管理制度健全性：文献法、比较法，查阅项目实施人员提供的财务和业务管理制度，将已建立的制度与现行的法律法规和政策要求进行对比，分析项目制度的合法性、合规性、完整性。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制度执行有效性：比较法，结合项目实际实施过程性文件，根据已建设的财务管理制度和项目管理制度综合分析制度执行的有效性。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定性指标：公众评判法，通过问卷及抽样调查等方式评价本项目实施后社会公众对于其实施效果的满意程度。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4.绩效评价标准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26ECA605">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（三）绩效评价工作过程。</w:t>
      </w:r>
    </w:p>
    <w:p w14:paraId="66EC4595">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1.前期准备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党跟武（评价小组组长）：主要负责绩效评价组织协调工作，上情下达，制定绩效评价目标及考核项目；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单凯（评价小组组员）：主要负责对接项目承建单位经办人员，组织收集审核项目相关工程资料，审核项目相关文件、实施方案、招投标档案等资料；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木拉地力（评价小组组员）：主要负责对接项目相关财务人员，负责收集查阅项目资金支付财务凭证相关附件资料，审核资金使用合规性、管理机制及操作流程。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王冕（评价小组组员）：主要负责记录整理绩效评价过程中存在问题，编制绩效评价目标初稿，撰写绩效评价相关文稿。</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2.组织实施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3.分析评价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2025年3月10日-3月19日，评价小组按照绩效评价的原则和规范，对取得的资料进行审查核实，对采集的数据进行分析，按照绩效评价指标评分表逐项进行打分、分析、汇总各方评价结果。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4.撰写与提交评价报告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2025年3月20日-3月30日，评价小组撰写绩效评价报告，按照新疆维吾尔自治区财政绩效管理信息系统绩效评价模块中统一格式和文本框架撰写绩效评价报告并提交审核。</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5.问题整改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6.档案整理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62E1B3A2">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三、综合评价情况及评价结论</w:t>
      </w:r>
    </w:p>
    <w:p w14:paraId="6A0D648C">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（一）综合评价情况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2024年为民办实事经费”项目绩效进行客观公正的评价，本项目总得分为99.98分，绩效评级属于“优”。其中，决策类指标得分20分，过程类指标得分19.99分，产出类指标得分39.99分，效益类指标得分20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（二）综合评价结论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经评价，本项目达到了年初设立的绩效目标，在实施过程中取得了良好的成效，具体表现在：办实事好事已完成活动开展次数2次，支出1万元经费推动了干群之间的关系，对工作加强民族团结；已完养兔基地、路面维护维修2次，支出16万元，解决生产生活中的实际困难，美化村夜间照明亮度，加强养兔基地繁殖能力，加强民族团结；增进民族互信，突出现代文化引领；全年拨付资金17万元，保障了各项工作及时有效完成。同时全年共举行了多次有关法律法规宣传，涉及人民群众切身利益相关的防养老诈骗、未成年人保护法等法律内容，解决生产生活中的实际困难；实现维护社会稳定和长治久安总目标。</w:t>
      </w:r>
    </w:p>
    <w:p w14:paraId="79FC572D">
      <w:pPr>
        <w:spacing w:line="57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 xml:space="preserve">四、绩效评价指标分析 </w:t>
      </w:r>
    </w:p>
    <w:p w14:paraId="284206E8">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5BEDFFF3">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1.项目立项情况分析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立项依据充分性：《自治区“访民情惠民生聚民心”驻村工作为民办实事工作经费使用管理办法（试行）的通知》（新民办发〔2016〕62号）、《关于拨付2021年自治区“访惠聚”驻村工作经费的通知》新财预（2021）19号并结合阿图什市人民法院职责组织实施。围绕阿图什市人民法院年度工作重点和工作计划制定经费预算，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立项程序规范性：根据决策依据编制工作计划和经费预算，经过与阿图什市人民法院财经领导小组进行沟通、筛选确定经费预算计划，上局务会研究确定最终预算方案，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2.绩效目标情况分析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（1）绩效目标合理性：制定了实施方案，明确了总体思路及目标、并对任务进行了详细分解，对目标进行了细化，根据评分标准，该指标不扣分，得3分。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（2）绩效指标明确性：将项目绩效目标细化分解为具体的绩效指标，根据评分标准，该指标不扣分，得2分。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3.资金投入情况分析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（1）预算编制科学性：预算编制经经过自治区按照大村15万元/年，实际完成内容与项目内容匹配，项目投资额与工作任务相匹配，根据评分标准，该指标不扣分，得5分。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14:paraId="49317960">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6AE1EA91">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项目过程类指标包括资金管理和组织实施两方面的内容，由 5个三级指标构成，权重分为20分，实际得分19.99分，得分率为99.95%。</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1.资金管理情况分析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（1）资金到位率：该项目总投资17万元，克州财政局实际下达经费17万元，其中当年财政拨款万元，上年结转资金0万元，财政资金足额拨付到位，根据评分标准，该指标不扣分，得5分。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（2）预算执行率：本项目申请预算金额为17万元，预算批复实际下达金额为 17万元截至 2024年 12 月 31日，资金执行16.98万元，资金执行率99.99%。项目资金支出总体能够按照预算执行，根据评分标准，该指标扣0.01分，得4.99分。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资金使用合规性：根据关于《2017年自治区访惠聚“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2.组织实施情况分析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（1）管理制度健全性：该项目严格按照《阿图什市人民法院财务制度》及访惠聚资金相关的制度和管理规定实施，对财政专项资金进行严格管理，基本做到了专款专用，根据评分标准，该指标不扣分，得2分。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2E1DBB17">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631C92C3">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项目产出类指标包括产出数量、产出质量、产出时效、产出成本四方面的内容，由11个三级指标构成，权重分为40分，实际得分39.99分，得分率为99.98%。</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1.数量指标完成情况分析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活动开展次数2次，与预期目标一致，根据评分标准，该指标不扣分，得4分。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养兔基地、路面维护维修次数2场次，与预期目标一致，根据评分标准，该指标不扣分，得4分。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宣传困难群众次数2场次，与预期目标一致，根据评分标准，该指标不扣分，得2分。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2.质量指标完成情况分析：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活动举办成功率100%，与预期目标一致，根据评分标准，该指标不扣分，得4分。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维护维修验收合格率100%，与预期目标一致，根据评分标准，该指标不扣分，得4分。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宣传单印刷合格率100%，与预期目标一致，根据评分标准，该指标不扣分，得2分。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3.时效指标完成情况分析：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活动奖励发放及时率100%，与预期目标指标一致，根据评分标准，该指标不扣分，得5分。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宣传政策普及率100%与预期目标指标一致，根据评分标准，该指标不扣分，得5分。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4.成本指标完成情况分析：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活动奖品支出经费1万元，与预期目标一致，根据评分标准，该指标不扣分，得4分。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改善路段环境经费8.90万元，实际完成值为8.88万元，偏差率0.2%，偏差原因：未科学合理安排成本指标，采取的措施：今后科学合理安排成本指标，扣0.01分，得3.99分。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养兔基地维护7.10万元，与预期目标一致，根据评分标准，该指标不扣分，得2分。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合计得9.99分。</w:t>
      </w:r>
    </w:p>
    <w:p w14:paraId="07CBDE1D">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00AF21B1">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项目效益类指标由2个二级指标和2个三级指标构成构成，权重分为20分，实际得分20分，得分率为100%。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1.经济效益完成情况分析：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本项目无该指标。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2.社会效益完成情况分析：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促进乡村振兴，与预期指标一致，根据评分标准，该指标不扣分，得10分。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3.生态效益完成情况分析：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本项目无该指标。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实施效益指标合计得10分。</w:t>
      </w:r>
    </w:p>
    <w:p w14:paraId="08597812">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对于满意度指标：受益群众满意度95%，与预期目标一致，根据评分标准，该指标不扣分，得10分。</w:t>
      </w:r>
    </w:p>
    <w:p w14:paraId="3029D68C">
      <w:pPr>
        <w:spacing w:line="570" w:lineRule="exact"/>
        <w:ind w:firstLine="624" w:firstLineChars="200"/>
        <w:rPr>
          <w:rStyle w:val="19"/>
          <w:rFonts w:hint="eastAsia" w:ascii="黑体" w:hAnsi="黑体" w:eastAsia="黑体" w:cs="黑体"/>
          <w:b w:val="0"/>
          <w:spacing w:val="-4"/>
          <w:sz w:val="32"/>
          <w:szCs w:val="32"/>
          <w:lang w:eastAsia="zh-CN"/>
        </w:rPr>
      </w:pPr>
      <w:r>
        <w:rPr>
          <w:rStyle w:val="19"/>
          <w:rFonts w:hint="eastAsia" w:ascii="黑体" w:hAnsi="黑体" w:eastAsia="黑体" w:cs="黑体"/>
          <w:b w:val="0"/>
          <w:spacing w:val="-4"/>
          <w:sz w:val="32"/>
          <w:szCs w:val="32"/>
        </w:rPr>
        <w:t>五、主要经验及做法、存在的问题及原因分析</w:t>
      </w:r>
    </w:p>
    <w:p w14:paraId="15C17A91">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（一）主要经验及做法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一是本项目能够严格按照《项目实施方案》执行，项目执行情况较好。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三是加强沟通协调，我单位及时向县领导汇报项目建设进度，加强与实施单位的沟通，确保项目按期完工。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（二）存在问题及原因分析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78F74A91">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六、有关建议</w:t>
      </w:r>
    </w:p>
    <w:p w14:paraId="7F0E221B">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4．评价工作应从项目实施方案源头抓起，评价工作和意识应贯穿项目整个过程。</w:t>
      </w:r>
    </w:p>
    <w:p w14:paraId="508CF9EC">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七、其他需要说明的问题</w:t>
      </w:r>
    </w:p>
    <w:p w14:paraId="3B9B435C">
      <w:pPr>
        <w:spacing w:line="540" w:lineRule="exact"/>
        <w:ind w:firstLine="567"/>
        <w:rPr>
          <w:rStyle w:val="19"/>
          <w:rFonts w:ascii="仿宋" w:hAnsi="仿宋" w:eastAsia="仿宋"/>
          <w:b w:val="0"/>
          <w:spacing w:val="-4"/>
          <w:sz w:val="32"/>
          <w:szCs w:val="32"/>
        </w:rPr>
      </w:pPr>
      <w:r>
        <w:rPr>
          <w:rStyle w:val="19"/>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附件1：2024年为民办实事项目绩效评价指标体系及评分标准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AAEB4B1-3DE1-4385-A82D-6AB18A253A8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79EA7C22-F2B7-48D7-9D5C-61DFD1822D51}"/>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embedRegular r:id="rId3" w:fontKey="{CE917A71-C673-45A8-9419-67BC97B34428}"/>
  </w:font>
  <w:font w:name="方正小标宋_GBK">
    <w:panose1 w:val="02000000000000000000"/>
    <w:charset w:val="86"/>
    <w:family w:val="script"/>
    <w:pitch w:val="default"/>
    <w:sig w:usb0="A00002BF" w:usb1="38CF7CFA" w:usb2="00082016" w:usb3="00000000" w:csb0="00040001" w:csb1="00000000"/>
    <w:embedRegular r:id="rId4" w:fontKey="{0F16A16A-5DA9-4321-880D-E17B3FA30259}"/>
  </w:font>
  <w:font w:name="仿宋_GB2312">
    <w:panose1 w:val="02010609030101010101"/>
    <w:charset w:val="86"/>
    <w:family w:val="modern"/>
    <w:pitch w:val="default"/>
    <w:sig w:usb0="00000001" w:usb1="080E0000" w:usb2="00000000" w:usb3="00000000" w:csb0="00040000" w:csb1="00000000"/>
    <w:embedRegular r:id="rId5" w:fontKey="{596281FC-5E0D-479A-A404-D1BC61D9DD36}"/>
  </w:font>
  <w:font w:name="楷体">
    <w:panose1 w:val="02010609060101010101"/>
    <w:charset w:val="86"/>
    <w:family w:val="modern"/>
    <w:pitch w:val="default"/>
    <w:sig w:usb0="800002BF" w:usb1="38CF7CFA" w:usb2="00000016" w:usb3="00000000" w:csb0="00040001" w:csb1="00000000"/>
    <w:embedRegular r:id="rId6" w:fontKey="{7799FC90-21ED-4F75-A8CC-0D235B4162AB}"/>
  </w:font>
  <w:font w:name="方正仿宋_GBK">
    <w:panose1 w:val="02000000000000000000"/>
    <w:charset w:val="86"/>
    <w:family w:val="auto"/>
    <w:pitch w:val="default"/>
    <w:sig w:usb0="A00002BF" w:usb1="38CF7CFA" w:usb2="00082016" w:usb3="00000000" w:csb0="00040001" w:csb1="00000000"/>
    <w:embedRegular r:id="rId7" w:fontKey="{17794D73-063F-4549-A49A-B65FB0BD1FB2}"/>
  </w:font>
  <w:font w:name="仿宋">
    <w:panose1 w:val="02010609060101010101"/>
    <w:charset w:val="86"/>
    <w:family w:val="modern"/>
    <w:pitch w:val="default"/>
    <w:sig w:usb0="800002BF" w:usb1="38CF7CFA" w:usb2="00000016" w:usb3="00000000" w:csb0="00040001" w:csb1="00000000"/>
    <w:embedRegular r:id="rId8" w:fontKey="{B4F815B9-3EC2-4047-8EEE-1AAFB2015B1F}"/>
  </w:font>
  <w:font w:name="方正楷体_GBK">
    <w:panose1 w:val="02000000000000000000"/>
    <w:charset w:val="86"/>
    <w:family w:val="auto"/>
    <w:pitch w:val="default"/>
    <w:sig w:usb0="800002BF" w:usb1="38CF7CFA" w:usb2="00000016" w:usb3="00000000" w:csb0="00040000" w:csb1="00000000"/>
    <w:embedRegular r:id="rId9" w:fontKey="{58398553-CF7D-4562-9F8B-742F8449A81B}"/>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7DB4EEB">
        <w:pPr>
          <w:pStyle w:val="12"/>
          <w:jc w:val="center"/>
        </w:pPr>
        <w:r>
          <w:fldChar w:fldCharType="begin"/>
        </w:r>
        <w:r>
          <w:instrText xml:space="preserve">PAGE   \* MERGEFORMAT</w:instrText>
        </w:r>
        <w:r>
          <w:fldChar w:fldCharType="separate"/>
        </w:r>
        <w:r>
          <w:rPr>
            <w:lang w:val="zh-CN"/>
          </w:rPr>
          <w:t>1</w:t>
        </w:r>
        <w:r>
          <w:fldChar w:fldCharType="end"/>
        </w:r>
      </w:p>
    </w:sdtContent>
  </w:sdt>
  <w:p w14:paraId="0F254A9D">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2712BAC"/>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Props1.xml><?xml version="1.0" encoding="utf-8"?>
<ds:datastoreItem xmlns:ds="http://schemas.openxmlformats.org/officeDocument/2006/customXml" ds:itemID="{8b5cc1c7-c58c-4d1e-88e0-b66386072b5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20</Pages>
  <Words>3267</Words>
  <Characters>3397</Characters>
  <Lines>5</Lines>
  <Paragraphs>1</Paragraphs>
  <TotalTime>0</TotalTime>
  <ScaleCrop>false</ScaleCrop>
  <LinksUpToDate>false</LinksUpToDate>
  <CharactersWithSpaces>3517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恺_xFF08_预算处_xFF09_</dc:creator>
  <cp:lastModifiedBy>来财&amp;十个晴天</cp:lastModifiedBy>
  <cp:lastPrinted>2018-12-31T10:56:00Z</cp:lastPrinted>
  <dcterms:modified xsi:type="dcterms:W3CDTF">2025-09-05T07:52:07Z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eyJoZGlkIjoiMGIxZTI3ODM4ZmVjOGE5NDFiYmE3OTRiMjQ5OTEyNzIiLCJ1c2VySWQiOiIzNzI2MDMzNTYifQ==</vt:lpwstr>
  </property>
  <property fmtid="{D5CDD505-2E9C-101B-9397-08002B2CF9AE}" pid="4" name="ICV">
    <vt:lpwstr>F95270A7976A40DAAAA66188F6FC72C9_12</vt:lpwstr>
  </property>
</Properties>
</file>