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E59FB9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克孜勒苏柯尔克孜自治州科学技术协会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0FE3F5A">
      <w:r>
        <w:br w:type="page"/>
      </w:r>
    </w:p>
    <w:p w14:paraId="7A63FC93">
      <w:pPr>
        <w:spacing w:line="640" w:lineRule="exact"/>
        <w:jc w:val="center"/>
        <w:outlineLvl w:val="1"/>
      </w:pPr>
      <w:r>
        <w:rPr>
          <w:rFonts w:ascii="黑体" w:hAnsi="黑体" w:eastAsia="黑体"/>
          <w:sz w:val="32"/>
        </w:rPr>
        <w:t>第一部分 单位概况</w:t>
      </w:r>
    </w:p>
    <w:p w14:paraId="61ED3299">
      <w:pPr>
        <w:spacing w:line="640" w:lineRule="exact"/>
        <w:ind w:firstLine="640"/>
        <w:jc w:val="both"/>
        <w:outlineLvl w:val="2"/>
      </w:pPr>
      <w:r>
        <w:rPr>
          <w:rFonts w:ascii="黑体" w:hAnsi="黑体" w:eastAsia="黑体"/>
          <w:sz w:val="32"/>
        </w:rPr>
        <w:t>一、主要职能</w:t>
      </w:r>
    </w:p>
    <w:p w14:paraId="241EC40E">
      <w:pPr>
        <w:spacing w:line="580" w:lineRule="exact"/>
        <w:ind w:firstLine="640"/>
        <w:jc w:val="both"/>
      </w:pPr>
      <w:r>
        <w:rPr>
          <w:rFonts w:ascii="仿宋_GB2312" w:hAnsi="仿宋_GB2312" w:eastAsia="仿宋_GB2312"/>
          <w:sz w:val="32"/>
        </w:rPr>
        <w:t>(一)开展学术交流，发展同区内外学术和科技工作者的友好交往，活跃学术思想，促进学科发展，科技创新。</w:t>
      </w:r>
    </w:p>
    <w:p w14:paraId="5D9410CF">
      <w:pPr>
        <w:spacing w:line="580" w:lineRule="exact"/>
        <w:ind w:firstLine="640"/>
        <w:jc w:val="both"/>
      </w:pPr>
      <w:r>
        <w:rPr>
          <w:rFonts w:ascii="仿宋_GB2312" w:hAnsi="仿宋_GB2312" w:eastAsia="仿宋_GB2312"/>
          <w:sz w:val="32"/>
        </w:rPr>
        <w:t>(二)按照自治区科普工作的方针、规划，在自治州党委和人民政府的政策指导下，拟定自治州科普工作的目标、规划、具体计划，充分发挥科学技术普及主力军的作用，动员社会各方面力量，积极开展科普活动和青少年科技教育活动。</w:t>
      </w:r>
    </w:p>
    <w:p w14:paraId="2D8DADF1">
      <w:pPr>
        <w:spacing w:line="580" w:lineRule="exact"/>
        <w:ind w:firstLine="640"/>
        <w:jc w:val="both"/>
      </w:pPr>
      <w:r>
        <w:rPr>
          <w:rFonts w:ascii="仿宋_GB2312" w:hAnsi="仿宋_GB2312" w:eastAsia="仿宋_GB2312"/>
          <w:sz w:val="32"/>
        </w:rPr>
        <w:t>(三)积极为科技工作者服务，反映科技工作者的意见和要求，维护科技工作者的合法权益。</w:t>
      </w:r>
    </w:p>
    <w:p w14:paraId="4BA8AF27">
      <w:pPr>
        <w:spacing w:line="580" w:lineRule="exact"/>
        <w:ind w:firstLine="640"/>
        <w:jc w:val="both"/>
      </w:pPr>
      <w:r>
        <w:rPr>
          <w:rFonts w:ascii="仿宋_GB2312" w:hAnsi="仿宋_GB2312" w:eastAsia="仿宋_GB2312"/>
          <w:sz w:val="32"/>
        </w:rPr>
        <w:t>(四)引导科技工作者在自治州社会事务中发挥作用，组织科技工作者参与政治协商、科学决策、民主监督的工作，促进决策科学化、民主化。</w:t>
      </w:r>
    </w:p>
    <w:p w14:paraId="4E6D30B7">
      <w:pPr>
        <w:spacing w:line="580" w:lineRule="exact"/>
        <w:ind w:firstLine="640"/>
        <w:jc w:val="both"/>
      </w:pPr>
      <w:r>
        <w:rPr>
          <w:rFonts w:ascii="仿宋_GB2312" w:hAnsi="仿宋_GB2312" w:eastAsia="仿宋_GB2312"/>
          <w:sz w:val="32"/>
        </w:rPr>
        <w:t>(五)表彰、宣传优秀科技工作者，举荐人才，弘扬“尊重知识、尊重人才”的社会风尚。</w:t>
      </w:r>
    </w:p>
    <w:p w14:paraId="01200109">
      <w:pPr>
        <w:spacing w:line="580" w:lineRule="exact"/>
        <w:ind w:firstLine="640"/>
        <w:jc w:val="both"/>
      </w:pPr>
      <w:r>
        <w:rPr>
          <w:rFonts w:ascii="仿宋_GB2312" w:hAnsi="仿宋_GB2312" w:eastAsia="仿宋_GB2312"/>
          <w:sz w:val="32"/>
        </w:rPr>
        <w:t>(六)开展科学论证、咨询服务，提出政策建议，促进科学技术成果的转化，接受委托承担项目评估、成果鉴定等工作。</w:t>
      </w:r>
    </w:p>
    <w:p w14:paraId="15C47433">
      <w:pPr>
        <w:spacing w:line="580" w:lineRule="exact"/>
        <w:ind w:firstLine="640"/>
        <w:jc w:val="both"/>
      </w:pPr>
      <w:r>
        <w:rPr>
          <w:rFonts w:ascii="仿宋_GB2312" w:hAnsi="仿宋_GB2312" w:eastAsia="仿宋_GB2312"/>
          <w:sz w:val="32"/>
        </w:rPr>
        <w:t>(七)负责对州级学会、协会、研究会进行监督和管理。</w:t>
      </w:r>
    </w:p>
    <w:p w14:paraId="20E917E2">
      <w:pPr>
        <w:spacing w:line="580" w:lineRule="exact"/>
        <w:ind w:firstLine="640"/>
        <w:jc w:val="both"/>
      </w:pPr>
      <w:r>
        <w:rPr>
          <w:rFonts w:ascii="仿宋_GB2312" w:hAnsi="仿宋_GB2312" w:eastAsia="仿宋_GB2312"/>
          <w:sz w:val="32"/>
        </w:rPr>
        <w:t>(八)开展捍卫科学尊严和反对邪教、</w:t>
      </w:r>
      <w:r>
        <w:rPr>
          <w:rFonts w:hint="eastAsia" w:ascii="仿宋_GB2312" w:hAnsi="仿宋_GB2312" w:eastAsia="仿宋_GB2312"/>
          <w:sz w:val="32"/>
          <w:lang w:eastAsia="zh-CN"/>
        </w:rPr>
        <w:t>愚昧</w:t>
      </w:r>
      <w:r>
        <w:rPr>
          <w:rFonts w:ascii="仿宋_GB2312" w:hAnsi="仿宋_GB2312" w:eastAsia="仿宋_GB2312"/>
          <w:sz w:val="32"/>
        </w:rPr>
        <w:t>迷信、伪科学、反科学的活动。</w:t>
      </w:r>
    </w:p>
    <w:p w14:paraId="2492CA34">
      <w:pPr>
        <w:spacing w:line="580" w:lineRule="exact"/>
        <w:ind w:firstLine="640"/>
        <w:jc w:val="both"/>
      </w:pPr>
      <w:r>
        <w:rPr>
          <w:rFonts w:ascii="仿宋_GB2312" w:hAnsi="仿宋_GB2312" w:eastAsia="仿宋_GB2312"/>
          <w:sz w:val="32"/>
        </w:rPr>
        <w:t>(九)完成自治州党委、人民政府交办的</w:t>
      </w:r>
      <w:r>
        <w:rPr>
          <w:rFonts w:hint="eastAsia" w:ascii="仿宋_GB2312" w:hAnsi="仿宋_GB2312" w:eastAsia="仿宋_GB2312"/>
          <w:sz w:val="32"/>
          <w:lang w:eastAsia="zh-CN"/>
        </w:rPr>
        <w:t>其他</w:t>
      </w:r>
      <w:r>
        <w:rPr>
          <w:rFonts w:ascii="仿宋_GB2312" w:hAnsi="仿宋_GB2312" w:eastAsia="仿宋_GB2312"/>
          <w:sz w:val="32"/>
        </w:rPr>
        <w:t>工作。</w:t>
      </w:r>
    </w:p>
    <w:p w14:paraId="2617860F">
      <w:pPr>
        <w:spacing w:line="640" w:lineRule="exact"/>
        <w:ind w:firstLine="640"/>
        <w:jc w:val="both"/>
        <w:outlineLvl w:val="2"/>
      </w:pPr>
      <w:r>
        <w:rPr>
          <w:rFonts w:ascii="黑体" w:hAnsi="黑体" w:eastAsia="黑体"/>
          <w:sz w:val="32"/>
        </w:rPr>
        <w:t>二、机构设置及人员情况</w:t>
      </w:r>
    </w:p>
    <w:p w14:paraId="5CBDC5DB">
      <w:pPr>
        <w:spacing w:line="580" w:lineRule="exact"/>
        <w:ind w:firstLine="640"/>
        <w:jc w:val="both"/>
      </w:pPr>
      <w:r>
        <w:rPr>
          <w:rFonts w:ascii="仿宋_GB2312" w:hAnsi="仿宋_GB2312" w:eastAsia="仿宋_GB2312"/>
          <w:sz w:val="32"/>
        </w:rPr>
        <w:t>克孜勒苏柯尔克孜自治州科学技术协会2024年度，实有人数14人，其中：在职人员9人，增加0人；离休人员0人，增加0人；退休人员5人,增加0人。</w:t>
      </w:r>
    </w:p>
    <w:p w14:paraId="3BDD1137">
      <w:pPr>
        <w:spacing w:line="580" w:lineRule="exact"/>
        <w:ind w:firstLine="640"/>
        <w:jc w:val="both"/>
      </w:pPr>
      <w:r>
        <w:rPr>
          <w:rFonts w:ascii="仿宋_GB2312" w:hAnsi="仿宋_GB2312" w:eastAsia="仿宋_GB2312"/>
          <w:sz w:val="32"/>
        </w:rPr>
        <w:t>克孜勒苏柯尔克孜自治州科学技术协会无下属预算单位，下设3个科室，分别是：科普科、少数民族科普工作队、反邪教协会办公室。</w:t>
      </w:r>
    </w:p>
    <w:p w14:paraId="7A88128F">
      <w:r>
        <w:br w:type="page"/>
      </w:r>
    </w:p>
    <w:p w14:paraId="3BBA4321">
      <w:pPr>
        <w:spacing w:line="240" w:lineRule="auto"/>
        <w:jc w:val="center"/>
        <w:outlineLvl w:val="1"/>
      </w:pPr>
      <w:r>
        <w:rPr>
          <w:rFonts w:ascii="黑体" w:hAnsi="黑体" w:eastAsia="黑体"/>
          <w:sz w:val="32"/>
        </w:rPr>
        <w:t>第二部分 部门决算情况说明</w:t>
      </w:r>
    </w:p>
    <w:p w14:paraId="53FB0CF6">
      <w:pPr>
        <w:spacing w:line="640" w:lineRule="exact"/>
        <w:ind w:firstLine="640"/>
        <w:jc w:val="both"/>
        <w:outlineLvl w:val="2"/>
      </w:pPr>
      <w:r>
        <w:rPr>
          <w:rFonts w:ascii="黑体" w:hAnsi="黑体" w:eastAsia="黑体"/>
          <w:sz w:val="32"/>
        </w:rPr>
        <w:t>一、收入支出决算总体情况说明</w:t>
      </w:r>
    </w:p>
    <w:p w14:paraId="2C1C8178">
      <w:pPr>
        <w:spacing w:line="580" w:lineRule="exact"/>
        <w:ind w:firstLine="640"/>
        <w:jc w:val="both"/>
      </w:pPr>
      <w:r>
        <w:rPr>
          <w:rFonts w:ascii="仿宋_GB2312" w:hAnsi="仿宋_GB2312" w:eastAsia="仿宋_GB2312"/>
          <w:b/>
          <w:sz w:val="32"/>
        </w:rPr>
        <w:t>2024年度收入总计257.09万元，</w:t>
      </w:r>
      <w:r>
        <w:rPr>
          <w:rFonts w:ascii="仿宋_GB2312" w:hAnsi="仿宋_GB2312" w:eastAsia="仿宋_GB2312"/>
          <w:b w:val="0"/>
          <w:sz w:val="32"/>
        </w:rPr>
        <w:t>其中：本年收入合计250.94万元，使用非财政拨款结余（含专用结余）0.00万元，年初结转和结余6.15万元。</w:t>
      </w:r>
    </w:p>
    <w:p w14:paraId="7FDE1571">
      <w:pPr>
        <w:spacing w:line="580" w:lineRule="exact"/>
        <w:ind w:firstLine="640"/>
        <w:jc w:val="both"/>
      </w:pPr>
      <w:r>
        <w:rPr>
          <w:rFonts w:ascii="仿宋_GB2312" w:hAnsi="仿宋_GB2312" w:eastAsia="仿宋_GB2312"/>
          <w:b/>
          <w:sz w:val="32"/>
        </w:rPr>
        <w:t>2024年度支出总计257.09万元，</w:t>
      </w:r>
      <w:r>
        <w:rPr>
          <w:rFonts w:ascii="仿宋_GB2312" w:hAnsi="仿宋_GB2312" w:eastAsia="仿宋_GB2312"/>
          <w:b w:val="0"/>
          <w:sz w:val="32"/>
        </w:rPr>
        <w:t>其中：本年支出合计256.38万元，结余分配0.00万元，年末结转和结余0.71万元。</w:t>
      </w:r>
    </w:p>
    <w:p w14:paraId="7C876318">
      <w:pPr>
        <w:spacing w:line="580" w:lineRule="exact"/>
        <w:ind w:firstLine="640"/>
        <w:jc w:val="both"/>
      </w:pPr>
      <w:r>
        <w:rPr>
          <w:rFonts w:ascii="仿宋_GB2312" w:hAnsi="仿宋_GB2312" w:eastAsia="仿宋_GB2312"/>
          <w:b w:val="0"/>
          <w:sz w:val="32"/>
        </w:rPr>
        <w:t>收入支出总体与上年相比，减少54.87万元，下降17.59%，主要原因是：本年减少2022年老科协工作经费项目、为民办实事项目、2023年中央基层科普行动计划项目等，导致经费较上年减少。</w:t>
      </w:r>
    </w:p>
    <w:p w14:paraId="0A8262C2">
      <w:pPr>
        <w:spacing w:line="640" w:lineRule="exact"/>
        <w:ind w:firstLine="640"/>
        <w:jc w:val="both"/>
        <w:outlineLvl w:val="2"/>
      </w:pPr>
      <w:r>
        <w:rPr>
          <w:rFonts w:ascii="黑体" w:hAnsi="黑体" w:eastAsia="黑体"/>
          <w:sz w:val="32"/>
        </w:rPr>
        <w:t>二、收入决算情况说明</w:t>
      </w:r>
    </w:p>
    <w:p w14:paraId="79CC5815">
      <w:pPr>
        <w:spacing w:line="580" w:lineRule="exact"/>
        <w:ind w:firstLine="640"/>
        <w:jc w:val="both"/>
      </w:pPr>
      <w:r>
        <w:rPr>
          <w:rFonts w:ascii="仿宋_GB2312" w:hAnsi="仿宋_GB2312" w:eastAsia="仿宋_GB2312"/>
          <w:b/>
          <w:sz w:val="32"/>
        </w:rPr>
        <w:t>本年收入250.94万元，</w:t>
      </w:r>
      <w:r>
        <w:rPr>
          <w:rFonts w:ascii="仿宋_GB2312" w:hAnsi="仿宋_GB2312" w:eastAsia="仿宋_GB2312"/>
          <w:b w:val="0"/>
          <w:sz w:val="32"/>
        </w:rPr>
        <w:t>其中：财政拨款收入250.93万元，占100.00%；上级补助收入0.00万元，占0.00%；事业收入0.00万元，占0.00%；经营收入0.00万元，占0.00%；附属单位上缴收入0.00万元，占0.00%；其他收入0.01万元，占0.004%。</w:t>
      </w:r>
    </w:p>
    <w:p w14:paraId="584A2CD1">
      <w:pPr>
        <w:spacing w:line="640" w:lineRule="exact"/>
        <w:ind w:firstLine="640"/>
        <w:jc w:val="both"/>
        <w:outlineLvl w:val="2"/>
      </w:pPr>
      <w:r>
        <w:rPr>
          <w:rFonts w:ascii="黑体" w:hAnsi="黑体" w:eastAsia="黑体"/>
          <w:sz w:val="32"/>
        </w:rPr>
        <w:t>三、支出决算情况说明</w:t>
      </w:r>
    </w:p>
    <w:p w14:paraId="48396770">
      <w:pPr>
        <w:spacing w:line="580" w:lineRule="exact"/>
        <w:ind w:firstLine="640"/>
        <w:jc w:val="both"/>
      </w:pPr>
      <w:r>
        <w:rPr>
          <w:rFonts w:ascii="仿宋_GB2312" w:hAnsi="仿宋_GB2312" w:eastAsia="仿宋_GB2312"/>
          <w:b/>
          <w:sz w:val="32"/>
        </w:rPr>
        <w:t>本年支出256.38万元，</w:t>
      </w:r>
      <w:r>
        <w:rPr>
          <w:rFonts w:ascii="仿宋_GB2312" w:hAnsi="仿宋_GB2312" w:eastAsia="仿宋_GB2312"/>
          <w:b w:val="0"/>
          <w:sz w:val="32"/>
        </w:rPr>
        <w:t>其中：基本支出207.60万元，占80.97%；项目支出48.78万元，占19.03%；上缴上级支出0.00万元，占0.00%；经营支出0.00万元，占0.00%；对附属单位补助支出0.00万元，占0.00%。</w:t>
      </w:r>
    </w:p>
    <w:p w14:paraId="4E029B8F">
      <w:pPr>
        <w:spacing w:line="640" w:lineRule="exact"/>
        <w:ind w:firstLine="640"/>
        <w:jc w:val="both"/>
        <w:outlineLvl w:val="2"/>
      </w:pPr>
      <w:r>
        <w:rPr>
          <w:rFonts w:ascii="黑体" w:hAnsi="黑体" w:eastAsia="黑体"/>
          <w:sz w:val="32"/>
        </w:rPr>
        <w:t>四、财政拨款收入支出决算总体情况说明</w:t>
      </w:r>
    </w:p>
    <w:p w14:paraId="75F0A4B3">
      <w:pPr>
        <w:spacing w:line="580" w:lineRule="exact"/>
        <w:ind w:firstLine="640"/>
        <w:jc w:val="both"/>
      </w:pPr>
      <w:r>
        <w:rPr>
          <w:rFonts w:ascii="仿宋_GB2312" w:hAnsi="仿宋_GB2312" w:eastAsia="仿宋_GB2312"/>
          <w:b/>
          <w:sz w:val="32"/>
        </w:rPr>
        <w:t>2024年度财政拨款收入总计250.93万元，</w:t>
      </w:r>
      <w:r>
        <w:rPr>
          <w:rFonts w:ascii="仿宋_GB2312" w:hAnsi="仿宋_GB2312" w:eastAsia="仿宋_GB2312"/>
          <w:b w:val="0"/>
          <w:sz w:val="32"/>
        </w:rPr>
        <w:t>其中：年初财政拨款结转和结余0.00万元，本年财政拨款收入250.93万元。</w:t>
      </w:r>
      <w:r>
        <w:rPr>
          <w:rFonts w:ascii="仿宋_GB2312" w:hAnsi="仿宋_GB2312" w:eastAsia="仿宋_GB2312"/>
          <w:b/>
          <w:sz w:val="32"/>
        </w:rPr>
        <w:t>财政拨款支出总计250.93万元，</w:t>
      </w:r>
      <w:r>
        <w:rPr>
          <w:rFonts w:ascii="仿宋_GB2312" w:hAnsi="仿宋_GB2312" w:eastAsia="仿宋_GB2312"/>
          <w:b w:val="0"/>
          <w:sz w:val="32"/>
        </w:rPr>
        <w:t>其中：年末财政拨款结转和结余0.00万元，本年财政拨款支出250.93万元。</w:t>
      </w:r>
    </w:p>
    <w:p w14:paraId="62AAD04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减少49.01万元，下降16.34%，主要原因是：本年减少2022年老科协工作经费项目、为民办实事项目、2023年中央基层科普行动计划项目等，导致经费较上年减少。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年初预算数243.54万元，决算数250.93万元，预决算差异率3.03%，主要原因是：1.在职人员工资增加，追加相关</w:t>
      </w:r>
      <w:r>
        <w:rPr>
          <w:rFonts w:hint="eastAsia" w:ascii="仿宋_GB2312" w:hAnsi="仿宋_GB2312" w:eastAsia="仿宋_GB2312"/>
          <w:b w:val="0"/>
          <w:sz w:val="32"/>
          <w:lang w:val="en-US" w:eastAsia="zh-CN"/>
        </w:rPr>
        <w:t>人员</w:t>
      </w:r>
      <w:r>
        <w:rPr>
          <w:rFonts w:ascii="仿宋_GB2312" w:hAnsi="仿宋_GB2312" w:eastAsia="仿宋_GB2312"/>
          <w:b w:val="0"/>
          <w:sz w:val="32"/>
        </w:rPr>
        <w:t>经费；2.年中追加科协换届会议项目费用</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708E8700">
      <w:pPr>
        <w:spacing w:line="640" w:lineRule="exact"/>
        <w:ind w:firstLine="640"/>
        <w:jc w:val="both"/>
        <w:outlineLvl w:val="2"/>
      </w:pPr>
      <w:r>
        <w:rPr>
          <w:rFonts w:ascii="黑体" w:hAnsi="黑体" w:eastAsia="黑体"/>
          <w:sz w:val="32"/>
        </w:rPr>
        <w:t>五、一般公共预算财政拨款支出决算情况说明</w:t>
      </w:r>
    </w:p>
    <w:p w14:paraId="3DACE4F2">
      <w:pPr>
        <w:spacing w:line="640" w:lineRule="exact"/>
        <w:ind w:firstLine="640"/>
        <w:jc w:val="both"/>
        <w:outlineLvl w:val="3"/>
      </w:pPr>
      <w:r>
        <w:rPr>
          <w:rFonts w:ascii="楷体_GB2312" w:hAnsi="楷体_GB2312" w:eastAsia="楷体_GB2312"/>
          <w:b/>
          <w:sz w:val="32"/>
        </w:rPr>
        <w:t>（一）一般公共预算财政拨款支出决算总体情况</w:t>
      </w:r>
    </w:p>
    <w:p w14:paraId="3FA9CAF9">
      <w:pPr>
        <w:spacing w:line="580" w:lineRule="exact"/>
        <w:ind w:firstLine="640"/>
        <w:jc w:val="both"/>
      </w:pPr>
      <w:r>
        <w:rPr>
          <w:rFonts w:ascii="仿宋_GB2312" w:hAnsi="仿宋_GB2312" w:eastAsia="仿宋_GB2312"/>
          <w:b/>
          <w:sz w:val="32"/>
        </w:rPr>
        <w:t>2024年度一般公共预算财政拨款支出250.93万元，</w:t>
      </w:r>
      <w:r>
        <w:rPr>
          <w:rFonts w:ascii="仿宋_GB2312" w:hAnsi="仿宋_GB2312" w:eastAsia="仿宋_GB2312"/>
          <w:b w:val="0"/>
          <w:sz w:val="32"/>
        </w:rPr>
        <w:t>占本年支出合计的97.87%。</w:t>
      </w:r>
      <w:r>
        <w:rPr>
          <w:rFonts w:ascii="仿宋_GB2312" w:hAnsi="仿宋_GB2312" w:eastAsia="仿宋_GB2312"/>
          <w:b/>
          <w:sz w:val="32"/>
        </w:rPr>
        <w:t>与上年相比，</w:t>
      </w:r>
      <w:r>
        <w:rPr>
          <w:rFonts w:ascii="仿宋_GB2312" w:hAnsi="仿宋_GB2312" w:eastAsia="仿宋_GB2312"/>
          <w:b w:val="0"/>
          <w:sz w:val="32"/>
        </w:rPr>
        <w:t>减少49.01万元，下降16.34%，主要原因是：本年减少2022年老科协工作经费项目、为民办实事项目、2023年中央基层科普行动计划项目等，导致经费较上年减少。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年初预算数243.54万元，决算数250.93万元，预决算差异率3.03%，主要原因是：1.在职人员工资增加，追加相关</w:t>
      </w:r>
      <w:r>
        <w:rPr>
          <w:rFonts w:hint="eastAsia" w:ascii="仿宋_GB2312" w:hAnsi="仿宋_GB2312" w:eastAsia="仿宋_GB2312"/>
          <w:b w:val="0"/>
          <w:sz w:val="32"/>
          <w:lang w:val="en-US" w:eastAsia="zh-CN"/>
        </w:rPr>
        <w:t>人员</w:t>
      </w:r>
      <w:r>
        <w:rPr>
          <w:rFonts w:ascii="仿宋_GB2312" w:hAnsi="仿宋_GB2312" w:eastAsia="仿宋_GB2312"/>
          <w:b w:val="0"/>
          <w:sz w:val="32"/>
        </w:rPr>
        <w:t>经费；2.年中追加科协换届会议项目费用</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4DBD1361">
      <w:pPr>
        <w:spacing w:line="640" w:lineRule="exact"/>
        <w:ind w:firstLine="640"/>
        <w:jc w:val="both"/>
        <w:outlineLvl w:val="3"/>
      </w:pPr>
      <w:r>
        <w:rPr>
          <w:rFonts w:ascii="楷体_GB2312" w:hAnsi="楷体_GB2312" w:eastAsia="楷体_GB2312"/>
          <w:b/>
          <w:sz w:val="32"/>
        </w:rPr>
        <w:t>（二）一般公共预算财政拨款支出决算结构情况</w:t>
      </w:r>
    </w:p>
    <w:p w14:paraId="17A4D12F">
      <w:pPr>
        <w:spacing w:line="580" w:lineRule="exact"/>
        <w:ind w:firstLine="640"/>
        <w:jc w:val="both"/>
      </w:pPr>
      <w:r>
        <w:rPr>
          <w:rFonts w:ascii="仿宋_GB2312" w:hAnsi="仿宋_GB2312" w:eastAsia="仿宋_GB2312"/>
          <w:b w:val="0"/>
          <w:sz w:val="32"/>
        </w:rPr>
        <w:t>1.科学技术支出(类)231.36万元,占92.20%。</w:t>
      </w:r>
    </w:p>
    <w:p w14:paraId="1EDA949C">
      <w:pPr>
        <w:spacing w:line="580" w:lineRule="exact"/>
        <w:ind w:firstLine="640"/>
        <w:jc w:val="both"/>
      </w:pPr>
      <w:r>
        <w:rPr>
          <w:rFonts w:ascii="仿宋_GB2312" w:hAnsi="仿宋_GB2312" w:eastAsia="仿宋_GB2312"/>
          <w:b w:val="0"/>
          <w:sz w:val="32"/>
        </w:rPr>
        <w:t>2.社会保障和就业支出(类)19.57万元,占7.80%。</w:t>
      </w:r>
    </w:p>
    <w:p w14:paraId="6D408A33">
      <w:pPr>
        <w:spacing w:line="640" w:lineRule="exact"/>
        <w:ind w:firstLine="640"/>
        <w:jc w:val="both"/>
        <w:outlineLvl w:val="3"/>
      </w:pPr>
      <w:r>
        <w:rPr>
          <w:rFonts w:ascii="楷体_GB2312" w:hAnsi="楷体_GB2312" w:eastAsia="楷体_GB2312"/>
          <w:b/>
          <w:sz w:val="32"/>
        </w:rPr>
        <w:t>（三）一般公共预算财政拨款支出决算具体情况</w:t>
      </w:r>
    </w:p>
    <w:p w14:paraId="6C13A9DB">
      <w:pPr>
        <w:spacing w:line="580" w:lineRule="exact"/>
        <w:ind w:firstLine="640"/>
        <w:jc w:val="both"/>
      </w:pPr>
      <w:r>
        <w:rPr>
          <w:rFonts w:ascii="仿宋_GB2312" w:hAnsi="仿宋_GB2312" w:eastAsia="仿宋_GB2312"/>
          <w:b w:val="0"/>
          <w:sz w:val="32"/>
        </w:rPr>
        <w:t>1.科学技术支出(类)科学技术普及(款)机构运行(项):支出决算数为188.03万元，比上年决算减少33.52万元，下降15.13%,主要原因是：本年较上年减少了去世人员丧葬费、抚恤金支出。</w:t>
      </w:r>
    </w:p>
    <w:p w14:paraId="6DDA7C7F">
      <w:pPr>
        <w:spacing w:line="580" w:lineRule="exact"/>
        <w:ind w:firstLine="640"/>
        <w:jc w:val="both"/>
      </w:pPr>
      <w:r>
        <w:rPr>
          <w:rFonts w:ascii="仿宋_GB2312" w:hAnsi="仿宋_GB2312" w:eastAsia="仿宋_GB2312"/>
          <w:b w:val="0"/>
          <w:sz w:val="32"/>
        </w:rPr>
        <w:t>2.科学技术支出(类)科学技术普及(款)科普活动(项):支出决算数为19.33万元，比上年决算增加11.33万元，增长141.62%,主要原因是：本年增加中央基层科普项目经费。</w:t>
      </w:r>
    </w:p>
    <w:p w14:paraId="1134C138">
      <w:pPr>
        <w:spacing w:line="580" w:lineRule="exact"/>
        <w:ind w:firstLine="640"/>
        <w:jc w:val="both"/>
      </w:pPr>
      <w:r>
        <w:rPr>
          <w:rFonts w:ascii="仿宋_GB2312" w:hAnsi="仿宋_GB2312" w:eastAsia="仿宋_GB2312"/>
          <w:b w:val="0"/>
          <w:sz w:val="32"/>
        </w:rPr>
        <w:t>3.科学技术支出(类)科学技术普及(款)其他科学技术普及支出(项):支出决算数为24.00万元，比上年决算减少28.30万元，下降54.11%,主要原因是：本年减少2022年老科协工作经费项目、为民办实事项目、2023年中央基层科普行动计划项目等，导致经费较上年减少。</w:t>
      </w:r>
    </w:p>
    <w:p w14:paraId="64202A54">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19.57万元，比上年决算增加1.48万元，增长8.18%,主要原因是：人员工资基数调增，养老缴费基数上涨，相应支出增加。</w:t>
      </w:r>
    </w:p>
    <w:p w14:paraId="3C2DA4A2">
      <w:pPr>
        <w:spacing w:line="640" w:lineRule="exact"/>
        <w:ind w:firstLine="640"/>
        <w:jc w:val="both"/>
        <w:outlineLvl w:val="2"/>
      </w:pPr>
      <w:r>
        <w:rPr>
          <w:rFonts w:ascii="黑体" w:hAnsi="黑体" w:eastAsia="黑体"/>
          <w:sz w:val="32"/>
        </w:rPr>
        <w:t>六、一般公共预算财政拨款基本支出决算情况说明</w:t>
      </w:r>
    </w:p>
    <w:p w14:paraId="32C409F6">
      <w:pPr>
        <w:spacing w:line="580" w:lineRule="exact"/>
        <w:ind w:firstLine="640"/>
        <w:jc w:val="both"/>
      </w:pPr>
      <w:r>
        <w:rPr>
          <w:rFonts w:ascii="仿宋_GB2312" w:hAnsi="仿宋_GB2312" w:eastAsia="仿宋_GB2312"/>
          <w:b w:val="0"/>
          <w:sz w:val="32"/>
        </w:rPr>
        <w:t>2024年度一般公共预算财政拨款基本支出207.60万元，其中：</w:t>
      </w:r>
      <w:r>
        <w:rPr>
          <w:rFonts w:ascii="仿宋_GB2312" w:hAnsi="仿宋_GB2312" w:eastAsia="仿宋_GB2312"/>
          <w:b/>
          <w:sz w:val="32"/>
        </w:rPr>
        <w:t>人员经费197.64万元，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包括：基本工资、津贴补贴、奖金、机关事业单位基本养老保险缴费、职工基本医疗保险缴费、公务员医疗补助缴费、其他社会保障缴费、住房公积金、退休费、奖励金。</w:t>
      </w:r>
    </w:p>
    <w:p w14:paraId="7D56AE7F">
      <w:pPr>
        <w:spacing w:line="580" w:lineRule="exact"/>
        <w:ind w:firstLine="640"/>
        <w:jc w:val="both"/>
      </w:pPr>
      <w:r>
        <w:rPr>
          <w:rFonts w:ascii="仿宋_GB2312" w:hAnsi="仿宋_GB2312" w:eastAsia="仿宋_GB2312"/>
          <w:b/>
          <w:sz w:val="32"/>
        </w:rPr>
        <w:t>公用经费9.96万元，</w:t>
      </w:r>
      <w:r>
        <w:rPr>
          <w:rFonts w:ascii="仿宋_GB2312" w:hAnsi="仿宋_GB2312" w:eastAsia="仿宋_GB2312"/>
          <w:b w:val="0"/>
          <w:sz w:val="32"/>
        </w:rPr>
        <w:t>包括：办公费、水费、电费、邮电费、差旅费、会议费、公务接待费、工会经费、福利费、公务用车运行维护费、其他商品和服务支出。</w:t>
      </w:r>
    </w:p>
    <w:p w14:paraId="13B9D4AC">
      <w:pPr>
        <w:spacing w:line="640" w:lineRule="exact"/>
        <w:ind w:firstLine="640"/>
        <w:jc w:val="both"/>
        <w:outlineLvl w:val="2"/>
      </w:pPr>
      <w:r>
        <w:rPr>
          <w:rFonts w:ascii="黑体" w:hAnsi="黑体" w:eastAsia="黑体"/>
          <w:sz w:val="32"/>
        </w:rPr>
        <w:t>七、政府性基金预算财政拨款收入支出决算情况说明</w:t>
      </w:r>
    </w:p>
    <w:p w14:paraId="1BC7128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99D25D9">
      <w:pPr>
        <w:spacing w:line="640" w:lineRule="exact"/>
        <w:ind w:firstLine="640"/>
        <w:jc w:val="both"/>
        <w:outlineLvl w:val="2"/>
      </w:pPr>
      <w:r>
        <w:rPr>
          <w:rFonts w:ascii="黑体" w:hAnsi="黑体" w:eastAsia="黑体"/>
          <w:sz w:val="32"/>
        </w:rPr>
        <w:t>八、国有资本经营预算财政拨款收入支出决算情况说明</w:t>
      </w:r>
    </w:p>
    <w:p w14:paraId="2C9B57D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0C14109">
      <w:pPr>
        <w:spacing w:line="640" w:lineRule="exact"/>
        <w:ind w:firstLine="640"/>
        <w:jc w:val="both"/>
        <w:outlineLvl w:val="2"/>
      </w:pPr>
      <w:r>
        <w:rPr>
          <w:rFonts w:ascii="黑体" w:hAnsi="黑体" w:eastAsia="黑体"/>
          <w:sz w:val="32"/>
        </w:rPr>
        <w:t>九、财政拨款“三公”经费支出决算情况说明</w:t>
      </w:r>
    </w:p>
    <w:p w14:paraId="514DC75A">
      <w:pPr>
        <w:spacing w:line="580" w:lineRule="exact"/>
        <w:ind w:firstLine="640"/>
        <w:jc w:val="both"/>
      </w:pPr>
      <w:r>
        <w:rPr>
          <w:rFonts w:ascii="仿宋_GB2312" w:hAnsi="仿宋_GB2312" w:eastAsia="仿宋_GB2312"/>
          <w:b/>
          <w:sz w:val="32"/>
        </w:rPr>
        <w:t>2024年度财政拨款“三公”经费支出4.40万元，</w:t>
      </w:r>
      <w:r>
        <w:rPr>
          <w:rFonts w:ascii="仿宋_GB2312" w:hAnsi="仿宋_GB2312" w:eastAsia="仿宋_GB2312"/>
          <w:b w:val="0"/>
          <w:sz w:val="32"/>
        </w:rPr>
        <w:t>比上年增加3.43万元，增长353.61%，主要原因是：本年因业务需求，公务用车使用频次增加，燃油费，维修费增加，导致公务用车运行维护费增加；本年因业务需求，增加公务接待工作，导致公务接待费较上年增加。其中：因公出国（境）费支出0.00万元，占0.00%，比上年增加0.00万元，增长0.00%，主要原因是：2023年与2024年均未安排因公出国（境）费支出。公务用车购置及运行维护费支出3.80万元，占86.36%，比上年增加2.83万元，增长291.75%，主要原因是：本年因业务需求，公务用车使用频次增加，燃油费，维修费增加，导致公务用车运行维护费增加。公务接待费支出0.60万元，占13.64%，比上年增加0.60万元，增长100.00%，主要原因是：本年因业务需求，增加公务接待工作，导致公务接待费较上年增加。</w:t>
      </w:r>
    </w:p>
    <w:p w14:paraId="17A0B217">
      <w:pPr>
        <w:spacing w:line="580" w:lineRule="exact"/>
        <w:ind w:firstLine="640"/>
        <w:jc w:val="both"/>
      </w:pPr>
      <w:r>
        <w:rPr>
          <w:rFonts w:ascii="仿宋_GB2312" w:hAnsi="仿宋_GB2312" w:eastAsia="仿宋_GB2312"/>
          <w:b/>
          <w:sz w:val="32"/>
        </w:rPr>
        <w:t>具体情况如下：</w:t>
      </w:r>
    </w:p>
    <w:p w14:paraId="05A1009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BE60EB1">
      <w:pPr>
        <w:spacing w:line="580" w:lineRule="exact"/>
        <w:ind w:firstLine="640"/>
        <w:jc w:val="both"/>
      </w:pPr>
      <w:r>
        <w:rPr>
          <w:rFonts w:ascii="仿宋_GB2312" w:hAnsi="仿宋_GB2312" w:eastAsia="仿宋_GB2312"/>
          <w:b w:val="0"/>
          <w:sz w:val="32"/>
        </w:rPr>
        <w:t>公务用车购置及运行维护费3.80万元，其中：公务用车购置费0.00万元，公务用车运行维护费3.80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26988061">
      <w:pPr>
        <w:spacing w:line="580" w:lineRule="exact"/>
        <w:ind w:firstLine="640"/>
        <w:jc w:val="both"/>
      </w:pPr>
      <w:r>
        <w:rPr>
          <w:rFonts w:ascii="仿宋_GB2312" w:hAnsi="仿宋_GB2312" w:eastAsia="仿宋_GB2312"/>
          <w:b w:val="0"/>
          <w:sz w:val="32"/>
        </w:rPr>
        <w:t>公务接待费0.60万元，开支内容包括因州庆、科协换届、自治区科技馆开展科普活动，接待上级领导工作小组考察调研开展活动产生的就餐费。单位全年安排的国内公务接待5批次，48人次。</w:t>
      </w:r>
    </w:p>
    <w:p w14:paraId="511150D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4.40万元，决算数4.40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3.80万元，决算数3.80万元，预决算差异率0.00%，主要原因是：严格按照预算执行，预决算无差异。公务接待费全年预算数0.60万元，决算数0.60万元，预决算差异率0.00%，主要原因是：严格按照预算执行，预决算无差异。</w:t>
      </w:r>
    </w:p>
    <w:p w14:paraId="098B6EAD">
      <w:pPr>
        <w:spacing w:line="640" w:lineRule="exact"/>
        <w:ind w:firstLine="640"/>
        <w:jc w:val="both"/>
        <w:outlineLvl w:val="2"/>
      </w:pPr>
      <w:r>
        <w:rPr>
          <w:rFonts w:ascii="黑体" w:hAnsi="黑体" w:eastAsia="黑体"/>
          <w:sz w:val="32"/>
        </w:rPr>
        <w:t>十、其他重要事项的情况说明</w:t>
      </w:r>
    </w:p>
    <w:p w14:paraId="7D1C0D7D">
      <w:pPr>
        <w:spacing w:line="640" w:lineRule="exact"/>
        <w:ind w:firstLine="640"/>
        <w:jc w:val="both"/>
        <w:outlineLvl w:val="3"/>
      </w:pPr>
      <w:r>
        <w:rPr>
          <w:rFonts w:ascii="楷体_GB2312" w:hAnsi="楷体_GB2312" w:eastAsia="楷体_GB2312"/>
          <w:b/>
          <w:sz w:val="32"/>
        </w:rPr>
        <w:t>（一）机关运行经费及公用经费支出情况</w:t>
      </w:r>
    </w:p>
    <w:p w14:paraId="267CAB52">
      <w:pPr>
        <w:spacing w:line="580" w:lineRule="exact"/>
        <w:ind w:firstLine="640"/>
        <w:jc w:val="both"/>
      </w:pPr>
      <w:r>
        <w:rPr>
          <w:rFonts w:ascii="仿宋_GB2312" w:hAnsi="仿宋_GB2312" w:eastAsia="仿宋_GB2312"/>
          <w:b w:val="0"/>
          <w:sz w:val="32"/>
        </w:rPr>
        <w:t>2024年度克孜勒苏柯尔克孜自治州科学技术协会（行政单位和参照公务员法管理事业单位）机关运行经费支出9.96万元，比上年增加2.73万元，增长37.76%，主要原因是：本年增加科协换届会议经费，导致机关运行经费增加。</w:t>
      </w:r>
    </w:p>
    <w:p w14:paraId="37BD735A">
      <w:pPr>
        <w:spacing w:line="640" w:lineRule="exact"/>
        <w:ind w:firstLine="640"/>
        <w:jc w:val="both"/>
        <w:outlineLvl w:val="3"/>
      </w:pPr>
      <w:r>
        <w:rPr>
          <w:rFonts w:ascii="楷体_GB2312" w:hAnsi="楷体_GB2312" w:eastAsia="楷体_GB2312"/>
          <w:b/>
          <w:sz w:val="32"/>
        </w:rPr>
        <w:t>（二）政府采购情况</w:t>
      </w:r>
    </w:p>
    <w:p w14:paraId="5D9C5653">
      <w:pPr>
        <w:spacing w:line="580" w:lineRule="exact"/>
        <w:ind w:firstLine="640"/>
        <w:jc w:val="both"/>
      </w:pPr>
      <w:r>
        <w:rPr>
          <w:rFonts w:ascii="仿宋_GB2312" w:hAnsi="仿宋_GB2312" w:eastAsia="仿宋_GB2312"/>
          <w:b w:val="0"/>
          <w:sz w:val="32"/>
        </w:rPr>
        <w:t>2024年度政府采购支出总额16.06万元，其中：政府采购货物支出0.34万元、政府采购工程支出0.00万元、政府采购服务支出15.73万元。</w:t>
      </w:r>
    </w:p>
    <w:p w14:paraId="3D6294B0">
      <w:pPr>
        <w:spacing w:line="580" w:lineRule="exact"/>
        <w:ind w:firstLine="640"/>
        <w:jc w:val="both"/>
      </w:pPr>
      <w:r>
        <w:rPr>
          <w:rFonts w:ascii="仿宋_GB2312" w:hAnsi="仿宋_GB2312" w:eastAsia="仿宋_GB2312"/>
          <w:b w:val="0"/>
          <w:sz w:val="32"/>
        </w:rPr>
        <w:t>授予中小企业合同金额15.38万元，占政府采购支出总额的95.77%，其中：授予小微企业合同金额14.30万元，占政府采购支出总额的89.04%。</w:t>
      </w:r>
    </w:p>
    <w:p w14:paraId="41D749CB">
      <w:pPr>
        <w:spacing w:line="640" w:lineRule="exact"/>
        <w:ind w:firstLine="640"/>
        <w:jc w:val="both"/>
        <w:outlineLvl w:val="3"/>
      </w:pPr>
      <w:r>
        <w:rPr>
          <w:rFonts w:ascii="楷体_GB2312" w:hAnsi="楷体_GB2312" w:eastAsia="楷体_GB2312"/>
          <w:b/>
          <w:sz w:val="32"/>
        </w:rPr>
        <w:t>（三）国有资产占用情况说明</w:t>
      </w:r>
    </w:p>
    <w:p w14:paraId="4EB787C9">
      <w:pPr>
        <w:spacing w:line="580" w:lineRule="exact"/>
        <w:ind w:firstLine="640"/>
        <w:jc w:val="both"/>
      </w:pPr>
      <w:r>
        <w:rPr>
          <w:rFonts w:ascii="仿宋_GB2312" w:hAnsi="仿宋_GB2312" w:eastAsia="仿宋_GB2312"/>
          <w:b w:val="0"/>
          <w:sz w:val="32"/>
        </w:rPr>
        <w:t>截至2024年12月31日，房屋0.00平方米，价值0.00万元。车辆2辆，价值50.99万元，其中：副部（省）级及以上领导用车0辆、主要负责人用车1辆、机要通信用车0辆、应急保障用车0辆、执法执勤用车0辆、特种专业技术用车0辆、离退休干部服务用车0辆、其他用车1辆，其他用车主要是：一般公务用车。单价100万元（含）以上设备（不含车辆）0台（套）。</w:t>
      </w:r>
    </w:p>
    <w:p w14:paraId="7E5D59AD">
      <w:pPr>
        <w:spacing w:line="640" w:lineRule="exact"/>
        <w:ind w:firstLine="640"/>
        <w:jc w:val="both"/>
        <w:outlineLvl w:val="2"/>
      </w:pPr>
      <w:r>
        <w:rPr>
          <w:rFonts w:ascii="黑体" w:hAnsi="黑体" w:eastAsia="黑体"/>
          <w:sz w:val="32"/>
        </w:rPr>
        <w:t>十一、预算绩效的情况说明</w:t>
      </w:r>
    </w:p>
    <w:p w14:paraId="69B3242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257.09万元，实际执行总额256.38万元；预算绩效评价项目5个，全年预算数51.70万元，全年执行数48.79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一是对绩效目标偏差问题缺乏有效分析，从而导致填报的内容相对简单。二是在部门整体支出的资金安排和使用上仍有不可预见性，在经费支出科学化精细化管理上还有待加强。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4DED68D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112E8C0">
        <w:tc>
          <w:tcPr>
            <w:tcW w:w="8840" w:type="dxa"/>
            <w:gridSpan w:val="8"/>
            <w:vAlign w:val="center"/>
          </w:tcPr>
          <w:p w14:paraId="13F857BA">
            <w:pPr>
              <w:jc w:val="center"/>
            </w:pPr>
            <w:r>
              <w:rPr>
                <w:rFonts w:ascii="宋体" w:hAnsi="宋体" w:eastAsia="宋体"/>
                <w:sz w:val="24"/>
              </w:rPr>
              <w:t>单位整体支出绩效自评表</w:t>
            </w:r>
          </w:p>
        </w:tc>
      </w:tr>
      <w:tr w14:paraId="2D13F7EF">
        <w:tblPrEx>
          <w:tblCellMar>
            <w:top w:w="0" w:type="dxa"/>
            <w:left w:w="108" w:type="dxa"/>
            <w:bottom w:w="0" w:type="dxa"/>
            <w:right w:w="108" w:type="dxa"/>
          </w:tblCellMar>
        </w:tblPrEx>
        <w:tc>
          <w:tcPr>
            <w:tcW w:w="8840" w:type="dxa"/>
            <w:gridSpan w:val="8"/>
            <w:vAlign w:val="center"/>
          </w:tcPr>
          <w:p w14:paraId="278773AF">
            <w:pPr>
              <w:jc w:val="center"/>
            </w:pPr>
            <w:r>
              <w:rPr>
                <w:rFonts w:ascii="宋体" w:hAnsi="宋体" w:eastAsia="宋体"/>
                <w:sz w:val="24"/>
              </w:rPr>
              <w:t>（2024年度）</w:t>
            </w:r>
          </w:p>
        </w:tc>
      </w:tr>
      <w:tr w14:paraId="2603DD3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BA60D7">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A70634">
            <w:pPr>
              <w:jc w:val="center"/>
            </w:pPr>
            <w:r>
              <w:rPr>
                <w:rFonts w:ascii="宋体" w:hAnsi="宋体" w:eastAsia="宋体"/>
                <w:sz w:val="16"/>
              </w:rPr>
              <w:t>克孜勒苏柯尔克孜自治州科学技术协会</w:t>
            </w:r>
          </w:p>
        </w:tc>
      </w:tr>
      <w:tr w14:paraId="1D3E8C4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B106F">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37ADF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46420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7EBD6F">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F2FD35">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CE9E0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4E427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8E0A84">
            <w:pPr>
              <w:jc w:val="center"/>
            </w:pPr>
            <w:r>
              <w:rPr>
                <w:rFonts w:ascii="宋体" w:hAnsi="宋体" w:eastAsia="宋体"/>
                <w:sz w:val="16"/>
              </w:rPr>
              <w:t>得分</w:t>
            </w:r>
          </w:p>
        </w:tc>
      </w:tr>
      <w:tr w14:paraId="77E9245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C3D5B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93923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263855">
            <w:pPr>
              <w:jc w:val="center"/>
            </w:pPr>
            <w:r>
              <w:rPr>
                <w:rFonts w:ascii="宋体" w:hAnsi="宋体" w:eastAsia="宋体"/>
                <w:sz w:val="16"/>
              </w:rPr>
              <w:t>251.22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B58444">
            <w:pPr>
              <w:jc w:val="center"/>
            </w:pPr>
            <w:r>
              <w:rPr>
                <w:rFonts w:ascii="宋体" w:hAnsi="宋体" w:eastAsia="宋体"/>
                <w:sz w:val="16"/>
              </w:rPr>
              <w:t>257.09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F674A8">
            <w:pPr>
              <w:jc w:val="center"/>
            </w:pPr>
            <w:r>
              <w:rPr>
                <w:rFonts w:ascii="宋体" w:hAnsi="宋体" w:eastAsia="宋体"/>
                <w:sz w:val="16"/>
              </w:rPr>
              <w:t>256.38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05001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B19CC2">
            <w:pPr>
              <w:jc w:val="center"/>
            </w:pPr>
            <w:r>
              <w:rPr>
                <w:rFonts w:ascii="宋体" w:hAnsi="宋体" w:eastAsia="宋体"/>
                <w:sz w:val="16"/>
              </w:rPr>
              <w:t>99.72%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CF719D">
            <w:pPr>
              <w:jc w:val="center"/>
              <w:rPr>
                <w:rFonts w:hint="default" w:eastAsia="宋体"/>
                <w:lang w:val="en-US" w:eastAsia="zh-CN"/>
              </w:rPr>
            </w:pPr>
            <w:r>
              <w:rPr>
                <w:rFonts w:hint="eastAsia" w:ascii="宋体" w:hAnsi="宋体"/>
                <w:sz w:val="16"/>
                <w:lang w:val="en-US" w:eastAsia="zh-CN"/>
              </w:rPr>
              <w:t>10.00分</w:t>
            </w:r>
            <w:bookmarkStart w:id="0" w:name="_GoBack"/>
            <w:bookmarkEnd w:id="0"/>
          </w:p>
        </w:tc>
      </w:tr>
      <w:tr w14:paraId="527C24D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D508C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D13D2">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56A69C">
            <w:pPr>
              <w:jc w:val="center"/>
            </w:pPr>
            <w:r>
              <w:rPr>
                <w:rFonts w:ascii="宋体" w:hAnsi="宋体" w:eastAsia="宋体"/>
                <w:sz w:val="16"/>
              </w:rPr>
              <w:t>20.00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9CDA8D">
            <w:pPr>
              <w:jc w:val="center"/>
            </w:pPr>
            <w:r>
              <w:rPr>
                <w:rFonts w:ascii="宋体" w:hAnsi="宋体" w:eastAsia="宋体"/>
                <w:sz w:val="16"/>
              </w:rPr>
              <w:t>19.33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19E283">
            <w:pPr>
              <w:jc w:val="center"/>
            </w:pPr>
            <w:r>
              <w:rPr>
                <w:rFonts w:ascii="宋体" w:hAnsi="宋体" w:eastAsia="宋体"/>
                <w:sz w:val="16"/>
              </w:rPr>
              <w:t>19.33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E7317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2104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8AB049">
            <w:pPr>
              <w:jc w:val="center"/>
            </w:pPr>
            <w:r>
              <w:rPr>
                <w:rFonts w:ascii="宋体" w:hAnsi="宋体" w:eastAsia="宋体"/>
                <w:sz w:val="16"/>
              </w:rPr>
              <w:t>—</w:t>
            </w:r>
          </w:p>
        </w:tc>
      </w:tr>
      <w:tr w14:paraId="13E4D5B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605F1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D71E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3355E9">
            <w:pPr>
              <w:jc w:val="center"/>
            </w:pPr>
            <w:r>
              <w:rPr>
                <w:rFonts w:ascii="宋体" w:hAnsi="宋体" w:eastAsia="宋体"/>
                <w:sz w:val="16"/>
              </w:rPr>
              <w:t>223.53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699CAA">
            <w:pPr>
              <w:jc w:val="center"/>
            </w:pPr>
            <w:r>
              <w:rPr>
                <w:rFonts w:ascii="宋体" w:hAnsi="宋体" w:eastAsia="宋体"/>
                <w:sz w:val="16"/>
              </w:rPr>
              <w:t>231.60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54745B">
            <w:pPr>
              <w:jc w:val="center"/>
            </w:pPr>
            <w:r>
              <w:rPr>
                <w:rFonts w:ascii="宋体" w:hAnsi="宋体" w:eastAsia="宋体"/>
                <w:sz w:val="16"/>
              </w:rPr>
              <w:t>231.60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29117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88868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95B661">
            <w:pPr>
              <w:jc w:val="center"/>
            </w:pPr>
            <w:r>
              <w:rPr>
                <w:rFonts w:ascii="宋体" w:hAnsi="宋体" w:eastAsia="宋体"/>
                <w:sz w:val="16"/>
              </w:rPr>
              <w:t>—</w:t>
            </w:r>
          </w:p>
        </w:tc>
      </w:tr>
      <w:tr w14:paraId="438C415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F373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1637BF">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DF5A2A">
            <w:pPr>
              <w:jc w:val="center"/>
            </w:pPr>
            <w:r>
              <w:rPr>
                <w:rFonts w:ascii="宋体" w:hAnsi="宋体" w:eastAsia="宋体"/>
                <w:sz w:val="16"/>
              </w:rPr>
              <w:t>7.69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EF80AB">
            <w:pPr>
              <w:jc w:val="center"/>
            </w:pPr>
            <w:r>
              <w:rPr>
                <w:rFonts w:ascii="宋体" w:hAnsi="宋体" w:eastAsia="宋体"/>
                <w:sz w:val="16"/>
              </w:rPr>
              <w:t>6.16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DDCD37">
            <w:pPr>
              <w:jc w:val="center"/>
            </w:pPr>
            <w:r>
              <w:rPr>
                <w:rFonts w:ascii="宋体" w:hAnsi="宋体" w:eastAsia="宋体"/>
                <w:sz w:val="16"/>
              </w:rPr>
              <w:t>5.45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97F56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CC1F4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226005">
            <w:pPr>
              <w:jc w:val="center"/>
            </w:pPr>
            <w:r>
              <w:rPr>
                <w:rFonts w:ascii="宋体" w:hAnsi="宋体" w:eastAsia="宋体"/>
                <w:sz w:val="16"/>
              </w:rPr>
              <w:t>—</w:t>
            </w:r>
          </w:p>
        </w:tc>
      </w:tr>
      <w:tr w14:paraId="144F1CA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DF9B0">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4272A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4C8947">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5F2B0C7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C0B81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AF4B8F">
            <w:pPr>
              <w:jc w:val="both"/>
            </w:pPr>
            <w:r>
              <w:rPr>
                <w:rFonts w:ascii="宋体" w:hAnsi="宋体" w:eastAsia="宋体"/>
                <w:sz w:val="16"/>
              </w:rPr>
              <w:t>扎实开展科普培训工作，大力传播科学文化知识，引导群众学科学、爱科学，用科学；推进“科技之冬”活动深入开展,将党的政策方针、乡村振兴、科学技术普及千家万户；开展“科学大讲堂”活动，充分发挥老科协职能，深入乡镇村社区，送科技下乡。开展主(专)题科普活</w:t>
            </w:r>
            <w:r>
              <w:rPr>
                <w:rFonts w:hint="eastAsia" w:ascii="宋体" w:hAnsi="宋体"/>
                <w:sz w:val="16"/>
                <w:lang w:eastAsia="zh-CN"/>
              </w:rPr>
              <w:t>动和</w:t>
            </w:r>
            <w:r>
              <w:rPr>
                <w:rFonts w:ascii="宋体" w:hAnsi="宋体" w:eastAsia="宋体"/>
                <w:sz w:val="16"/>
              </w:rPr>
              <w:t>宣传咨询活动，提高各族群众科学素质，积极参与自治区青少年科技创新大赛，激发青少年学科学兴趣，启迪科学思维、学习科学知识、掌握科学方法，争取获得自治区荣誉；大力宣传举荐表彰优秀科技工作者。</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C7077B">
            <w:pPr>
              <w:jc w:val="both"/>
            </w:pPr>
            <w:r>
              <w:rPr>
                <w:rFonts w:hint="eastAsia" w:ascii="宋体" w:hAnsi="宋体"/>
                <w:sz w:val="16"/>
                <w:lang w:eastAsia="zh-CN"/>
              </w:rPr>
              <w:t>截至</w:t>
            </w:r>
            <w:r>
              <w:rPr>
                <w:rFonts w:ascii="宋体" w:hAnsi="宋体" w:eastAsia="宋体"/>
                <w:sz w:val="16"/>
              </w:rPr>
              <w:t>2024年12月31日已完成：1、制定了“科技之冬”实施方案，下发了文件，召开了动员会，扎实开展培训活动，成效显著。全州共举办各类科普培训、讲座 20期，发放实用技术手册、科普资料图书1.5万册，培训、宣传、咨询人数约17659人次。活动取得了实实在在的成效。</w:t>
            </w:r>
            <w:r>
              <w:rPr>
                <w:rFonts w:ascii="宋体" w:hAnsi="宋体" w:eastAsia="宋体"/>
                <w:sz w:val="16"/>
              </w:rPr>
              <w:br w:type="textWrapping"/>
            </w:r>
            <w:r>
              <w:rPr>
                <w:rFonts w:ascii="宋体" w:hAnsi="宋体" w:eastAsia="宋体"/>
                <w:sz w:val="16"/>
              </w:rPr>
              <w:t>2、组织6所学校开展了青少年科技创新活动。评选上报参加自治区第38届青少年科技创新大赛：优秀科幻画作品20幅，获奖作品19幅，评选上报青少年科技创新成果竞赛作品5个，获奖作品2个；评选上报青少年科技实践活动作品4个，获奖作品4个；评选上报参加第十届全国青年科普创新实验暨作品大赛（新疆赛区）15个，获奖作品2个，优秀奖3个，评选优秀辅导员2名。</w:t>
            </w:r>
            <w:r>
              <w:rPr>
                <w:rFonts w:ascii="宋体" w:hAnsi="宋体" w:eastAsia="宋体"/>
                <w:sz w:val="16"/>
              </w:rPr>
              <w:br w:type="textWrapping"/>
            </w:r>
            <w:r>
              <w:rPr>
                <w:rFonts w:ascii="宋体" w:hAnsi="宋体" w:eastAsia="宋体"/>
                <w:sz w:val="16"/>
              </w:rPr>
              <w:t>3、组织州直农林牧医疗卫生等方面的专家深入克州三县一市乡镇村开展了5场“科学大讲堂”活动，为群众讲解了沙棘、葡萄、无花果、核桃等特色林果的生长习性、育植、田间管理、修剪等；普及了小麦、玉米的选种、生长周期，田间管理、设施农业管理等知识；分享农村享受医疗保险、医疗报销、就业等政策；宣讲了牛羊常见疾病的预防、治疗、牛羊育肥管理等知识。</w:t>
            </w:r>
            <w:r>
              <w:rPr>
                <w:rFonts w:ascii="宋体" w:hAnsi="宋体" w:eastAsia="宋体"/>
                <w:sz w:val="16"/>
              </w:rPr>
              <w:br w:type="textWrapping"/>
            </w:r>
            <w:r>
              <w:rPr>
                <w:rFonts w:ascii="宋体" w:hAnsi="宋体" w:eastAsia="宋体"/>
                <w:sz w:val="16"/>
              </w:rPr>
              <w:t>4、结合世界气象日、世界水日，5.12防灾减灾日、科技活动周、知识产权日、文化科技卫生“三下乡”等，克州科协联合州县各涉科单位深入乡村广泛开展低碳生活、安全健康、生态环保、能源资源、政策法规、团结稳定、农业科技、民族</w:t>
            </w:r>
            <w:r>
              <w:rPr>
                <w:rFonts w:hint="eastAsia" w:ascii="宋体" w:hAnsi="宋体"/>
                <w:sz w:val="16"/>
                <w:lang w:eastAsia="zh-CN"/>
              </w:rPr>
              <w:t>ZJ</w:t>
            </w:r>
            <w:r>
              <w:rPr>
                <w:rFonts w:ascii="宋体" w:hAnsi="宋体" w:eastAsia="宋体"/>
                <w:sz w:val="16"/>
              </w:rPr>
              <w:t>、去极端化等一系列民生科技科普知识的主专题科普活动3场次。</w:t>
            </w:r>
            <w:r>
              <w:rPr>
                <w:rFonts w:ascii="宋体" w:hAnsi="宋体" w:eastAsia="宋体"/>
                <w:sz w:val="16"/>
              </w:rPr>
              <w:br w:type="textWrapping"/>
            </w:r>
            <w:r>
              <w:rPr>
                <w:rFonts w:ascii="宋体" w:hAnsi="宋体" w:eastAsia="宋体"/>
                <w:sz w:val="16"/>
              </w:rPr>
              <w:t>5、2024年第八个全国科技工作者日来临之际，克州科协组织涉科部门科技工作者召开了科技工作者座谈会。自治州人民政府副秘书长王良森同志出席会议并讲话。王良森副秘书长对奋战在一线的克州农林牧、医疗卫生、教育部门的20名科技工作者进行了表彰走访慰问</w:t>
            </w:r>
          </w:p>
        </w:tc>
      </w:tr>
      <w:tr w14:paraId="2DD40D8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604FD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59422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C1D3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3388FA">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22030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1397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BEB026">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9BD193">
            <w:pPr>
              <w:jc w:val="center"/>
            </w:pPr>
            <w:r>
              <w:rPr>
                <w:rFonts w:ascii="宋体" w:hAnsi="宋体" w:eastAsia="宋体"/>
                <w:sz w:val="16"/>
              </w:rPr>
              <w:t>得分</w:t>
            </w:r>
          </w:p>
        </w:tc>
      </w:tr>
      <w:tr w14:paraId="2B95BA4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46E36">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C72E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C30C32">
            <w:pPr>
              <w:jc w:val="center"/>
            </w:pPr>
            <w:r>
              <w:rPr>
                <w:rFonts w:ascii="宋体" w:hAnsi="宋体" w:eastAsia="宋体"/>
                <w:sz w:val="16"/>
              </w:rPr>
              <w:t>开展科技之冬活动（场次）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FCC2B3">
            <w:pPr>
              <w:jc w:val="center"/>
            </w:pPr>
            <w:r>
              <w:rPr>
                <w:rFonts w:ascii="宋体" w:hAnsi="宋体" w:eastAsia="宋体"/>
                <w:sz w:val="16"/>
              </w:rPr>
              <w:t>&gt;=20场次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93D8F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C54832">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A6B7E6">
            <w:pPr>
              <w:jc w:val="center"/>
            </w:pPr>
            <w:r>
              <w:rPr>
                <w:rFonts w:ascii="宋体" w:hAnsi="宋体" w:eastAsia="宋体"/>
                <w:sz w:val="16"/>
              </w:rPr>
              <w:t>20场次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D07401">
            <w:pPr>
              <w:jc w:val="center"/>
            </w:pPr>
            <w:r>
              <w:rPr>
                <w:rFonts w:ascii="宋体" w:hAnsi="宋体" w:eastAsia="宋体"/>
                <w:sz w:val="16"/>
              </w:rPr>
              <w:t>18</w:t>
            </w:r>
          </w:p>
        </w:tc>
      </w:tr>
      <w:tr w14:paraId="00D0DC0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2EF9A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5B2A3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8C6029">
            <w:pPr>
              <w:jc w:val="center"/>
            </w:pPr>
            <w:r>
              <w:rPr>
                <w:rFonts w:ascii="宋体" w:hAnsi="宋体" w:eastAsia="宋体"/>
                <w:sz w:val="16"/>
              </w:rPr>
              <w:t>参与自治区青少年科技创新大赛（次）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10882D">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906F9C">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81BC83">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3AEB7F">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9E38C4">
            <w:pPr>
              <w:jc w:val="center"/>
            </w:pPr>
            <w:r>
              <w:rPr>
                <w:rFonts w:ascii="宋体" w:hAnsi="宋体" w:eastAsia="宋体"/>
                <w:sz w:val="16"/>
              </w:rPr>
              <w:t>18</w:t>
            </w:r>
          </w:p>
        </w:tc>
      </w:tr>
      <w:tr w14:paraId="2504508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D988A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3CD4B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66AED1">
            <w:pPr>
              <w:jc w:val="center"/>
            </w:pPr>
            <w:r>
              <w:rPr>
                <w:rFonts w:ascii="宋体" w:hAnsi="宋体" w:eastAsia="宋体"/>
                <w:sz w:val="16"/>
              </w:rPr>
              <w:t>举办科学大讲堂（场次）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361D3F">
            <w:pPr>
              <w:jc w:val="center"/>
            </w:pPr>
            <w:r>
              <w:rPr>
                <w:rFonts w:ascii="宋体" w:hAnsi="宋体" w:eastAsia="宋体"/>
                <w:sz w:val="16"/>
              </w:rPr>
              <w:t>&gt;=5场次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2B03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B9C175">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EE6810">
            <w:pPr>
              <w:jc w:val="center"/>
            </w:pPr>
            <w:r>
              <w:rPr>
                <w:rFonts w:ascii="宋体" w:hAnsi="宋体" w:eastAsia="宋体"/>
                <w:sz w:val="16"/>
              </w:rPr>
              <w:t>5场次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C567B">
            <w:pPr>
              <w:jc w:val="center"/>
            </w:pPr>
            <w:r>
              <w:rPr>
                <w:rFonts w:ascii="宋体" w:hAnsi="宋体" w:eastAsia="宋体"/>
                <w:sz w:val="16"/>
              </w:rPr>
              <w:t>18</w:t>
            </w:r>
          </w:p>
        </w:tc>
      </w:tr>
      <w:tr w14:paraId="26F9E1F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BFFFC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0AB0F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694DA1">
            <w:pPr>
              <w:jc w:val="center"/>
            </w:pPr>
            <w:r>
              <w:rPr>
                <w:rFonts w:ascii="宋体" w:hAnsi="宋体" w:eastAsia="宋体"/>
                <w:sz w:val="16"/>
              </w:rPr>
              <w:t>开展各类专题科普活动（场）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D9F10">
            <w:pPr>
              <w:jc w:val="center"/>
            </w:pPr>
            <w:r>
              <w:rPr>
                <w:rFonts w:ascii="宋体" w:hAnsi="宋体" w:eastAsia="宋体"/>
                <w:sz w:val="16"/>
              </w:rPr>
              <w:t>&gt;=3场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0AD01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F826C4">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34941A">
            <w:pPr>
              <w:jc w:val="center"/>
            </w:pPr>
            <w:r>
              <w:rPr>
                <w:rFonts w:ascii="宋体" w:hAnsi="宋体" w:eastAsia="宋体"/>
                <w:sz w:val="16"/>
              </w:rPr>
              <w:t>5场次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A06BE1">
            <w:pPr>
              <w:jc w:val="center"/>
            </w:pPr>
            <w:r>
              <w:rPr>
                <w:rFonts w:ascii="宋体" w:hAnsi="宋体" w:eastAsia="宋体"/>
                <w:sz w:val="16"/>
              </w:rPr>
              <w:t>18</w:t>
            </w:r>
          </w:p>
        </w:tc>
      </w:tr>
      <w:tr w14:paraId="751DC73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15C4B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4F371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46EBDE">
            <w:pPr>
              <w:jc w:val="center"/>
            </w:pPr>
            <w:r>
              <w:rPr>
                <w:rFonts w:ascii="宋体" w:hAnsi="宋体" w:eastAsia="宋体"/>
                <w:sz w:val="16"/>
              </w:rPr>
              <w:t>评选、表彰优秀科技工作者（个）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924A00">
            <w:pPr>
              <w:jc w:val="center"/>
            </w:pPr>
            <w:r>
              <w:rPr>
                <w:rFonts w:ascii="宋体" w:hAnsi="宋体" w:eastAsia="宋体"/>
                <w:sz w:val="16"/>
              </w:rPr>
              <w:t>&gt;=5个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20F221">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D03396">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069F6F">
            <w:pPr>
              <w:jc w:val="center"/>
            </w:pPr>
            <w:r>
              <w:rPr>
                <w:rFonts w:ascii="宋体" w:hAnsi="宋体" w:eastAsia="宋体"/>
                <w:sz w:val="16"/>
              </w:rPr>
              <w:t>20个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BB35DA">
            <w:pPr>
              <w:jc w:val="center"/>
            </w:pPr>
            <w:r>
              <w:rPr>
                <w:rFonts w:ascii="宋体" w:hAnsi="宋体" w:eastAsia="宋体"/>
                <w:sz w:val="16"/>
              </w:rPr>
              <w:t>18</w:t>
            </w:r>
          </w:p>
        </w:tc>
      </w:tr>
    </w:tbl>
    <w:p w14:paraId="5F9FF9F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1ECDF90">
        <w:tblPrEx>
          <w:tblCellMar>
            <w:top w:w="0" w:type="dxa"/>
            <w:left w:w="108" w:type="dxa"/>
            <w:bottom w:w="0" w:type="dxa"/>
            <w:right w:w="108" w:type="dxa"/>
          </w:tblCellMar>
        </w:tblPrEx>
        <w:tc>
          <w:tcPr>
            <w:tcW w:w="8848" w:type="dxa"/>
            <w:gridSpan w:val="14"/>
            <w:vAlign w:val="center"/>
          </w:tcPr>
          <w:p w14:paraId="6D85338E">
            <w:pPr>
              <w:jc w:val="center"/>
            </w:pPr>
            <w:r>
              <w:rPr>
                <w:rFonts w:ascii="宋体" w:hAnsi="宋体" w:eastAsia="宋体"/>
                <w:sz w:val="24"/>
              </w:rPr>
              <w:t>项目支出绩效自评表</w:t>
            </w:r>
          </w:p>
        </w:tc>
      </w:tr>
      <w:tr w14:paraId="73D2097D">
        <w:tblPrEx>
          <w:tblCellMar>
            <w:top w:w="0" w:type="dxa"/>
            <w:left w:w="108" w:type="dxa"/>
            <w:bottom w:w="0" w:type="dxa"/>
            <w:right w:w="108" w:type="dxa"/>
          </w:tblCellMar>
        </w:tblPrEx>
        <w:tc>
          <w:tcPr>
            <w:tcW w:w="8848" w:type="dxa"/>
            <w:gridSpan w:val="14"/>
            <w:vAlign w:val="center"/>
          </w:tcPr>
          <w:p w14:paraId="64E20D8B">
            <w:pPr>
              <w:jc w:val="center"/>
            </w:pPr>
            <w:r>
              <w:rPr>
                <w:rFonts w:ascii="宋体" w:hAnsi="宋体" w:eastAsia="宋体"/>
                <w:sz w:val="24"/>
              </w:rPr>
              <w:t>(2024年度)</w:t>
            </w:r>
          </w:p>
        </w:tc>
      </w:tr>
      <w:tr w14:paraId="3F5C42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8A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7A940C">
            <w:pPr>
              <w:jc w:val="center"/>
            </w:pPr>
            <w:r>
              <w:rPr>
                <w:rFonts w:ascii="宋体" w:hAnsi="宋体" w:eastAsia="宋体"/>
                <w:sz w:val="16"/>
              </w:rPr>
              <w:t>2023年其他资金结余</w:t>
            </w:r>
          </w:p>
        </w:tc>
      </w:tr>
      <w:tr w14:paraId="271046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B5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1B5681">
            <w:pPr>
              <w:jc w:val="center"/>
            </w:pPr>
            <w:r>
              <w:rPr>
                <w:rFonts w:ascii="宋体" w:hAnsi="宋体" w:eastAsia="宋体"/>
                <w:sz w:val="16"/>
              </w:rPr>
              <w:t>新疆克孜勒苏柯尔克孜自治州科学技术协会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DB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BF3B53">
            <w:pPr>
              <w:jc w:val="center"/>
            </w:pPr>
            <w:r>
              <w:rPr>
                <w:rFonts w:ascii="宋体" w:hAnsi="宋体" w:eastAsia="宋体"/>
                <w:sz w:val="16"/>
              </w:rPr>
              <w:t>克孜勒苏柯尔克孜自治州科学技术协会</w:t>
            </w:r>
          </w:p>
        </w:tc>
      </w:tr>
      <w:tr w14:paraId="051AE5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29D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E52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8AC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625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6FA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8E6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C79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98AE">
            <w:pPr>
              <w:jc w:val="center"/>
            </w:pPr>
            <w:r>
              <w:rPr>
                <w:rFonts w:ascii="宋体" w:hAnsi="宋体" w:eastAsia="宋体"/>
                <w:sz w:val="16"/>
              </w:rPr>
              <w:t>得分</w:t>
            </w:r>
          </w:p>
        </w:tc>
      </w:tr>
      <w:tr w14:paraId="47743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917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00F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8A479">
            <w:pPr>
              <w:jc w:val="center"/>
            </w:pPr>
            <w:r>
              <w:rPr>
                <w:rFonts w:ascii="宋体" w:hAnsi="宋体" w:eastAsia="宋体"/>
                <w:sz w:val="16"/>
              </w:rPr>
              <w:t>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0694E">
            <w:pPr>
              <w:jc w:val="center"/>
            </w:pPr>
            <w:r>
              <w:rPr>
                <w:rFonts w:ascii="宋体" w:hAnsi="宋体" w:eastAsia="宋体"/>
                <w:sz w:val="16"/>
              </w:rPr>
              <w:t>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5F00F">
            <w:pPr>
              <w:jc w:val="center"/>
            </w:pPr>
            <w:r>
              <w:rPr>
                <w:rFonts w:ascii="宋体" w:hAnsi="宋体" w:eastAsia="宋体"/>
                <w:sz w:val="16"/>
              </w:rPr>
              <w:t>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D80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6925B">
            <w:pPr>
              <w:jc w:val="center"/>
            </w:pPr>
            <w:r>
              <w:rPr>
                <w:rFonts w:ascii="宋体" w:hAnsi="宋体" w:eastAsia="宋体"/>
                <w:sz w:val="16"/>
              </w:rPr>
              <w:t>70.9%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65B2">
            <w:pPr>
              <w:jc w:val="center"/>
            </w:pPr>
            <w:r>
              <w:rPr>
                <w:rFonts w:ascii="宋体" w:hAnsi="宋体" w:eastAsia="宋体"/>
                <w:sz w:val="16"/>
              </w:rPr>
              <w:t>2.72分</w:t>
            </w:r>
          </w:p>
        </w:tc>
      </w:tr>
      <w:tr w14:paraId="2B6E5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998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156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A9E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DAC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BC9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1F0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BA8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2874">
            <w:pPr>
              <w:jc w:val="center"/>
            </w:pPr>
            <w:r>
              <w:rPr>
                <w:rFonts w:ascii="宋体" w:hAnsi="宋体" w:eastAsia="宋体"/>
                <w:sz w:val="16"/>
              </w:rPr>
              <w:t>—</w:t>
            </w:r>
          </w:p>
        </w:tc>
      </w:tr>
      <w:tr w14:paraId="47F30C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5D6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F8BA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6E93E">
            <w:pPr>
              <w:jc w:val="center"/>
            </w:pPr>
            <w:r>
              <w:rPr>
                <w:rFonts w:ascii="宋体" w:hAnsi="宋体" w:eastAsia="宋体"/>
                <w:sz w:val="16"/>
              </w:rPr>
              <w:t>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D21D0">
            <w:pPr>
              <w:jc w:val="center"/>
            </w:pPr>
            <w:r>
              <w:rPr>
                <w:rFonts w:ascii="宋体" w:hAnsi="宋体" w:eastAsia="宋体"/>
                <w:sz w:val="16"/>
              </w:rPr>
              <w:t>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D91DF">
            <w:pPr>
              <w:jc w:val="center"/>
            </w:pPr>
            <w:r>
              <w:rPr>
                <w:rFonts w:ascii="宋体" w:hAnsi="宋体" w:eastAsia="宋体"/>
                <w:sz w:val="16"/>
              </w:rPr>
              <w:t>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0A0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E0E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D9F5">
            <w:pPr>
              <w:jc w:val="center"/>
            </w:pPr>
            <w:r>
              <w:rPr>
                <w:rFonts w:ascii="宋体" w:hAnsi="宋体" w:eastAsia="宋体"/>
                <w:sz w:val="16"/>
              </w:rPr>
              <w:t>—</w:t>
            </w:r>
          </w:p>
        </w:tc>
      </w:tr>
      <w:tr w14:paraId="5520D3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DE73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674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6D9077">
            <w:pPr>
              <w:jc w:val="center"/>
            </w:pPr>
            <w:r>
              <w:rPr>
                <w:rFonts w:ascii="宋体" w:hAnsi="宋体" w:eastAsia="宋体"/>
                <w:sz w:val="16"/>
              </w:rPr>
              <w:t>实际完成情况</w:t>
            </w:r>
          </w:p>
        </w:tc>
      </w:tr>
      <w:tr w14:paraId="3BC4C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12B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7E0D59">
            <w:pPr>
              <w:jc w:val="both"/>
            </w:pPr>
            <w:r>
              <w:rPr>
                <w:rFonts w:ascii="宋体" w:hAnsi="宋体" w:eastAsia="宋体"/>
                <w:sz w:val="16"/>
              </w:rPr>
              <w:t>该项目资金投入总额为7.69万元，其中财政资金0万元，其他资金7.69万元。该项资金主要用于开展科普讲座5场次，开展各类科普宣传活动10场次，发放科普宣传资料5000份。通过该项目的实施，推动科技服务能力提升，助力乡村振兴,推动科学文化传播,深入开展科普“去极端化”，助力文化润疆,进一步提高基层各族群众的科学素质和依靠科技增收致富的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11CE4D">
            <w:pPr>
              <w:jc w:val="both"/>
            </w:pPr>
            <w:r>
              <w:rPr>
                <w:rFonts w:hint="eastAsia" w:ascii="宋体" w:hAnsi="宋体"/>
                <w:sz w:val="16"/>
                <w:lang w:eastAsia="zh-CN"/>
              </w:rPr>
              <w:t>截至</w:t>
            </w:r>
            <w:r>
              <w:rPr>
                <w:rFonts w:ascii="宋体" w:hAnsi="宋体" w:eastAsia="宋体"/>
                <w:sz w:val="16"/>
              </w:rPr>
              <w:t>2024年12月31日，该项目执行数5.45万元，已完成：开展科普宣传场次10次，举办科普讲座5场，发放科普宣传资料5000份。通过该项目的实施，推动了科技服务能力提升，科学文化的传播,有效助力乡村振兴,助力文化润疆,进一步提高了基层各族群众的科学素质和依靠科技增收致富的能力。</w:t>
            </w:r>
          </w:p>
        </w:tc>
      </w:tr>
      <w:tr w14:paraId="607055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0F57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BA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48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73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107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34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65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D9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991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CB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C7C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E3F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7C646">
            <w:pPr>
              <w:jc w:val="center"/>
            </w:pPr>
            <w:r>
              <w:rPr>
                <w:rFonts w:ascii="宋体" w:hAnsi="宋体" w:eastAsia="宋体"/>
                <w:sz w:val="16"/>
              </w:rPr>
              <w:t>偏差原因分析及改进措施</w:t>
            </w:r>
          </w:p>
        </w:tc>
      </w:tr>
      <w:tr w14:paraId="6635F8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6BA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027E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80D5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9049">
            <w:pPr>
              <w:jc w:val="center"/>
            </w:pPr>
            <w:r>
              <w:rPr>
                <w:rFonts w:ascii="宋体" w:hAnsi="宋体" w:eastAsia="宋体"/>
                <w:sz w:val="16"/>
              </w:rPr>
              <w:t>开展科普宣传次数（次）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8D2D">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2A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9B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6A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E1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4D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FD4F">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BC1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81843">
            <w:pPr>
              <w:jc w:val="center"/>
            </w:pPr>
          </w:p>
        </w:tc>
      </w:tr>
      <w:tr w14:paraId="781D8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D60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47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97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9BC2">
            <w:pPr>
              <w:jc w:val="center"/>
            </w:pPr>
            <w:r>
              <w:rPr>
                <w:rFonts w:ascii="宋体" w:hAnsi="宋体" w:eastAsia="宋体"/>
                <w:sz w:val="16"/>
              </w:rPr>
              <w:t>举办科普讲座次数（场）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AC74">
            <w:pPr>
              <w:jc w:val="center"/>
            </w:pPr>
            <w:r>
              <w:rPr>
                <w:rFonts w:ascii="宋体" w:hAnsi="宋体" w:eastAsia="宋体"/>
                <w:sz w:val="16"/>
              </w:rPr>
              <w:t>&gt;=5场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5E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19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07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0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92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0B88">
            <w:pPr>
              <w:jc w:val="center"/>
            </w:pPr>
            <w:r>
              <w:rPr>
                <w:rFonts w:ascii="宋体" w:hAnsi="宋体" w:eastAsia="宋体"/>
                <w:sz w:val="16"/>
              </w:rPr>
              <w:t>=5场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D3E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11ADF">
            <w:pPr>
              <w:jc w:val="center"/>
            </w:pPr>
          </w:p>
        </w:tc>
      </w:tr>
      <w:tr w14:paraId="7D2A4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89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916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465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73F9">
            <w:pPr>
              <w:jc w:val="center"/>
            </w:pPr>
            <w:r>
              <w:rPr>
                <w:rFonts w:ascii="宋体" w:hAnsi="宋体" w:eastAsia="宋体"/>
                <w:sz w:val="16"/>
              </w:rPr>
              <w:t>发放科普宣传资料（份）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06308">
            <w:pPr>
              <w:jc w:val="center"/>
            </w:pPr>
            <w:r>
              <w:rPr>
                <w:rFonts w:ascii="宋体" w:hAnsi="宋体" w:eastAsia="宋体"/>
                <w:sz w:val="16"/>
              </w:rPr>
              <w:t>&gt;=5000份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5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53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22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B5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87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A691">
            <w:pPr>
              <w:jc w:val="center"/>
            </w:pPr>
            <w:r>
              <w:rPr>
                <w:rFonts w:ascii="宋体" w:hAnsi="宋体" w:eastAsia="宋体"/>
                <w:sz w:val="16"/>
              </w:rPr>
              <w:t>=5000份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F84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9E59B">
            <w:pPr>
              <w:jc w:val="center"/>
            </w:pPr>
          </w:p>
        </w:tc>
      </w:tr>
      <w:tr w14:paraId="793AF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822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71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43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477F">
            <w:pPr>
              <w:jc w:val="center"/>
            </w:pPr>
            <w:r>
              <w:rPr>
                <w:rFonts w:ascii="宋体" w:hAnsi="宋体" w:eastAsia="宋体"/>
                <w:sz w:val="16"/>
              </w:rPr>
              <w:t>举办科普讲座参与率（%）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A4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A6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51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81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2D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B6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DFE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747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6B025">
            <w:pPr>
              <w:jc w:val="center"/>
            </w:pPr>
          </w:p>
        </w:tc>
      </w:tr>
      <w:tr w14:paraId="2EEDB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71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A9E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59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BEE9">
            <w:pPr>
              <w:jc w:val="center"/>
            </w:pPr>
            <w:r>
              <w:rPr>
                <w:rFonts w:ascii="宋体" w:hAnsi="宋体" w:eastAsia="宋体"/>
                <w:sz w:val="16"/>
              </w:rPr>
              <w:t>科普宣传工作及时率（%）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0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A7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EE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9D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E0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8F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AE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80C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A3EF6">
            <w:pPr>
              <w:jc w:val="center"/>
            </w:pPr>
          </w:p>
        </w:tc>
      </w:tr>
      <w:tr w14:paraId="37EDB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E0E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A95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9A8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6890">
            <w:pPr>
              <w:jc w:val="center"/>
            </w:pPr>
            <w:r>
              <w:rPr>
                <w:rFonts w:ascii="宋体" w:hAnsi="宋体" w:eastAsia="宋体"/>
                <w:sz w:val="16"/>
              </w:rPr>
              <w:t>开展宣传活动资金费用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760C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93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78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46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47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4E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C98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E3B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E0D31">
            <w:pPr>
              <w:jc w:val="center"/>
            </w:pPr>
          </w:p>
        </w:tc>
      </w:tr>
      <w:tr w14:paraId="60B99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E2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F5F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2CC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1E92">
            <w:pPr>
              <w:jc w:val="center"/>
            </w:pPr>
            <w:r>
              <w:rPr>
                <w:rFonts w:ascii="宋体" w:hAnsi="宋体" w:eastAsia="宋体"/>
                <w:sz w:val="16"/>
              </w:rPr>
              <w:t>开展培训讲座资金费用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1266">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F0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59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80D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C8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F9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0942">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9C4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5AD4F">
            <w:pPr>
              <w:jc w:val="center"/>
            </w:pPr>
          </w:p>
        </w:tc>
      </w:tr>
      <w:tr w14:paraId="3FEBB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59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572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C39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2D27">
            <w:pPr>
              <w:jc w:val="center"/>
            </w:pPr>
            <w:r>
              <w:rPr>
                <w:rFonts w:ascii="宋体" w:hAnsi="宋体" w:eastAsia="宋体"/>
                <w:sz w:val="16"/>
              </w:rPr>
              <w:t>购买办公用品资金费用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ACF4">
            <w:pPr>
              <w:jc w:val="center"/>
            </w:pPr>
            <w:r>
              <w:rPr>
                <w:rFonts w:ascii="宋体" w:hAnsi="宋体" w:eastAsia="宋体"/>
                <w:sz w:val="16"/>
              </w:rPr>
              <w:t>&lt;=2.69万元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F9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08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D3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E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DA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B6C3">
            <w:pPr>
              <w:jc w:val="center"/>
            </w:pPr>
            <w:r>
              <w:rPr>
                <w:rFonts w:ascii="宋体" w:hAnsi="宋体" w:eastAsia="宋体"/>
                <w:sz w:val="16"/>
              </w:rPr>
              <w: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6AC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4D626">
            <w:pPr>
              <w:jc w:val="center"/>
            </w:pPr>
            <w:r>
              <w:rPr>
                <w:rFonts w:ascii="宋体" w:hAnsi="宋体" w:eastAsia="宋体"/>
                <w:sz w:val="16"/>
              </w:rPr>
              <w:t>偏差原因：部分活动未结束，资金未支出；改进措施：继续开展科普活动，加快资金支出。</w:t>
            </w:r>
          </w:p>
        </w:tc>
      </w:tr>
      <w:tr w14:paraId="2D00C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117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0E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687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EA52">
            <w:pPr>
              <w:jc w:val="center"/>
            </w:pPr>
            <w:r>
              <w:rPr>
                <w:rFonts w:ascii="宋体" w:hAnsi="宋体" w:eastAsia="宋体"/>
                <w:sz w:val="16"/>
              </w:rPr>
              <w:t>全民科学素质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7FB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6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E3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B6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66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C0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977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03D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9FCAF">
            <w:pPr>
              <w:jc w:val="center"/>
            </w:pPr>
          </w:p>
        </w:tc>
      </w:tr>
      <w:tr w14:paraId="31035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036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BA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37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677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AA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C7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9E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8F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E6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12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5C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35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59974">
            <w:pPr>
              <w:jc w:val="center"/>
            </w:pPr>
            <w:r>
              <w:rPr>
                <w:rFonts w:ascii="宋体" w:hAnsi="宋体" w:eastAsia="宋体"/>
                <w:sz w:val="16"/>
              </w:rPr>
              <w:t>偏差原因：科普活动内容丰富，群众满意度高；改进措施：持续开展内容丰富的活动。</w:t>
            </w:r>
          </w:p>
        </w:tc>
      </w:tr>
      <w:tr w14:paraId="5B78A9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044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6C65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E4B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F72315">
            <w:pPr>
              <w:jc w:val="center"/>
            </w:pPr>
            <w:r>
              <w:rPr>
                <w:rFonts w:ascii="宋体" w:hAnsi="宋体" w:eastAsia="宋体"/>
                <w:sz w:val="16"/>
              </w:rPr>
              <w:t>86.72分</w:t>
            </w:r>
          </w:p>
        </w:tc>
      </w:tr>
    </w:tbl>
    <w:p w14:paraId="2DAF818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30"/>
        <w:gridCol w:w="626"/>
        <w:gridCol w:w="626"/>
        <w:gridCol w:w="626"/>
        <w:gridCol w:w="696"/>
        <w:gridCol w:w="631"/>
        <w:gridCol w:w="617"/>
        <w:gridCol w:w="630"/>
      </w:tblGrid>
      <w:tr w14:paraId="2F9C34EC">
        <w:tblPrEx>
          <w:tblCellMar>
            <w:top w:w="0" w:type="dxa"/>
            <w:left w:w="108" w:type="dxa"/>
            <w:bottom w:w="0" w:type="dxa"/>
            <w:right w:w="108" w:type="dxa"/>
          </w:tblCellMar>
        </w:tblPrEx>
        <w:tc>
          <w:tcPr>
            <w:tcW w:w="8848" w:type="dxa"/>
            <w:gridSpan w:val="14"/>
            <w:vAlign w:val="center"/>
          </w:tcPr>
          <w:p w14:paraId="762F3141">
            <w:pPr>
              <w:jc w:val="center"/>
            </w:pPr>
            <w:r>
              <w:rPr>
                <w:rFonts w:ascii="宋体" w:hAnsi="宋体" w:eastAsia="宋体"/>
                <w:sz w:val="24"/>
              </w:rPr>
              <w:t>项目支出绩效自评表</w:t>
            </w:r>
          </w:p>
        </w:tc>
      </w:tr>
      <w:tr w14:paraId="24872EF5">
        <w:tblPrEx>
          <w:tblCellMar>
            <w:top w:w="0" w:type="dxa"/>
            <w:left w:w="108" w:type="dxa"/>
            <w:bottom w:w="0" w:type="dxa"/>
            <w:right w:w="108" w:type="dxa"/>
          </w:tblCellMar>
        </w:tblPrEx>
        <w:tc>
          <w:tcPr>
            <w:tcW w:w="8848" w:type="dxa"/>
            <w:gridSpan w:val="14"/>
            <w:vAlign w:val="center"/>
          </w:tcPr>
          <w:p w14:paraId="4475618A">
            <w:pPr>
              <w:jc w:val="center"/>
            </w:pPr>
            <w:r>
              <w:rPr>
                <w:rFonts w:ascii="宋体" w:hAnsi="宋体" w:eastAsia="宋体"/>
                <w:sz w:val="24"/>
              </w:rPr>
              <w:t>(2024年度)</w:t>
            </w:r>
          </w:p>
        </w:tc>
      </w:tr>
      <w:tr w14:paraId="0E14AB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1B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4F3B35">
            <w:pPr>
              <w:jc w:val="center"/>
            </w:pPr>
            <w:r>
              <w:rPr>
                <w:rFonts w:ascii="宋体" w:hAnsi="宋体" w:eastAsia="宋体"/>
                <w:sz w:val="16"/>
              </w:rPr>
              <w:t>2024年中央“基层科普行动计划”资金项目</w:t>
            </w:r>
          </w:p>
        </w:tc>
      </w:tr>
      <w:tr w14:paraId="4F18BB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71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F91528">
            <w:pPr>
              <w:jc w:val="center"/>
            </w:pPr>
            <w:r>
              <w:rPr>
                <w:rFonts w:ascii="宋体" w:hAnsi="宋体" w:eastAsia="宋体"/>
                <w:sz w:val="16"/>
              </w:rPr>
              <w:t>新疆克孜勒苏柯尔克孜自治州科学技术协会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347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011FAB">
            <w:pPr>
              <w:jc w:val="center"/>
            </w:pPr>
            <w:r>
              <w:rPr>
                <w:rFonts w:ascii="宋体" w:hAnsi="宋体" w:eastAsia="宋体"/>
                <w:sz w:val="16"/>
              </w:rPr>
              <w:t>克孜勒苏柯尔克孜自治州科学技术协会</w:t>
            </w:r>
          </w:p>
        </w:tc>
      </w:tr>
      <w:tr w14:paraId="03EE14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28D6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8D1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E68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7F2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2DD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F1FB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289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478C">
            <w:pPr>
              <w:jc w:val="center"/>
            </w:pPr>
            <w:r>
              <w:rPr>
                <w:rFonts w:ascii="宋体" w:hAnsi="宋体" w:eastAsia="宋体"/>
                <w:sz w:val="16"/>
              </w:rPr>
              <w:t>得分</w:t>
            </w:r>
          </w:p>
        </w:tc>
      </w:tr>
      <w:tr w14:paraId="21112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F94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53B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A95B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8073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0C7C9">
            <w:pPr>
              <w:jc w:val="center"/>
            </w:pPr>
            <w:r>
              <w:rPr>
                <w:rFonts w:ascii="宋体" w:hAnsi="宋体" w:eastAsia="宋体"/>
                <w:sz w:val="16"/>
              </w:rPr>
              <w:t>19.33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F14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48798">
            <w:pPr>
              <w:jc w:val="center"/>
            </w:pPr>
            <w:r>
              <w:rPr>
                <w:rFonts w:ascii="宋体" w:hAnsi="宋体" w:eastAsia="宋体"/>
                <w:sz w:val="16"/>
              </w:rPr>
              <w:t>96.7%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6CBC">
            <w:pPr>
              <w:jc w:val="center"/>
            </w:pPr>
            <w:r>
              <w:rPr>
                <w:rFonts w:ascii="宋体" w:hAnsi="宋体" w:eastAsia="宋体"/>
                <w:sz w:val="16"/>
              </w:rPr>
              <w:t>9.16分</w:t>
            </w:r>
          </w:p>
        </w:tc>
      </w:tr>
      <w:tr w14:paraId="28D62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5A7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9EE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C285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B4BB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EED86">
            <w:pPr>
              <w:jc w:val="center"/>
            </w:pPr>
            <w:r>
              <w:rPr>
                <w:rFonts w:ascii="宋体" w:hAnsi="宋体" w:eastAsia="宋体"/>
                <w:sz w:val="16"/>
              </w:rPr>
              <w:t>19.33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A57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83F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C552">
            <w:pPr>
              <w:jc w:val="center"/>
            </w:pPr>
            <w:r>
              <w:rPr>
                <w:rFonts w:ascii="宋体" w:hAnsi="宋体" w:eastAsia="宋体"/>
                <w:sz w:val="16"/>
              </w:rPr>
              <w:t>—</w:t>
            </w:r>
          </w:p>
        </w:tc>
      </w:tr>
      <w:tr w14:paraId="6E2072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6BA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120C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814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EF5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3C3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989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008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5A08">
            <w:pPr>
              <w:jc w:val="center"/>
            </w:pPr>
            <w:r>
              <w:rPr>
                <w:rFonts w:ascii="宋体" w:hAnsi="宋体" w:eastAsia="宋体"/>
                <w:sz w:val="16"/>
              </w:rPr>
              <w:t>—</w:t>
            </w:r>
          </w:p>
        </w:tc>
      </w:tr>
      <w:tr w14:paraId="618342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30D1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0386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F6C49F">
            <w:pPr>
              <w:jc w:val="center"/>
            </w:pPr>
            <w:r>
              <w:rPr>
                <w:rFonts w:ascii="宋体" w:hAnsi="宋体" w:eastAsia="宋体"/>
                <w:sz w:val="16"/>
              </w:rPr>
              <w:t>实际完成情况</w:t>
            </w:r>
          </w:p>
        </w:tc>
      </w:tr>
      <w:tr w14:paraId="6AAF5A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A72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6CD5B6">
            <w:pPr>
              <w:jc w:val="both"/>
            </w:pPr>
            <w:r>
              <w:rPr>
                <w:rFonts w:ascii="宋体" w:hAnsi="宋体" w:eastAsia="宋体"/>
                <w:sz w:val="16"/>
              </w:rPr>
              <w:t>该项目资金投入总额为20万元，其中财政资金20万元，其他资金0万元。该项资金主要用于开展科普培训20场次，奖补先进科普集体、个人6个，加强科普信息化建设，印制科普宣传资料15000册。通过该项目的实施，推动科技服务能力提升，助力乡村振兴,推动科学文化传播,深入开展科普“去极端化”，助力文化润疆,奖补一批有较强区域示范作用、辐射性强的科普示范基地、农村专业技术协会、科普示范社区、少数民族科普工作队、农村科普带头人等先进集体和个人进一步提高基层各族群众的科学素质和依靠科技增收致富的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45B6AA">
            <w:pPr>
              <w:jc w:val="both"/>
            </w:pPr>
            <w:r>
              <w:rPr>
                <w:rFonts w:ascii="宋体" w:hAnsi="宋体" w:eastAsia="宋体"/>
                <w:sz w:val="16"/>
              </w:rPr>
              <w:t>截至2024年12月31日，该项目执行数19.33万元，已完成：开展科普培训20场次，奖补先进科普集体、个人6个，印制科普宣传资料15000册。通过该项目的实施达到推动科技服务能力提升，助力乡村振兴,推动科学文化传播,深入开展科普“去极端化”，助力文化润疆,奖补一批有较强区域示范作用、辐射性强的科普示范基地、农村专业技术协会、科普示范社区、少数民族科普工作队、农村科普带头人等先进集体和个人进一步提高基层各族群众的科学素质和依靠科技增收致富能力的效果。</w:t>
            </w:r>
          </w:p>
        </w:tc>
      </w:tr>
      <w:tr w14:paraId="69AD90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0766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75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6D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15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CA8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1A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A5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40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7D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CB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D7F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8DC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D81C9">
            <w:pPr>
              <w:jc w:val="center"/>
            </w:pPr>
            <w:r>
              <w:rPr>
                <w:rFonts w:ascii="宋体" w:hAnsi="宋体" w:eastAsia="宋体"/>
                <w:sz w:val="16"/>
              </w:rPr>
              <w:t>偏差原因分析及改进措施</w:t>
            </w:r>
          </w:p>
        </w:tc>
      </w:tr>
      <w:tr w14:paraId="3216F1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F868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1DF2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0E5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8A71">
            <w:pPr>
              <w:jc w:val="center"/>
            </w:pPr>
            <w:r>
              <w:rPr>
                <w:rFonts w:ascii="宋体" w:hAnsi="宋体" w:eastAsia="宋体"/>
                <w:sz w:val="16"/>
              </w:rPr>
              <w:t>开展科普培训场次（次）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6E11">
            <w:pPr>
              <w:jc w:val="center"/>
            </w:pPr>
            <w:r>
              <w:rPr>
                <w:rFonts w:ascii="宋体" w:hAnsi="宋体" w:eastAsia="宋体"/>
                <w:sz w:val="16"/>
              </w:rPr>
              <w:t>&gt;=20场次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F0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7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B4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06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4B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C7EA">
            <w:pPr>
              <w:jc w:val="center"/>
            </w:pPr>
            <w:r>
              <w:rPr>
                <w:rFonts w:ascii="宋体" w:hAnsi="宋体" w:eastAsia="宋体"/>
                <w:sz w:val="16"/>
              </w:rPr>
              <w:t>=20场次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FDF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9B752">
            <w:pPr>
              <w:jc w:val="center"/>
            </w:pPr>
          </w:p>
        </w:tc>
      </w:tr>
      <w:tr w14:paraId="70350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1DA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AEE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F3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CF49">
            <w:pPr>
              <w:jc w:val="center"/>
            </w:pPr>
            <w:r>
              <w:rPr>
                <w:rFonts w:ascii="宋体" w:hAnsi="宋体" w:eastAsia="宋体"/>
                <w:sz w:val="16"/>
              </w:rPr>
              <w:t>发放科普宣传资料数（册）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D13A">
            <w:pPr>
              <w:jc w:val="center"/>
            </w:pPr>
            <w:r>
              <w:rPr>
                <w:rFonts w:ascii="宋体" w:hAnsi="宋体" w:eastAsia="宋体"/>
                <w:sz w:val="16"/>
              </w:rPr>
              <w:t>&gt;=15000份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21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E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3DB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EDB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34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C158">
            <w:pPr>
              <w:jc w:val="center"/>
            </w:pPr>
            <w:r>
              <w:rPr>
                <w:rFonts w:ascii="宋体" w:hAnsi="宋体" w:eastAsia="宋体"/>
                <w:sz w:val="16"/>
              </w:rPr>
              <w:t>=15000份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D14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AAB20">
            <w:pPr>
              <w:jc w:val="center"/>
            </w:pPr>
          </w:p>
        </w:tc>
      </w:tr>
      <w:tr w14:paraId="7C247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FF3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5A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F38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6A94">
            <w:pPr>
              <w:jc w:val="center"/>
            </w:pPr>
            <w:r>
              <w:rPr>
                <w:rFonts w:ascii="宋体" w:hAnsi="宋体" w:eastAsia="宋体"/>
                <w:sz w:val="16"/>
              </w:rPr>
              <w:t>奖补集体及个人数量（个）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7287">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93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E0D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5F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EB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AEF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FD53">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9CA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91754">
            <w:pPr>
              <w:jc w:val="center"/>
            </w:pPr>
          </w:p>
        </w:tc>
      </w:tr>
      <w:tr w14:paraId="69E14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30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D49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293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94B2">
            <w:pPr>
              <w:jc w:val="center"/>
            </w:pPr>
            <w:r>
              <w:rPr>
                <w:rFonts w:ascii="宋体" w:hAnsi="宋体" w:eastAsia="宋体"/>
                <w:sz w:val="16"/>
              </w:rPr>
              <w:t>科普宣传资料发放覆盖率（%）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4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C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1F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5C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91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EE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A3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899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E8AB1">
            <w:pPr>
              <w:jc w:val="center"/>
            </w:pPr>
          </w:p>
        </w:tc>
      </w:tr>
      <w:tr w14:paraId="48DBA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5F5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B1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B13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13A1">
            <w:pPr>
              <w:jc w:val="center"/>
            </w:pPr>
            <w:r>
              <w:rPr>
                <w:rFonts w:ascii="宋体" w:hAnsi="宋体" w:eastAsia="宋体"/>
                <w:sz w:val="16"/>
              </w:rPr>
              <w:t>开展科普培训宣传参与率（%）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5B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7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81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7E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ED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CF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DA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384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F8771">
            <w:pPr>
              <w:jc w:val="center"/>
            </w:pPr>
          </w:p>
        </w:tc>
      </w:tr>
      <w:tr w14:paraId="6909E9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112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147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7D4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3835">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48F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6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4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86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F4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D9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01E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6B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B71FB">
            <w:pPr>
              <w:jc w:val="center"/>
            </w:pPr>
          </w:p>
        </w:tc>
      </w:tr>
      <w:tr w14:paraId="764C19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00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40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7E9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FA60">
            <w:pPr>
              <w:jc w:val="center"/>
            </w:pPr>
            <w:r>
              <w:rPr>
                <w:rFonts w:ascii="宋体" w:hAnsi="宋体" w:eastAsia="宋体"/>
                <w:sz w:val="16"/>
              </w:rPr>
              <w:t>奖补集体及个人及时率（%）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D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9E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24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E7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05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9E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8E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C0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6873F">
            <w:pPr>
              <w:jc w:val="center"/>
            </w:pPr>
          </w:p>
        </w:tc>
      </w:tr>
      <w:tr w14:paraId="27AA7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045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331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49C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FD44">
            <w:pPr>
              <w:jc w:val="center"/>
            </w:pPr>
            <w:r>
              <w:rPr>
                <w:rFonts w:ascii="宋体" w:hAnsi="宋体" w:eastAsia="宋体"/>
                <w:sz w:val="16"/>
              </w:rPr>
              <w:t>奖补集体及个人资金（万元）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80E4">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22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8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5B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8E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47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C1DF">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34E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0C071">
            <w:pPr>
              <w:jc w:val="center"/>
            </w:pPr>
          </w:p>
        </w:tc>
      </w:tr>
      <w:tr w14:paraId="5D497E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F71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7D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7D1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E605">
            <w:pPr>
              <w:jc w:val="center"/>
            </w:pPr>
            <w:r>
              <w:rPr>
                <w:rFonts w:ascii="宋体" w:hAnsi="宋体" w:eastAsia="宋体"/>
                <w:sz w:val="16"/>
              </w:rPr>
              <w:t>开展科普培训资金（万元）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B918">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AD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F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93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18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4D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1C77">
            <w:pPr>
              <w:jc w:val="center"/>
            </w:pPr>
            <w:r>
              <w:rPr>
                <w:rFonts w:ascii="宋体" w:hAnsi="宋体" w:eastAsia="宋体"/>
                <w:sz w:val="16"/>
              </w:rPr>
              <w:t>=4.33万元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854B">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C60F6">
            <w:pPr>
              <w:jc w:val="center"/>
            </w:pPr>
            <w:r>
              <w:rPr>
                <w:rFonts w:ascii="宋体" w:hAnsi="宋体" w:eastAsia="宋体"/>
                <w:sz w:val="16"/>
              </w:rPr>
              <w:t>偏差原因：因科技之冬培训活动跨年培训，导致部分培训未结束，经费未支出完成；改进措施：继续开展科技之培训，加快支出。</w:t>
            </w:r>
          </w:p>
        </w:tc>
      </w:tr>
      <w:tr w14:paraId="52A84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DF3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FD9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755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E66E">
            <w:pPr>
              <w:jc w:val="center"/>
            </w:pPr>
            <w:r>
              <w:rPr>
                <w:rFonts w:ascii="宋体" w:hAnsi="宋体" w:eastAsia="宋体"/>
                <w:sz w:val="16"/>
              </w:rPr>
              <w:t>印制科普宣传资料宣传品资金（万元）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24ED">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1E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97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3E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01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FD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F0FB">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D6E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34B7D">
            <w:pPr>
              <w:jc w:val="center"/>
            </w:pPr>
          </w:p>
        </w:tc>
      </w:tr>
      <w:tr w14:paraId="50F0F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B5B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58F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8F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7B33">
            <w:pPr>
              <w:jc w:val="center"/>
            </w:pPr>
            <w:r>
              <w:rPr>
                <w:rFonts w:ascii="宋体" w:hAnsi="宋体" w:eastAsia="宋体"/>
                <w:sz w:val="16"/>
              </w:rPr>
              <w:t>科普信息化建设资金（万元）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E911">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16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D8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CC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E2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D4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99BCF">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CA5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978AA">
            <w:pPr>
              <w:jc w:val="center"/>
            </w:pPr>
          </w:p>
        </w:tc>
      </w:tr>
      <w:tr w14:paraId="5EDE7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ADF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B4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7D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630D">
            <w:pPr>
              <w:jc w:val="center"/>
            </w:pPr>
            <w:r>
              <w:rPr>
                <w:rFonts w:ascii="宋体" w:hAnsi="宋体" w:eastAsia="宋体"/>
                <w:sz w:val="16"/>
              </w:rPr>
              <w:t>全民科学素质比例（%）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BD46">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A20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C29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EF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0E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CD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DA2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6CD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2A33C">
            <w:pPr>
              <w:jc w:val="center"/>
            </w:pPr>
          </w:p>
        </w:tc>
      </w:tr>
      <w:tr w14:paraId="3A1D2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B91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53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D3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5DB2">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B8D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15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39E3">
            <w:pPr>
              <w:jc w:val="center"/>
            </w:pPr>
            <w:r>
              <w:rPr>
                <w:rFonts w:ascii="宋体" w:hAnsi="宋体" w:eastAsia="宋体"/>
                <w:sz w:val="16"/>
              </w:rPr>
              <w:t>100</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18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F6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3A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5F2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A6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F888B">
            <w:pPr>
              <w:jc w:val="center"/>
            </w:pPr>
            <w:r>
              <w:rPr>
                <w:rFonts w:ascii="宋体" w:hAnsi="宋体" w:eastAsia="宋体"/>
                <w:sz w:val="16"/>
              </w:rPr>
              <w:t>偏差原因：活动开展效果明显，得到群众欢迎，满意度高；改进措施：持续开展丰富科普活动。</w:t>
            </w:r>
          </w:p>
        </w:tc>
      </w:tr>
      <w:tr w14:paraId="7FF8CC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B2D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81C5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1D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B5CFCA">
            <w:pPr>
              <w:jc w:val="center"/>
            </w:pPr>
            <w:r>
              <w:rPr>
                <w:rFonts w:ascii="宋体" w:hAnsi="宋体" w:eastAsia="宋体"/>
                <w:sz w:val="16"/>
              </w:rPr>
              <w:t>97.48分</w:t>
            </w:r>
          </w:p>
        </w:tc>
      </w:tr>
    </w:tbl>
    <w:p w14:paraId="1AE2338B">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3A42A50D">
        <w:tblPrEx>
          <w:tblCellMar>
            <w:top w:w="0" w:type="dxa"/>
            <w:left w:w="108" w:type="dxa"/>
            <w:bottom w:w="0" w:type="dxa"/>
            <w:right w:w="108" w:type="dxa"/>
          </w:tblCellMar>
        </w:tblPrEx>
        <w:tc>
          <w:tcPr>
            <w:tcW w:w="8848" w:type="dxa"/>
            <w:gridSpan w:val="14"/>
            <w:vAlign w:val="center"/>
          </w:tcPr>
          <w:p w14:paraId="621A6571">
            <w:pPr>
              <w:jc w:val="center"/>
            </w:pPr>
            <w:r>
              <w:rPr>
                <w:rFonts w:ascii="宋体" w:hAnsi="宋体" w:eastAsia="宋体"/>
                <w:sz w:val="24"/>
              </w:rPr>
              <w:t>项目支出绩效自评表</w:t>
            </w:r>
          </w:p>
        </w:tc>
      </w:tr>
      <w:tr w14:paraId="76E77CD0">
        <w:tblPrEx>
          <w:tblCellMar>
            <w:top w:w="0" w:type="dxa"/>
            <w:left w:w="108" w:type="dxa"/>
            <w:bottom w:w="0" w:type="dxa"/>
            <w:right w:w="108" w:type="dxa"/>
          </w:tblCellMar>
        </w:tblPrEx>
        <w:tc>
          <w:tcPr>
            <w:tcW w:w="8848" w:type="dxa"/>
            <w:gridSpan w:val="14"/>
            <w:vAlign w:val="center"/>
          </w:tcPr>
          <w:p w14:paraId="7F338599">
            <w:pPr>
              <w:jc w:val="center"/>
            </w:pPr>
            <w:r>
              <w:rPr>
                <w:rFonts w:ascii="宋体" w:hAnsi="宋体" w:eastAsia="宋体"/>
                <w:sz w:val="24"/>
              </w:rPr>
              <w:t>(2024年度)</w:t>
            </w:r>
          </w:p>
        </w:tc>
      </w:tr>
      <w:tr w14:paraId="2AE338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4D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4EC07E">
            <w:pPr>
              <w:jc w:val="center"/>
            </w:pPr>
            <w:r>
              <w:rPr>
                <w:rFonts w:ascii="宋体" w:hAnsi="宋体" w:eastAsia="宋体"/>
                <w:sz w:val="16"/>
              </w:rPr>
              <w:t>2024年利息收入项目</w:t>
            </w:r>
          </w:p>
        </w:tc>
      </w:tr>
      <w:tr w14:paraId="3E0688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24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342A66">
            <w:pPr>
              <w:jc w:val="center"/>
            </w:pPr>
            <w:r>
              <w:rPr>
                <w:rFonts w:ascii="宋体" w:hAnsi="宋体" w:eastAsia="宋体"/>
                <w:sz w:val="16"/>
              </w:rPr>
              <w:t>新疆克孜勒苏柯尔克孜自治州科学技术协会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DF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37B16E">
            <w:pPr>
              <w:jc w:val="center"/>
            </w:pPr>
            <w:r>
              <w:rPr>
                <w:rFonts w:ascii="宋体" w:hAnsi="宋体" w:eastAsia="宋体"/>
                <w:sz w:val="16"/>
              </w:rPr>
              <w:t>克孜勒苏柯尔克孜自治州科学技术协会</w:t>
            </w:r>
          </w:p>
        </w:tc>
      </w:tr>
      <w:tr w14:paraId="1F20FC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141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9A5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EF2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3DE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4F8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067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9A21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E6DA">
            <w:pPr>
              <w:jc w:val="center"/>
            </w:pPr>
            <w:r>
              <w:rPr>
                <w:rFonts w:ascii="宋体" w:hAnsi="宋体" w:eastAsia="宋体"/>
                <w:sz w:val="16"/>
              </w:rPr>
              <w:t>得分</w:t>
            </w:r>
          </w:p>
        </w:tc>
      </w:tr>
      <w:tr w14:paraId="72B693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28C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AA3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8C3DD">
            <w:pPr>
              <w:jc w:val="center"/>
            </w:pPr>
            <w:r>
              <w:rPr>
                <w:rFonts w:ascii="宋体" w:hAnsi="宋体" w:eastAsia="宋体"/>
                <w:sz w:val="16"/>
              </w:rPr>
              <w:t>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36FBC">
            <w:pPr>
              <w:jc w:val="center"/>
            </w:pPr>
            <w:r>
              <w:rPr>
                <w:rFonts w:ascii="宋体" w:hAnsi="宋体" w:eastAsia="宋体"/>
                <w:sz w:val="16"/>
              </w:rPr>
              <w:t>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80CBF">
            <w:pPr>
              <w:jc w:val="center"/>
            </w:pPr>
            <w:r>
              <w:rPr>
                <w:rFonts w:ascii="宋体" w:hAnsi="宋体" w:eastAsia="宋体"/>
                <w:sz w:val="16"/>
              </w:rPr>
              <w:t>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929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D153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A2E1">
            <w:pPr>
              <w:jc w:val="center"/>
            </w:pPr>
            <w:r>
              <w:rPr>
                <w:rFonts w:ascii="宋体" w:hAnsi="宋体" w:eastAsia="宋体"/>
                <w:sz w:val="16"/>
              </w:rPr>
              <w:t>10.00分</w:t>
            </w:r>
          </w:p>
        </w:tc>
      </w:tr>
      <w:tr w14:paraId="1968B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162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C88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DFA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233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344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26A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E27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9896">
            <w:pPr>
              <w:jc w:val="center"/>
            </w:pPr>
            <w:r>
              <w:rPr>
                <w:rFonts w:ascii="宋体" w:hAnsi="宋体" w:eastAsia="宋体"/>
                <w:sz w:val="16"/>
              </w:rPr>
              <w:t>—</w:t>
            </w:r>
          </w:p>
        </w:tc>
      </w:tr>
      <w:tr w14:paraId="7C859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7AE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CE84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931F0">
            <w:pPr>
              <w:jc w:val="center"/>
            </w:pPr>
            <w:r>
              <w:rPr>
                <w:rFonts w:ascii="宋体" w:hAnsi="宋体" w:eastAsia="宋体"/>
                <w:sz w:val="16"/>
              </w:rPr>
              <w:t>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0B760">
            <w:pPr>
              <w:jc w:val="center"/>
            </w:pPr>
            <w:r>
              <w:rPr>
                <w:rFonts w:ascii="宋体" w:hAnsi="宋体" w:eastAsia="宋体"/>
                <w:sz w:val="16"/>
              </w:rPr>
              <w:t>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7AFF4">
            <w:pPr>
              <w:jc w:val="center"/>
            </w:pPr>
            <w:r>
              <w:rPr>
                <w:rFonts w:ascii="宋体" w:hAnsi="宋体" w:eastAsia="宋体"/>
                <w:sz w:val="16"/>
              </w:rPr>
              <w:t>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8DF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D49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3812">
            <w:pPr>
              <w:jc w:val="center"/>
            </w:pPr>
            <w:r>
              <w:rPr>
                <w:rFonts w:ascii="宋体" w:hAnsi="宋体" w:eastAsia="宋体"/>
                <w:sz w:val="16"/>
              </w:rPr>
              <w:t>—</w:t>
            </w:r>
          </w:p>
        </w:tc>
      </w:tr>
      <w:tr w14:paraId="235473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A3E2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9D45A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873740">
            <w:pPr>
              <w:jc w:val="center"/>
            </w:pPr>
            <w:r>
              <w:rPr>
                <w:rFonts w:ascii="宋体" w:hAnsi="宋体" w:eastAsia="宋体"/>
                <w:sz w:val="16"/>
              </w:rPr>
              <w:t>实际完成情况</w:t>
            </w:r>
          </w:p>
        </w:tc>
      </w:tr>
      <w:tr w14:paraId="1ADE4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D91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B78266">
            <w:pPr>
              <w:jc w:val="both"/>
            </w:pPr>
            <w:r>
              <w:rPr>
                <w:rFonts w:ascii="宋体" w:hAnsi="宋体" w:eastAsia="宋体"/>
                <w:sz w:val="16"/>
              </w:rPr>
              <w:t>克孜勒苏柯尔克孜自治州科学技术协会2024年利息收入：0.01万元，其中：财政资金0元，其他资金0.01万元。主要用于补助科协银行账户基本维护费支出。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7D3841">
            <w:pPr>
              <w:jc w:val="both"/>
            </w:pPr>
            <w:r>
              <w:rPr>
                <w:rFonts w:ascii="宋体" w:hAnsi="宋体" w:eastAsia="宋体"/>
                <w:sz w:val="16"/>
              </w:rPr>
              <w:t>截至2024年12月31日该项目已完成：利息收入资金按时入账4笔；支付账户维护费4次。</w:t>
            </w:r>
          </w:p>
        </w:tc>
      </w:tr>
      <w:tr w14:paraId="3D9472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38B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50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64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D4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BD6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0E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C8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70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39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42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778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508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593F8">
            <w:pPr>
              <w:jc w:val="center"/>
            </w:pPr>
            <w:r>
              <w:rPr>
                <w:rFonts w:ascii="宋体" w:hAnsi="宋体" w:eastAsia="宋体"/>
                <w:sz w:val="16"/>
              </w:rPr>
              <w:t>偏差原因分析及改进措施</w:t>
            </w:r>
          </w:p>
        </w:tc>
      </w:tr>
      <w:tr w14:paraId="706B41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E58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09E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A6C9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8B58">
            <w:pPr>
              <w:jc w:val="center"/>
            </w:pPr>
            <w:r>
              <w:rPr>
                <w:rFonts w:ascii="宋体" w:hAnsi="宋体" w:eastAsia="宋体"/>
                <w:sz w:val="16"/>
              </w:rPr>
              <w:t>利息收入资金按时入账笔数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5C32">
            <w:pPr>
              <w:jc w:val="center"/>
            </w:pPr>
            <w:r>
              <w:rPr>
                <w:rFonts w:ascii="宋体" w:hAnsi="宋体" w:eastAsia="宋体"/>
                <w:sz w:val="16"/>
              </w:rPr>
              <w:t>=4笔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87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F2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22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DE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D4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472E">
            <w:pPr>
              <w:jc w:val="center"/>
            </w:pPr>
            <w:r>
              <w:rPr>
                <w:rFonts w:ascii="宋体" w:hAnsi="宋体" w:eastAsia="宋体"/>
                <w:sz w:val="16"/>
              </w:rPr>
              <w:t>=4笔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A0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89610">
            <w:pPr>
              <w:jc w:val="center"/>
            </w:pPr>
          </w:p>
        </w:tc>
      </w:tr>
      <w:tr w14:paraId="479FC3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BF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381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B87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A093">
            <w:pPr>
              <w:jc w:val="center"/>
            </w:pPr>
            <w:r>
              <w:rPr>
                <w:rFonts w:ascii="宋体" w:hAnsi="宋体" w:eastAsia="宋体"/>
                <w:sz w:val="16"/>
              </w:rPr>
              <w:t>利息收入支付</w:t>
            </w:r>
            <w:r>
              <w:rPr>
                <w:rFonts w:hint="eastAsia" w:ascii="宋体" w:hAnsi="宋体"/>
                <w:sz w:val="16"/>
                <w:lang w:eastAsia="zh-CN"/>
              </w:rPr>
              <w:t>账户</w:t>
            </w:r>
            <w:r>
              <w:rPr>
                <w:rFonts w:ascii="宋体" w:hAnsi="宋体" w:eastAsia="宋体"/>
                <w:sz w:val="16"/>
              </w:rPr>
              <w:t>维护费次数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F5E3">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58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F6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89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C4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8F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2192">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11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6FEA2">
            <w:pPr>
              <w:jc w:val="center"/>
            </w:pPr>
          </w:p>
        </w:tc>
      </w:tr>
      <w:tr w14:paraId="71466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21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367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8C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6F3E">
            <w:pPr>
              <w:jc w:val="center"/>
            </w:pPr>
            <w:r>
              <w:rPr>
                <w:rFonts w:ascii="宋体" w:hAnsi="宋体" w:eastAsia="宋体"/>
                <w:sz w:val="16"/>
              </w:rPr>
              <w:t>利息收入使用合规率（%）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8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02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9D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29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E1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F8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F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AE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C7F5A">
            <w:pPr>
              <w:jc w:val="center"/>
            </w:pPr>
          </w:p>
        </w:tc>
      </w:tr>
      <w:tr w14:paraId="33433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B1F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FA1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4F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5379">
            <w:pPr>
              <w:jc w:val="center"/>
            </w:pPr>
            <w:r>
              <w:rPr>
                <w:rFonts w:hint="eastAsia" w:ascii="宋体" w:hAnsi="宋体"/>
                <w:sz w:val="16"/>
                <w:lang w:eastAsia="zh-CN"/>
              </w:rPr>
              <w:t>利息收入入账</w:t>
            </w:r>
            <w:r>
              <w:rPr>
                <w:rFonts w:ascii="宋体" w:hAnsi="宋体" w:eastAsia="宋体"/>
                <w:sz w:val="16"/>
              </w:rPr>
              <w:t>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6D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CF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E5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46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8C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38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496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F6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1AF90">
            <w:pPr>
              <w:jc w:val="center"/>
            </w:pPr>
          </w:p>
        </w:tc>
      </w:tr>
      <w:tr w14:paraId="41A26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733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3CDE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9687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DD68">
            <w:pPr>
              <w:jc w:val="center"/>
            </w:pPr>
            <w:r>
              <w:rPr>
                <w:rFonts w:ascii="宋体" w:hAnsi="宋体" w:eastAsia="宋体"/>
                <w:sz w:val="16"/>
              </w:rPr>
              <w:t>利息收入支付</w:t>
            </w:r>
            <w:r>
              <w:rPr>
                <w:rFonts w:hint="eastAsia" w:ascii="宋体" w:hAnsi="宋体"/>
                <w:sz w:val="16"/>
                <w:lang w:eastAsia="zh-CN"/>
              </w:rPr>
              <w:t>账户</w:t>
            </w:r>
            <w:r>
              <w:rPr>
                <w:rFonts w:ascii="宋体" w:hAnsi="宋体" w:eastAsia="宋体"/>
                <w:sz w:val="16"/>
              </w:rPr>
              <w:t>维护费用（元）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742B">
            <w:pPr>
              <w:jc w:val="center"/>
            </w:pPr>
            <w:r>
              <w:rPr>
                <w:rFonts w:ascii="宋体" w:hAnsi="宋体" w:eastAsia="宋体"/>
                <w:sz w:val="16"/>
              </w:rPr>
              <w:t>&lt;=118.32元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EC8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8B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3D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7D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D8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9064">
            <w:pPr>
              <w:jc w:val="center"/>
            </w:pPr>
            <w:r>
              <w:rPr>
                <w:rFonts w:ascii="宋体" w:hAnsi="宋体" w:eastAsia="宋体"/>
                <w:sz w:val="16"/>
              </w:rPr>
              <w:t>=118.32元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09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DBE2C">
            <w:pPr>
              <w:jc w:val="center"/>
            </w:pPr>
          </w:p>
        </w:tc>
      </w:tr>
      <w:tr w14:paraId="65CECD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10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1FC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FB7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25402">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327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7A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E3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EF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18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50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CB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3B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07CCB">
            <w:pPr>
              <w:jc w:val="center"/>
            </w:pPr>
          </w:p>
        </w:tc>
      </w:tr>
      <w:tr w14:paraId="2F0BE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40A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88E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DC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7CCF">
            <w:pPr>
              <w:jc w:val="center"/>
            </w:pPr>
            <w:r>
              <w:rPr>
                <w:rFonts w:ascii="宋体" w:hAnsi="宋体" w:eastAsia="宋体"/>
                <w:sz w:val="16"/>
              </w:rPr>
              <w:t>单位社会影响力提升度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2A6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96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7B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D7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E47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B7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024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1A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397C9">
            <w:pPr>
              <w:jc w:val="center"/>
            </w:pPr>
          </w:p>
        </w:tc>
      </w:tr>
      <w:tr w14:paraId="42F92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3D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33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3C0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5DB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46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21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9A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91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2F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05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262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9C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D2A37">
            <w:pPr>
              <w:jc w:val="center"/>
            </w:pPr>
          </w:p>
        </w:tc>
      </w:tr>
      <w:tr w14:paraId="4F43CA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D6F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D00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753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B1A317">
            <w:pPr>
              <w:jc w:val="center"/>
            </w:pPr>
            <w:r>
              <w:rPr>
                <w:rFonts w:ascii="宋体" w:hAnsi="宋体" w:eastAsia="宋体"/>
                <w:sz w:val="16"/>
              </w:rPr>
              <w:t>100分</w:t>
            </w:r>
          </w:p>
        </w:tc>
      </w:tr>
    </w:tbl>
    <w:p w14:paraId="211642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B3A18F8">
        <w:tblPrEx>
          <w:tblCellMar>
            <w:top w:w="0" w:type="dxa"/>
            <w:left w:w="108" w:type="dxa"/>
            <w:bottom w:w="0" w:type="dxa"/>
            <w:right w:w="108" w:type="dxa"/>
          </w:tblCellMar>
        </w:tblPrEx>
        <w:tc>
          <w:tcPr>
            <w:tcW w:w="8848" w:type="dxa"/>
            <w:gridSpan w:val="14"/>
            <w:vAlign w:val="center"/>
          </w:tcPr>
          <w:p w14:paraId="76CA4145">
            <w:pPr>
              <w:jc w:val="center"/>
            </w:pPr>
            <w:r>
              <w:rPr>
                <w:rFonts w:ascii="宋体" w:hAnsi="宋体" w:eastAsia="宋体"/>
                <w:sz w:val="24"/>
              </w:rPr>
              <w:t>项目支出绩效自评表</w:t>
            </w:r>
          </w:p>
        </w:tc>
      </w:tr>
      <w:tr w14:paraId="15D257A3">
        <w:tblPrEx>
          <w:tblCellMar>
            <w:top w:w="0" w:type="dxa"/>
            <w:left w:w="108" w:type="dxa"/>
            <w:bottom w:w="0" w:type="dxa"/>
            <w:right w:w="108" w:type="dxa"/>
          </w:tblCellMar>
        </w:tblPrEx>
        <w:tc>
          <w:tcPr>
            <w:tcW w:w="8848" w:type="dxa"/>
            <w:gridSpan w:val="14"/>
            <w:vAlign w:val="center"/>
          </w:tcPr>
          <w:p w14:paraId="028E21F7">
            <w:pPr>
              <w:jc w:val="center"/>
            </w:pPr>
            <w:r>
              <w:rPr>
                <w:rFonts w:ascii="宋体" w:hAnsi="宋体" w:eastAsia="宋体"/>
                <w:sz w:val="24"/>
              </w:rPr>
              <w:t>(2024年度)</w:t>
            </w:r>
          </w:p>
        </w:tc>
      </w:tr>
      <w:tr w14:paraId="1068A7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C8A5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3440E0">
            <w:pPr>
              <w:jc w:val="center"/>
            </w:pPr>
            <w:r>
              <w:rPr>
                <w:rFonts w:ascii="宋体" w:hAnsi="宋体" w:eastAsia="宋体"/>
                <w:sz w:val="16"/>
              </w:rPr>
              <w:t>2024年老科协活动经费</w:t>
            </w:r>
          </w:p>
        </w:tc>
      </w:tr>
      <w:tr w14:paraId="4D2E76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78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A2030">
            <w:pPr>
              <w:jc w:val="center"/>
            </w:pPr>
            <w:r>
              <w:rPr>
                <w:rFonts w:ascii="宋体" w:hAnsi="宋体" w:eastAsia="宋体"/>
                <w:sz w:val="16"/>
              </w:rPr>
              <w:t>新疆克孜勒苏柯尔克孜自治州科学技术协会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25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211A08">
            <w:pPr>
              <w:jc w:val="center"/>
            </w:pPr>
            <w:r>
              <w:rPr>
                <w:rFonts w:ascii="宋体" w:hAnsi="宋体" w:eastAsia="宋体"/>
                <w:sz w:val="16"/>
              </w:rPr>
              <w:t>克孜勒苏柯尔克孜自治州科学技术协会</w:t>
            </w:r>
          </w:p>
        </w:tc>
      </w:tr>
      <w:tr w14:paraId="34F71A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257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5B4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A6D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7BB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3CC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6D9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BC9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EB81">
            <w:pPr>
              <w:jc w:val="center"/>
            </w:pPr>
            <w:r>
              <w:rPr>
                <w:rFonts w:ascii="宋体" w:hAnsi="宋体" w:eastAsia="宋体"/>
                <w:sz w:val="16"/>
              </w:rPr>
              <w:t>得分</w:t>
            </w:r>
          </w:p>
        </w:tc>
      </w:tr>
      <w:tr w14:paraId="52E278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7F5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8C1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8E618">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FE4F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D6DF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63D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7026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A89E">
            <w:pPr>
              <w:jc w:val="center"/>
            </w:pPr>
            <w:r>
              <w:rPr>
                <w:rFonts w:ascii="宋体" w:hAnsi="宋体" w:eastAsia="宋体"/>
                <w:sz w:val="16"/>
              </w:rPr>
              <w:t>10.00分</w:t>
            </w:r>
          </w:p>
        </w:tc>
      </w:tr>
      <w:tr w14:paraId="2E69AD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B35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F6F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6A7D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6802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9184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9DE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CA6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7CE9">
            <w:pPr>
              <w:jc w:val="center"/>
            </w:pPr>
            <w:r>
              <w:rPr>
                <w:rFonts w:ascii="宋体" w:hAnsi="宋体" w:eastAsia="宋体"/>
                <w:sz w:val="16"/>
              </w:rPr>
              <w:t>—</w:t>
            </w:r>
          </w:p>
        </w:tc>
      </w:tr>
      <w:tr w14:paraId="10A9C1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2E9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EA2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8E6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14E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F9F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32E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36A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7BD3">
            <w:pPr>
              <w:jc w:val="center"/>
            </w:pPr>
            <w:r>
              <w:rPr>
                <w:rFonts w:ascii="宋体" w:hAnsi="宋体" w:eastAsia="宋体"/>
                <w:sz w:val="16"/>
              </w:rPr>
              <w:t>—</w:t>
            </w:r>
          </w:p>
        </w:tc>
      </w:tr>
      <w:tr w14:paraId="4C91E7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D7D2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F950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C7C68E">
            <w:pPr>
              <w:jc w:val="center"/>
            </w:pPr>
            <w:r>
              <w:rPr>
                <w:rFonts w:ascii="宋体" w:hAnsi="宋体" w:eastAsia="宋体"/>
                <w:sz w:val="16"/>
              </w:rPr>
              <w:t>实际完成情况</w:t>
            </w:r>
          </w:p>
        </w:tc>
      </w:tr>
      <w:tr w14:paraId="718D00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61C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3C168E">
            <w:pPr>
              <w:jc w:val="both"/>
            </w:pPr>
            <w:r>
              <w:rPr>
                <w:rFonts w:ascii="宋体" w:hAnsi="宋体" w:eastAsia="宋体"/>
                <w:sz w:val="16"/>
              </w:rPr>
              <w:t>该项目资金投入总额为4万元，其中财政资金4万元，其他资金0万元。资金主要用于发挥党和政府联系广大老科技工作者的桥梁和纽带作用，参与新疆科学大讲堂2场次，发放科普宣传品2000份，组织开展老年科技大学专题学习3次。达到带动老年科技工作者充分发挥余热，协助科协开展科普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094671">
            <w:pPr>
              <w:jc w:val="both"/>
            </w:pPr>
            <w:r>
              <w:rPr>
                <w:rFonts w:hint="eastAsia" w:ascii="宋体" w:hAnsi="宋体"/>
                <w:sz w:val="16"/>
                <w:lang w:eastAsia="zh-CN"/>
              </w:rPr>
              <w:t>截至</w:t>
            </w:r>
            <w:r>
              <w:rPr>
                <w:rFonts w:ascii="宋体" w:hAnsi="宋体" w:eastAsia="宋体"/>
                <w:sz w:val="16"/>
              </w:rPr>
              <w:t>2024年12月31日,该项目执行数4万元，已完成：参与新疆科学大讲堂2场次，发放科普宣传品2000份，组织开展老年科技大学专题学习3次。通过该项目的实施，达到带动老年科技工作者充分发挥余热，协助科协开展科普活动。</w:t>
            </w:r>
          </w:p>
        </w:tc>
      </w:tr>
      <w:tr w14:paraId="52B8D8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D7D0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9B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6C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FF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A1FE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7B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333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6F4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40C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41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639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2C4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0DEC8">
            <w:pPr>
              <w:jc w:val="center"/>
            </w:pPr>
            <w:r>
              <w:rPr>
                <w:rFonts w:ascii="宋体" w:hAnsi="宋体" w:eastAsia="宋体"/>
                <w:sz w:val="16"/>
              </w:rPr>
              <w:t>偏差原因分析及改进措施</w:t>
            </w:r>
          </w:p>
        </w:tc>
      </w:tr>
      <w:tr w14:paraId="2F6F54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1D8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B97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5A9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76B1">
            <w:pPr>
              <w:jc w:val="center"/>
            </w:pPr>
            <w:r>
              <w:rPr>
                <w:rFonts w:ascii="宋体" w:hAnsi="宋体" w:eastAsia="宋体"/>
                <w:sz w:val="16"/>
              </w:rPr>
              <w:t>参与科学大讲堂（场次）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0B50">
            <w:pPr>
              <w:jc w:val="center"/>
            </w:pPr>
            <w:r>
              <w:rPr>
                <w:rFonts w:ascii="宋体" w:hAnsi="宋体" w:eastAsia="宋体"/>
                <w:sz w:val="16"/>
              </w:rPr>
              <w:t>&gt;=2场次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D1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E5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02C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F8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89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908D">
            <w:pPr>
              <w:jc w:val="center"/>
            </w:pPr>
            <w:r>
              <w:rPr>
                <w:rFonts w:ascii="宋体" w:hAnsi="宋体" w:eastAsia="宋体"/>
                <w:sz w:val="16"/>
              </w:rPr>
              <w: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3CE3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F55C1">
            <w:pPr>
              <w:jc w:val="center"/>
            </w:pPr>
          </w:p>
        </w:tc>
      </w:tr>
      <w:tr w14:paraId="4ED112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63D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59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0E3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7457">
            <w:pPr>
              <w:jc w:val="center"/>
            </w:pPr>
            <w:r>
              <w:rPr>
                <w:rFonts w:ascii="宋体" w:hAnsi="宋体" w:eastAsia="宋体"/>
                <w:sz w:val="16"/>
              </w:rPr>
              <w:t>发放科普宣传品份数（份）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6389">
            <w:pPr>
              <w:jc w:val="center"/>
            </w:pPr>
            <w:r>
              <w:rPr>
                <w:rFonts w:ascii="宋体" w:hAnsi="宋体" w:eastAsia="宋体"/>
                <w:sz w:val="16"/>
              </w:rPr>
              <w:t>&gt;=2000份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1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41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22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D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69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41E3">
            <w:pPr>
              <w:jc w:val="center"/>
            </w:pPr>
            <w:r>
              <w:rPr>
                <w:rFonts w:ascii="宋体" w:hAnsi="宋体" w:eastAsia="宋体"/>
                <w:sz w:val="16"/>
              </w:rPr>
              <w:t>=2000份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F36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AC0AC">
            <w:pPr>
              <w:jc w:val="center"/>
            </w:pPr>
          </w:p>
        </w:tc>
      </w:tr>
      <w:tr w14:paraId="259AA7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07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5E2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AA1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0C531">
            <w:pPr>
              <w:jc w:val="center"/>
            </w:pPr>
            <w:r>
              <w:rPr>
                <w:rFonts w:ascii="宋体" w:hAnsi="宋体" w:eastAsia="宋体"/>
                <w:sz w:val="16"/>
              </w:rPr>
              <w:t>开展老年科技大学专题学习（次）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F373">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07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8B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E69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1D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CC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6C23">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90F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4074C">
            <w:pPr>
              <w:jc w:val="center"/>
            </w:pPr>
          </w:p>
        </w:tc>
      </w:tr>
      <w:tr w14:paraId="507A3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EFE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B0D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B3A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3185">
            <w:pPr>
              <w:jc w:val="center"/>
            </w:pPr>
            <w:r>
              <w:rPr>
                <w:rFonts w:ascii="宋体" w:hAnsi="宋体" w:eastAsia="宋体"/>
                <w:sz w:val="16"/>
              </w:rPr>
              <w:t>科学大讲堂覆盖率（%）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C3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82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5ED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9E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9C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DB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190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502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FBC0C">
            <w:pPr>
              <w:jc w:val="center"/>
            </w:pPr>
          </w:p>
        </w:tc>
      </w:tr>
      <w:tr w14:paraId="69B25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C0D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D9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0CB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D932">
            <w:pPr>
              <w:jc w:val="center"/>
            </w:pPr>
            <w:r>
              <w:rPr>
                <w:rFonts w:ascii="宋体" w:hAnsi="宋体" w:eastAsia="宋体"/>
                <w:sz w:val="16"/>
              </w:rPr>
              <w:t>开展老年科技大学专题学习完成率（%）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72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95D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85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B7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26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49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7A7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6FF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594E3">
            <w:pPr>
              <w:jc w:val="center"/>
            </w:pPr>
          </w:p>
        </w:tc>
      </w:tr>
      <w:tr w14:paraId="6E9F83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16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B0C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1C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B1F5">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918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CF8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59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6B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89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34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1CD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D4A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995B7">
            <w:pPr>
              <w:jc w:val="center"/>
            </w:pPr>
          </w:p>
        </w:tc>
      </w:tr>
      <w:tr w14:paraId="13DCC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6B7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BD11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628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C2ED">
            <w:pPr>
              <w:jc w:val="center"/>
            </w:pPr>
            <w:r>
              <w:rPr>
                <w:rFonts w:ascii="宋体" w:hAnsi="宋体" w:eastAsia="宋体"/>
                <w:sz w:val="16"/>
              </w:rPr>
              <w:t>印制科普宣传品费用（万元）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E406">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66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81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B0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63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D4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2DE5">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32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5BAEC">
            <w:pPr>
              <w:jc w:val="center"/>
            </w:pPr>
          </w:p>
        </w:tc>
      </w:tr>
      <w:tr w14:paraId="602EB6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55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9E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67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75E9">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1E5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59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B0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DE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D7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74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F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548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A836D">
            <w:pPr>
              <w:jc w:val="center"/>
            </w:pPr>
          </w:p>
        </w:tc>
      </w:tr>
      <w:tr w14:paraId="2F097F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AAA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85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77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FA281">
            <w:pPr>
              <w:jc w:val="center"/>
            </w:pPr>
            <w:r>
              <w:rPr>
                <w:rFonts w:ascii="宋体" w:hAnsi="宋体" w:eastAsia="宋体"/>
                <w:sz w:val="16"/>
              </w:rPr>
              <w:t>群众科学文化素质水平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AAFD">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1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E1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D5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E3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EA8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5AD1">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C15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49874">
            <w:pPr>
              <w:jc w:val="center"/>
            </w:pPr>
          </w:p>
        </w:tc>
      </w:tr>
      <w:tr w14:paraId="38A3E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4EE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48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0F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D1F0">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B8E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034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E6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14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FC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08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80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648F">
            <w:pPr>
              <w:jc w:val="center"/>
            </w:pPr>
            <w:r>
              <w:rPr>
                <w:rFonts w:ascii="宋体" w:hAnsi="宋体" w:eastAsia="宋体"/>
                <w:sz w:val="16"/>
              </w:rPr>
              <w:t>9.44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F40F1">
            <w:pPr>
              <w:jc w:val="center"/>
            </w:pPr>
            <w:r>
              <w:rPr>
                <w:rFonts w:ascii="宋体" w:hAnsi="宋体" w:eastAsia="宋体"/>
                <w:sz w:val="16"/>
              </w:rPr>
              <w:t>偏差原因：活动开展效果显著，群众满意度高。改进措施：继续提高活动开展效果。</w:t>
            </w:r>
          </w:p>
        </w:tc>
      </w:tr>
      <w:tr w14:paraId="4FECED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CA7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A37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099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A3E13B">
            <w:pPr>
              <w:jc w:val="center"/>
            </w:pPr>
            <w:r>
              <w:rPr>
                <w:rFonts w:ascii="宋体" w:hAnsi="宋体" w:eastAsia="宋体"/>
                <w:sz w:val="16"/>
              </w:rPr>
              <w:t>99.44分</w:t>
            </w:r>
          </w:p>
        </w:tc>
      </w:tr>
    </w:tbl>
    <w:p w14:paraId="0CB27C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57ED652">
        <w:tblPrEx>
          <w:tblCellMar>
            <w:top w:w="0" w:type="dxa"/>
            <w:left w:w="108" w:type="dxa"/>
            <w:bottom w:w="0" w:type="dxa"/>
            <w:right w:w="108" w:type="dxa"/>
          </w:tblCellMar>
        </w:tblPrEx>
        <w:tc>
          <w:tcPr>
            <w:tcW w:w="8848" w:type="dxa"/>
            <w:gridSpan w:val="14"/>
            <w:vAlign w:val="center"/>
          </w:tcPr>
          <w:p w14:paraId="107CB76E">
            <w:pPr>
              <w:jc w:val="center"/>
            </w:pPr>
            <w:r>
              <w:rPr>
                <w:rFonts w:ascii="宋体" w:hAnsi="宋体" w:eastAsia="宋体"/>
                <w:sz w:val="24"/>
              </w:rPr>
              <w:t>项目支出绩效自评表</w:t>
            </w:r>
          </w:p>
        </w:tc>
      </w:tr>
      <w:tr w14:paraId="353BD396">
        <w:tblPrEx>
          <w:tblCellMar>
            <w:top w:w="0" w:type="dxa"/>
            <w:left w:w="108" w:type="dxa"/>
            <w:bottom w:w="0" w:type="dxa"/>
            <w:right w:w="108" w:type="dxa"/>
          </w:tblCellMar>
        </w:tblPrEx>
        <w:tc>
          <w:tcPr>
            <w:tcW w:w="8848" w:type="dxa"/>
            <w:gridSpan w:val="14"/>
            <w:vAlign w:val="center"/>
          </w:tcPr>
          <w:p w14:paraId="16DF2865">
            <w:pPr>
              <w:jc w:val="center"/>
            </w:pPr>
            <w:r>
              <w:rPr>
                <w:rFonts w:ascii="宋体" w:hAnsi="宋体" w:eastAsia="宋体"/>
                <w:sz w:val="24"/>
              </w:rPr>
              <w:t>(2024年度)</w:t>
            </w:r>
          </w:p>
        </w:tc>
      </w:tr>
      <w:tr w14:paraId="4464A6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34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983B17">
            <w:pPr>
              <w:jc w:val="center"/>
            </w:pPr>
            <w:r>
              <w:rPr>
                <w:rFonts w:ascii="宋体" w:hAnsi="宋体" w:eastAsia="宋体"/>
                <w:sz w:val="16"/>
              </w:rPr>
              <w:t>2024年自治州全民科学素质资金</w:t>
            </w:r>
          </w:p>
        </w:tc>
      </w:tr>
      <w:tr w14:paraId="71BB98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11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074AC2">
            <w:pPr>
              <w:jc w:val="center"/>
            </w:pPr>
            <w:r>
              <w:rPr>
                <w:rFonts w:ascii="宋体" w:hAnsi="宋体" w:eastAsia="宋体"/>
                <w:sz w:val="16"/>
              </w:rPr>
              <w:t>新疆克孜勒苏柯尔克孜自治州科学技术协会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D7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04493C">
            <w:pPr>
              <w:jc w:val="center"/>
            </w:pPr>
            <w:r>
              <w:rPr>
                <w:rFonts w:ascii="宋体" w:hAnsi="宋体" w:eastAsia="宋体"/>
                <w:sz w:val="16"/>
              </w:rPr>
              <w:t>克孜勒苏柯尔克孜自治州科学技术协会</w:t>
            </w:r>
          </w:p>
        </w:tc>
      </w:tr>
      <w:tr w14:paraId="2B99F1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391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13A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745D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C1B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32D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902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109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1850">
            <w:pPr>
              <w:jc w:val="center"/>
            </w:pPr>
            <w:r>
              <w:rPr>
                <w:rFonts w:ascii="宋体" w:hAnsi="宋体" w:eastAsia="宋体"/>
                <w:sz w:val="16"/>
              </w:rPr>
              <w:t>得分</w:t>
            </w:r>
          </w:p>
        </w:tc>
      </w:tr>
      <w:tr w14:paraId="058F11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ED1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189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88A3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B095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F082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A54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E0B4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81A39">
            <w:pPr>
              <w:jc w:val="center"/>
            </w:pPr>
            <w:r>
              <w:rPr>
                <w:rFonts w:ascii="宋体" w:hAnsi="宋体" w:eastAsia="宋体"/>
                <w:sz w:val="16"/>
              </w:rPr>
              <w:t>10.00分</w:t>
            </w:r>
          </w:p>
        </w:tc>
      </w:tr>
      <w:tr w14:paraId="2B446F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1BA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991D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FD23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5D7C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A688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D0D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5D3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0C24">
            <w:pPr>
              <w:jc w:val="center"/>
            </w:pPr>
            <w:r>
              <w:rPr>
                <w:rFonts w:ascii="宋体" w:hAnsi="宋体" w:eastAsia="宋体"/>
                <w:sz w:val="16"/>
              </w:rPr>
              <w:t>—</w:t>
            </w:r>
          </w:p>
        </w:tc>
      </w:tr>
      <w:tr w14:paraId="3242A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C2F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A03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8CB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2EE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E26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CB9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375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4105">
            <w:pPr>
              <w:jc w:val="center"/>
            </w:pPr>
            <w:r>
              <w:rPr>
                <w:rFonts w:ascii="宋体" w:hAnsi="宋体" w:eastAsia="宋体"/>
                <w:sz w:val="16"/>
              </w:rPr>
              <w:t>—</w:t>
            </w:r>
          </w:p>
        </w:tc>
      </w:tr>
      <w:tr w14:paraId="081172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DABF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A7CD1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68AF4E">
            <w:pPr>
              <w:jc w:val="center"/>
            </w:pPr>
            <w:r>
              <w:rPr>
                <w:rFonts w:ascii="宋体" w:hAnsi="宋体" w:eastAsia="宋体"/>
                <w:sz w:val="16"/>
              </w:rPr>
              <w:t>实际完成情况</w:t>
            </w:r>
          </w:p>
        </w:tc>
      </w:tr>
      <w:tr w14:paraId="7F968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E08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F6AF73">
            <w:pPr>
              <w:jc w:val="both"/>
            </w:pPr>
            <w:r>
              <w:rPr>
                <w:rFonts w:ascii="宋体" w:hAnsi="宋体" w:eastAsia="宋体"/>
                <w:sz w:val="16"/>
              </w:rPr>
              <w:t>克孜勒苏柯尔克孜自治州科学技术协会2024年全民科学素质资金项目经费：20万元，其中：财政资金20万元，其他资金0万元。该项资金主要用于科普大篷车开展科普宣传活动30场次，科普培训20场次，评选表彰最美科技工作者、先进科普集体、个人5个，赠送青少年科技创新先进单位</w:t>
            </w:r>
            <w:r>
              <w:rPr>
                <w:rFonts w:hint="eastAsia" w:ascii="宋体" w:hAnsi="宋体"/>
                <w:sz w:val="16"/>
                <w:lang w:eastAsia="zh-CN"/>
              </w:rPr>
              <w:t>和</w:t>
            </w:r>
            <w:r>
              <w:rPr>
                <w:rFonts w:ascii="宋体" w:hAnsi="宋体" w:eastAsia="宋体"/>
                <w:sz w:val="16"/>
              </w:rPr>
              <w:t>科普用品10份，召开全民科学素质会议，印制科普宣传资料15000册。达到传播科学思想和科学方法，增强公民获取科学知识和应用科学知识解决身边问题能力的效果，在全社会形成讲科学、爱科学、学科学、用科学的良好风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D5B8F1">
            <w:pPr>
              <w:jc w:val="both"/>
            </w:pPr>
            <w:r>
              <w:rPr>
                <w:rFonts w:ascii="宋体" w:hAnsi="宋体" w:eastAsia="宋体"/>
                <w:sz w:val="16"/>
              </w:rPr>
              <w:t>截至2024年12月31日，该项目执行数20万元，已完成：科普大篷车开展科普宣传活动30场次，开展科普培训20场次，评选表彰先进科普集体、个人5个，通过该项目的实施，达到了传播科学思想和科学方法，增强公民获取科学知识和应用科学知识解决身边问题能力，在全社会形成讲科学、爱科学、学科学、用科学的良好风尚的效果。</w:t>
            </w:r>
          </w:p>
        </w:tc>
      </w:tr>
      <w:tr w14:paraId="3FB98A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73FE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AC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B0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62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18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7C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BE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4CD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5E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8E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BA6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E4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90149">
            <w:pPr>
              <w:jc w:val="center"/>
            </w:pPr>
            <w:r>
              <w:rPr>
                <w:rFonts w:ascii="宋体" w:hAnsi="宋体" w:eastAsia="宋体"/>
                <w:sz w:val="16"/>
              </w:rPr>
              <w:t>偏差原因分析及改进措施</w:t>
            </w:r>
          </w:p>
        </w:tc>
      </w:tr>
      <w:tr w14:paraId="5D3A4E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FDE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A937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241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9807">
            <w:pPr>
              <w:jc w:val="center"/>
            </w:pPr>
            <w:r>
              <w:rPr>
                <w:rFonts w:ascii="宋体" w:hAnsi="宋体" w:eastAsia="宋体"/>
                <w:sz w:val="16"/>
              </w:rPr>
              <w:t>科普大篷车开展宣传数量（场次）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B858">
            <w:pPr>
              <w:jc w:val="center"/>
            </w:pPr>
            <w:r>
              <w:rPr>
                <w:rFonts w:ascii="宋体" w:hAnsi="宋体" w:eastAsia="宋体"/>
                <w:sz w:val="16"/>
              </w:rPr>
              <w:t>&gt;=30场次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0B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40E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DF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D6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C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8F8B">
            <w:pPr>
              <w:jc w:val="center"/>
            </w:pPr>
            <w:r>
              <w:rPr>
                <w:rFonts w:ascii="宋体" w:hAnsi="宋体" w:eastAsia="宋体"/>
                <w:sz w:val="16"/>
              </w:rPr>
              <w:t>=30场次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54B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D00CE">
            <w:pPr>
              <w:jc w:val="center"/>
            </w:pPr>
          </w:p>
        </w:tc>
      </w:tr>
      <w:tr w14:paraId="4A438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9A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674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946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2453">
            <w:pPr>
              <w:jc w:val="center"/>
            </w:pPr>
            <w:r>
              <w:rPr>
                <w:rFonts w:ascii="宋体" w:hAnsi="宋体" w:eastAsia="宋体"/>
                <w:sz w:val="16"/>
              </w:rPr>
              <w:t>科普培训数量（场次）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7006">
            <w:pPr>
              <w:jc w:val="center"/>
            </w:pPr>
            <w:r>
              <w:rPr>
                <w:rFonts w:ascii="宋体" w:hAnsi="宋体" w:eastAsia="宋体"/>
                <w:sz w:val="16"/>
              </w:rPr>
              <w:t>&gt;=20场次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3B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91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4B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38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3E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D824">
            <w:pPr>
              <w:jc w:val="center"/>
            </w:pPr>
            <w:r>
              <w:rPr>
                <w:rFonts w:ascii="宋体" w:hAnsi="宋体" w:eastAsia="宋体"/>
                <w:sz w:val="16"/>
              </w:rPr>
              <w:t>=20场次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D68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AD30F">
            <w:pPr>
              <w:jc w:val="center"/>
            </w:pPr>
          </w:p>
        </w:tc>
      </w:tr>
      <w:tr w14:paraId="23C0C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7E0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964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51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1A49">
            <w:pPr>
              <w:jc w:val="center"/>
            </w:pPr>
            <w:r>
              <w:rPr>
                <w:rFonts w:ascii="宋体" w:hAnsi="宋体" w:eastAsia="宋体"/>
                <w:sz w:val="16"/>
              </w:rPr>
              <w:t>表彰奖励集体及个人（个）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9EB4">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35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13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D1E2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B6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EF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2ED5">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531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9A95A">
            <w:pPr>
              <w:jc w:val="center"/>
            </w:pPr>
          </w:p>
        </w:tc>
      </w:tr>
      <w:tr w14:paraId="28782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14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3CC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E6A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771E">
            <w:pPr>
              <w:jc w:val="center"/>
            </w:pPr>
            <w:r>
              <w:rPr>
                <w:rFonts w:ascii="宋体" w:hAnsi="宋体" w:eastAsia="宋体"/>
                <w:sz w:val="16"/>
              </w:rPr>
              <w:t>项目资金使用规范率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C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B6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03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680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05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16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96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11A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98B7F">
            <w:pPr>
              <w:jc w:val="center"/>
            </w:pPr>
          </w:p>
        </w:tc>
      </w:tr>
      <w:tr w14:paraId="4FE3A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C21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E3A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45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F1E6">
            <w:pPr>
              <w:jc w:val="center"/>
            </w:pPr>
            <w:r>
              <w:rPr>
                <w:rFonts w:ascii="宋体" w:hAnsi="宋体" w:eastAsia="宋体"/>
                <w:sz w:val="16"/>
              </w:rPr>
              <w:t>科普宣传培训覆盖率（%）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6AA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7F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49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A468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04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B7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071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A16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86269">
            <w:pPr>
              <w:jc w:val="center"/>
            </w:pPr>
          </w:p>
        </w:tc>
      </w:tr>
      <w:tr w14:paraId="646B8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315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5E0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3F3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3A8F">
            <w:pPr>
              <w:jc w:val="center"/>
            </w:pPr>
            <w:r>
              <w:rPr>
                <w:rFonts w:ascii="宋体" w:hAnsi="宋体" w:eastAsia="宋体"/>
                <w:sz w:val="16"/>
              </w:rPr>
              <w:t>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24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44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0E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9F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7B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B0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30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7D1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BB7C2">
            <w:pPr>
              <w:jc w:val="center"/>
            </w:pPr>
          </w:p>
        </w:tc>
      </w:tr>
      <w:tr w14:paraId="3413F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CFF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1E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082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0CFB">
            <w:pPr>
              <w:jc w:val="center"/>
            </w:pPr>
            <w:r>
              <w:rPr>
                <w:rFonts w:ascii="宋体" w:hAnsi="宋体" w:eastAsia="宋体"/>
                <w:sz w:val="16"/>
              </w:rPr>
              <w:t>开展培训宣传工作完成及时率（%）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9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4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3B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CD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8E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E4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78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82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1AE85">
            <w:pPr>
              <w:jc w:val="center"/>
            </w:pPr>
          </w:p>
        </w:tc>
      </w:tr>
      <w:tr w14:paraId="43B56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987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B130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18C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5C4D">
            <w:pPr>
              <w:jc w:val="center"/>
            </w:pPr>
            <w:r>
              <w:rPr>
                <w:rFonts w:ascii="宋体" w:hAnsi="宋体" w:eastAsia="宋体"/>
                <w:sz w:val="16"/>
              </w:rPr>
              <w:t>表彰奖励集体及个人（万元）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DBF3">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24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5F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19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B0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BF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D18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4B5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5F118">
            <w:pPr>
              <w:jc w:val="center"/>
            </w:pPr>
          </w:p>
        </w:tc>
      </w:tr>
      <w:tr w14:paraId="0D151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EC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40D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38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956E">
            <w:pPr>
              <w:jc w:val="center"/>
            </w:pPr>
            <w:r>
              <w:rPr>
                <w:rFonts w:ascii="宋体" w:hAnsi="宋体" w:eastAsia="宋体"/>
                <w:sz w:val="16"/>
              </w:rPr>
              <w:t>开展培训、组织各类科普活动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9320">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32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7CF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0C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4A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B3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4E1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2A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231B2">
            <w:pPr>
              <w:jc w:val="center"/>
            </w:pPr>
          </w:p>
        </w:tc>
      </w:tr>
      <w:tr w14:paraId="2EC3C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B1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F1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E6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D547">
            <w:pPr>
              <w:jc w:val="center"/>
            </w:pPr>
            <w:r>
              <w:rPr>
                <w:rFonts w:ascii="宋体" w:hAnsi="宋体" w:eastAsia="宋体"/>
                <w:sz w:val="16"/>
              </w:rPr>
              <w:t>科普大篷车运行费用（万元）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11D4">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6A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A0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81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C4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AE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569C">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71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11538">
            <w:pPr>
              <w:jc w:val="center"/>
            </w:pPr>
          </w:p>
        </w:tc>
      </w:tr>
      <w:tr w14:paraId="121A4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F27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698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444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DF00">
            <w:pPr>
              <w:jc w:val="center"/>
            </w:pPr>
            <w:r>
              <w:rPr>
                <w:rFonts w:ascii="宋体" w:hAnsi="宋体" w:eastAsia="宋体"/>
                <w:sz w:val="16"/>
              </w:rPr>
              <w:t>印制科普宣传资料、宣传品（万元）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C7ED">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A1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E0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D0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75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2F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4942">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9B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E9561">
            <w:pPr>
              <w:jc w:val="center"/>
            </w:pPr>
          </w:p>
        </w:tc>
      </w:tr>
      <w:tr w14:paraId="63A769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20C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62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F0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02D4">
            <w:pPr>
              <w:jc w:val="center"/>
            </w:pPr>
            <w:r>
              <w:rPr>
                <w:rFonts w:ascii="宋体" w:hAnsi="宋体" w:eastAsia="宋体"/>
                <w:sz w:val="16"/>
              </w:rPr>
              <w:t>公民具备基本科学素质比例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07A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577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B2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0D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EC5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ADE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F38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BD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4394B">
            <w:pPr>
              <w:jc w:val="center"/>
            </w:pPr>
          </w:p>
        </w:tc>
      </w:tr>
      <w:tr w14:paraId="24882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805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84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4B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34CD0">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26D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49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D0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E4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E3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8D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A4A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22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6AD4B">
            <w:pPr>
              <w:jc w:val="center"/>
            </w:pPr>
            <w:r>
              <w:rPr>
                <w:rFonts w:ascii="宋体" w:hAnsi="宋体" w:eastAsia="宋体"/>
                <w:sz w:val="16"/>
              </w:rPr>
              <w:t>偏差原因：活动开展内容丰富，受到群众欢迎，满意度高；整改措施：持续开展内容丰富科普活动。</w:t>
            </w:r>
          </w:p>
        </w:tc>
      </w:tr>
      <w:tr w14:paraId="27244D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E49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57A6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672E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32F44C">
            <w:pPr>
              <w:jc w:val="center"/>
            </w:pPr>
            <w:r>
              <w:rPr>
                <w:rFonts w:ascii="宋体" w:hAnsi="宋体" w:eastAsia="宋体"/>
                <w:sz w:val="16"/>
              </w:rPr>
              <w:t>100分</w:t>
            </w:r>
          </w:p>
        </w:tc>
      </w:tr>
    </w:tbl>
    <w:p w14:paraId="545A9044">
      <w:r>
        <w:br w:type="page"/>
      </w:r>
    </w:p>
    <w:p w14:paraId="5F37D82A">
      <w:pPr>
        <w:spacing w:line="640" w:lineRule="exact"/>
        <w:ind w:firstLine="640"/>
        <w:jc w:val="both"/>
        <w:outlineLvl w:val="2"/>
      </w:pPr>
      <w:r>
        <w:rPr>
          <w:rFonts w:ascii="黑体" w:hAnsi="黑体" w:eastAsia="黑体"/>
          <w:sz w:val="32"/>
        </w:rPr>
        <w:t>十二、其他需说明的事项</w:t>
      </w:r>
    </w:p>
    <w:p w14:paraId="26C4EFE2">
      <w:pPr>
        <w:spacing w:line="580" w:lineRule="exact"/>
        <w:ind w:firstLine="640"/>
        <w:jc w:val="both"/>
      </w:pPr>
      <w:r>
        <w:rPr>
          <w:rFonts w:ascii="仿宋_GB2312" w:hAnsi="仿宋_GB2312" w:eastAsia="仿宋_GB2312"/>
          <w:b w:val="0"/>
          <w:sz w:val="32"/>
        </w:rPr>
        <w:t>本单位无其他需说明的事项。</w:t>
      </w:r>
    </w:p>
    <w:p w14:paraId="152534C8">
      <w:r>
        <w:br w:type="page"/>
      </w:r>
    </w:p>
    <w:p w14:paraId="441D59E8">
      <w:pPr>
        <w:spacing w:line="240" w:lineRule="auto"/>
        <w:jc w:val="center"/>
        <w:outlineLvl w:val="1"/>
      </w:pPr>
      <w:r>
        <w:rPr>
          <w:rFonts w:ascii="黑体" w:hAnsi="黑体" w:eastAsia="黑体"/>
          <w:sz w:val="32"/>
        </w:rPr>
        <w:t>第三部分 专业名词解释</w:t>
      </w:r>
    </w:p>
    <w:p w14:paraId="78CA75B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BCDDD6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2BE569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3745EB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864E32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811F37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31D243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8940C1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55B93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31F1E2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EF22E4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2FD65B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78F376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C6DC00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9CC9240">
      <w:r>
        <w:br w:type="page"/>
      </w:r>
    </w:p>
    <w:p w14:paraId="106E6942">
      <w:pPr>
        <w:spacing w:line="240" w:lineRule="auto"/>
        <w:jc w:val="center"/>
        <w:outlineLvl w:val="1"/>
      </w:pPr>
      <w:r>
        <w:rPr>
          <w:rFonts w:ascii="黑体" w:hAnsi="黑体" w:eastAsia="黑体"/>
          <w:sz w:val="32"/>
        </w:rPr>
        <w:t>第四部分 部门决算报表（见附表）</w:t>
      </w:r>
    </w:p>
    <w:p w14:paraId="56A910A1">
      <w:pPr>
        <w:spacing w:line="240" w:lineRule="auto"/>
        <w:ind w:firstLine="640"/>
        <w:jc w:val="both"/>
      </w:pPr>
      <w:r>
        <w:rPr>
          <w:rFonts w:ascii="仿宋_GB2312" w:hAnsi="仿宋_GB2312" w:eastAsia="仿宋_GB2312"/>
          <w:b w:val="0"/>
          <w:sz w:val="32"/>
        </w:rPr>
        <w:t>一、《收入支出决算总表》</w:t>
      </w:r>
    </w:p>
    <w:p w14:paraId="6BC68C12">
      <w:pPr>
        <w:spacing w:line="240" w:lineRule="auto"/>
        <w:ind w:firstLine="640"/>
        <w:jc w:val="both"/>
      </w:pPr>
      <w:r>
        <w:rPr>
          <w:rFonts w:ascii="仿宋_GB2312" w:hAnsi="仿宋_GB2312" w:eastAsia="仿宋_GB2312"/>
          <w:b w:val="0"/>
          <w:sz w:val="32"/>
        </w:rPr>
        <w:t>二、《收入决算表》</w:t>
      </w:r>
    </w:p>
    <w:p w14:paraId="4E7E15EB">
      <w:pPr>
        <w:spacing w:line="240" w:lineRule="auto"/>
        <w:ind w:firstLine="640"/>
        <w:jc w:val="both"/>
      </w:pPr>
      <w:r>
        <w:rPr>
          <w:rFonts w:ascii="仿宋_GB2312" w:hAnsi="仿宋_GB2312" w:eastAsia="仿宋_GB2312"/>
          <w:b w:val="0"/>
          <w:sz w:val="32"/>
        </w:rPr>
        <w:t>三、《支出决算表》</w:t>
      </w:r>
    </w:p>
    <w:p w14:paraId="50682CE9">
      <w:pPr>
        <w:spacing w:line="240" w:lineRule="auto"/>
        <w:ind w:firstLine="640"/>
        <w:jc w:val="both"/>
      </w:pPr>
      <w:r>
        <w:rPr>
          <w:rFonts w:ascii="仿宋_GB2312" w:hAnsi="仿宋_GB2312" w:eastAsia="仿宋_GB2312"/>
          <w:b w:val="0"/>
          <w:sz w:val="32"/>
        </w:rPr>
        <w:t>四、《财政拨款收入支出决算总表》</w:t>
      </w:r>
    </w:p>
    <w:p w14:paraId="10FC9BD9">
      <w:pPr>
        <w:spacing w:line="240" w:lineRule="auto"/>
        <w:ind w:firstLine="640"/>
        <w:jc w:val="both"/>
      </w:pPr>
      <w:r>
        <w:rPr>
          <w:rFonts w:ascii="仿宋_GB2312" w:hAnsi="仿宋_GB2312" w:eastAsia="仿宋_GB2312"/>
          <w:b w:val="0"/>
          <w:sz w:val="32"/>
        </w:rPr>
        <w:t>五、《一般公共预算财政拨款支出决算表》</w:t>
      </w:r>
    </w:p>
    <w:p w14:paraId="339BFCE8">
      <w:pPr>
        <w:spacing w:line="240" w:lineRule="auto"/>
        <w:ind w:firstLine="640"/>
        <w:jc w:val="both"/>
      </w:pPr>
      <w:r>
        <w:rPr>
          <w:rFonts w:ascii="仿宋_GB2312" w:hAnsi="仿宋_GB2312" w:eastAsia="仿宋_GB2312"/>
          <w:b w:val="0"/>
          <w:sz w:val="32"/>
        </w:rPr>
        <w:t>六、《一般公共预算财政拨款基本支出决算表》</w:t>
      </w:r>
    </w:p>
    <w:p w14:paraId="16D4B5CF">
      <w:pPr>
        <w:spacing w:line="240" w:lineRule="auto"/>
        <w:ind w:firstLine="640"/>
        <w:jc w:val="both"/>
      </w:pPr>
      <w:r>
        <w:rPr>
          <w:rFonts w:ascii="仿宋_GB2312" w:hAnsi="仿宋_GB2312" w:eastAsia="仿宋_GB2312"/>
          <w:b w:val="0"/>
          <w:sz w:val="32"/>
        </w:rPr>
        <w:t>七、《政府性基金预算财政拨款收入支出决算表》</w:t>
      </w:r>
    </w:p>
    <w:p w14:paraId="605DC82A">
      <w:pPr>
        <w:spacing w:line="240" w:lineRule="auto"/>
        <w:ind w:firstLine="640"/>
        <w:jc w:val="both"/>
      </w:pPr>
      <w:r>
        <w:rPr>
          <w:rFonts w:ascii="仿宋_GB2312" w:hAnsi="仿宋_GB2312" w:eastAsia="仿宋_GB2312"/>
          <w:b w:val="0"/>
          <w:sz w:val="32"/>
        </w:rPr>
        <w:t>八、《国有资本经营预算财政拨款收入支出决算表》</w:t>
      </w:r>
    </w:p>
    <w:p w14:paraId="69BBD5CA">
      <w:pPr>
        <w:spacing w:line="240" w:lineRule="auto"/>
        <w:ind w:firstLine="640"/>
        <w:jc w:val="both"/>
      </w:pPr>
      <w:r>
        <w:rPr>
          <w:rFonts w:ascii="仿宋_GB2312" w:hAnsi="仿宋_GB2312" w:eastAsia="仿宋_GB2312"/>
          <w:b w:val="0"/>
          <w:sz w:val="32"/>
        </w:rPr>
        <w:t>九、《财政拨款“三公”经费支出决算表》</w:t>
      </w:r>
    </w:p>
    <w:p w14:paraId="13CC21DD">
      <w:pPr>
        <w:spacing w:line="240" w:lineRule="auto"/>
        <w:ind w:firstLine="640"/>
        <w:jc w:val="both"/>
      </w:pPr>
    </w:p>
    <w:p w14:paraId="4AB084CE">
      <w:pPr>
        <w:spacing w:line="240" w:lineRule="auto"/>
        <w:ind w:firstLine="640"/>
        <w:jc w:val="both"/>
      </w:pPr>
    </w:p>
    <w:p w14:paraId="316A8D1B">
      <w:pPr>
        <w:spacing w:line="240" w:lineRule="auto"/>
        <w:ind w:firstLine="640"/>
        <w:jc w:val="both"/>
      </w:pPr>
    </w:p>
    <w:p w14:paraId="05E13DD3">
      <w:pPr>
        <w:spacing w:line="240" w:lineRule="auto"/>
        <w:ind w:firstLine="640"/>
        <w:jc w:val="both"/>
      </w:pPr>
    </w:p>
    <w:p w14:paraId="0C0A0E4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36BB5D2-308F-4519-9AFA-F6C62EE54C5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B1481E4-9618-4D23-A8B1-AE618DBC39F8}"/>
  </w:font>
  <w:font w:name="仿宋_GB2312">
    <w:panose1 w:val="02010609030101010101"/>
    <w:charset w:val="86"/>
    <w:family w:val="modern"/>
    <w:pitch w:val="default"/>
    <w:sig w:usb0="00000001" w:usb1="080E0000" w:usb2="00000000" w:usb3="00000000" w:csb0="00040000" w:csb1="00000000"/>
    <w:embedRegular r:id="rId3" w:fontKey="{856C0063-563D-4AFC-925A-BB58322D8E18}"/>
  </w:font>
  <w:font w:name="楷体_GB2312">
    <w:panose1 w:val="02010609030101010101"/>
    <w:charset w:val="86"/>
    <w:family w:val="auto"/>
    <w:pitch w:val="default"/>
    <w:sig w:usb0="00000001" w:usb1="080E0000" w:usb2="00000000" w:usb3="00000000" w:csb0="00040000" w:csb1="00000000"/>
    <w:embedRegular r:id="rId4" w:fontKey="{22EE7816-9041-4C64-8B1B-183074292AB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A371A8"/>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34094"/>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4631</Words>
  <Characters>5225</Characters>
  <Lines>0</Lines>
  <Paragraphs>0</Paragraphs>
  <TotalTime>2</TotalTime>
  <ScaleCrop>false</ScaleCrop>
  <LinksUpToDate>false</LinksUpToDate>
  <CharactersWithSpaces>5233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2025-09-02T04:57:05Z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