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中共克孜勒苏柯尔克孜自治州委员会网络安全和信息化委员会办公室2024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553C02F">
      <w:r>
        <w:br w:type="page"/>
      </w:r>
    </w:p>
    <w:p w14:paraId="3019BCD3">
      <w:pPr>
        <w:spacing w:line="640" w:lineRule="exact"/>
        <w:jc w:val="center"/>
        <w:outlineLvl w:val="1"/>
      </w:pPr>
      <w:r>
        <w:rPr>
          <w:rFonts w:ascii="黑体" w:hAnsi="黑体" w:eastAsia="黑体"/>
          <w:sz w:val="32"/>
        </w:rPr>
        <w:t>第一部分 单位概况</w:t>
      </w:r>
    </w:p>
    <w:p w14:paraId="6A84AE1B">
      <w:pPr>
        <w:spacing w:line="640" w:lineRule="exact"/>
        <w:ind w:firstLine="640"/>
        <w:jc w:val="both"/>
        <w:outlineLvl w:val="2"/>
      </w:pPr>
      <w:r>
        <w:rPr>
          <w:rFonts w:ascii="黑体" w:hAnsi="黑体" w:eastAsia="黑体"/>
          <w:sz w:val="32"/>
        </w:rPr>
        <w:t>一、主要职能</w:t>
      </w:r>
    </w:p>
    <w:p w14:paraId="70F3DF17">
      <w:pPr>
        <w:spacing w:line="580" w:lineRule="exact"/>
        <w:ind w:firstLine="640"/>
        <w:jc w:val="both"/>
      </w:pPr>
      <w:r>
        <w:rPr>
          <w:rFonts w:ascii="仿宋_GB2312" w:hAnsi="仿宋_GB2312" w:eastAsia="仿宋_GB2312"/>
          <w:sz w:val="32"/>
        </w:rPr>
        <w:t>承担中共克孜勒苏柯尔克孜自治州委员会网络安全和信息化委员会日常事务工作，协调督促有关方面落实委员会的决定事项、工作部署和要求；贯彻中央、自治区、自治州党委关于网络安全和信息化体系建设工作的方针政策和决策部署；研究拟定全州网络安全和信息化发展规划和年度计划并负责组织实施。完成自治州党委、自治州人民政府和自治州党委网络安全和信息化委员会交办的其他事项。</w:t>
      </w:r>
    </w:p>
    <w:p w14:paraId="091EF8E0">
      <w:pPr>
        <w:spacing w:line="640" w:lineRule="exact"/>
        <w:ind w:firstLine="640"/>
        <w:jc w:val="both"/>
        <w:outlineLvl w:val="2"/>
      </w:pPr>
      <w:r>
        <w:rPr>
          <w:rFonts w:ascii="黑体" w:hAnsi="黑体" w:eastAsia="黑体"/>
          <w:sz w:val="32"/>
        </w:rPr>
        <w:t>二、机构设置及人员情况</w:t>
      </w:r>
    </w:p>
    <w:p w14:paraId="1EAFBB1A">
      <w:pPr>
        <w:spacing w:line="580" w:lineRule="exact"/>
        <w:ind w:firstLine="640"/>
        <w:jc w:val="both"/>
      </w:pPr>
      <w:r>
        <w:rPr>
          <w:rFonts w:ascii="仿宋_GB2312" w:hAnsi="仿宋_GB2312" w:eastAsia="仿宋_GB2312"/>
          <w:sz w:val="32"/>
        </w:rPr>
        <w:t>中共克孜勒苏柯尔克孜自治州委员会网络安全和信息化委员会办公室2024年度，实有人数38人，其中：在职人员37人，增加1人；离休人员0人，增加0人；退休人员1人,增加1人。</w:t>
      </w:r>
    </w:p>
    <w:p w14:paraId="1EC05A67">
      <w:pPr>
        <w:spacing w:line="580" w:lineRule="exact"/>
        <w:ind w:firstLine="640"/>
        <w:jc w:val="both"/>
      </w:pPr>
      <w:r>
        <w:rPr>
          <w:rFonts w:ascii="仿宋_GB2312" w:hAnsi="仿宋_GB2312" w:eastAsia="仿宋_GB2312"/>
          <w:sz w:val="32"/>
        </w:rPr>
        <w:t>中共克孜勒苏柯尔克孜自治州委员会网络安全和信息化委员会办公室无下属预算单位，下设9个科室，分别是：综合科、党建科、网络传播和网络社会工作科、信息化发展和网信军民融合科、网络法治科和网络安全协调科、网络综合治理和网络舆情管理科、网评作战中心、网络举报中心、指挥中心。</w:t>
      </w:r>
    </w:p>
    <w:p w14:paraId="4AAAFC61">
      <w:r>
        <w:br w:type="page"/>
      </w:r>
    </w:p>
    <w:p w14:paraId="178E087D">
      <w:pPr>
        <w:spacing w:line="240" w:lineRule="auto"/>
        <w:jc w:val="center"/>
        <w:outlineLvl w:val="1"/>
      </w:pPr>
      <w:r>
        <w:rPr>
          <w:rFonts w:ascii="黑体" w:hAnsi="黑体" w:eastAsia="黑体"/>
          <w:sz w:val="32"/>
        </w:rPr>
        <w:t>第二部分 部门决算情况说明</w:t>
      </w:r>
    </w:p>
    <w:p w14:paraId="717ED3CE">
      <w:pPr>
        <w:spacing w:line="640" w:lineRule="exact"/>
        <w:ind w:firstLine="640"/>
        <w:jc w:val="both"/>
        <w:outlineLvl w:val="2"/>
      </w:pPr>
      <w:r>
        <w:rPr>
          <w:rFonts w:ascii="黑体" w:hAnsi="黑体" w:eastAsia="黑体"/>
          <w:sz w:val="32"/>
        </w:rPr>
        <w:t>一、收入支出决算总体情况说明</w:t>
      </w:r>
    </w:p>
    <w:p w14:paraId="5D57EABC">
      <w:pPr>
        <w:spacing w:line="580" w:lineRule="exact"/>
        <w:ind w:firstLine="640"/>
        <w:jc w:val="both"/>
      </w:pPr>
      <w:r>
        <w:rPr>
          <w:rFonts w:ascii="仿宋_GB2312" w:hAnsi="仿宋_GB2312" w:eastAsia="仿宋_GB2312"/>
          <w:b/>
          <w:sz w:val="32"/>
        </w:rPr>
        <w:t>2024年度收入总计859.31万元，</w:t>
      </w:r>
      <w:r>
        <w:rPr>
          <w:rFonts w:ascii="仿宋_GB2312" w:hAnsi="仿宋_GB2312" w:eastAsia="仿宋_GB2312"/>
          <w:b w:val="0"/>
          <w:sz w:val="32"/>
        </w:rPr>
        <w:t>其中：本年收入合计859.31万元，使用非财政拨款结余（含专用结余）0.00万元，年初结转和结余0.00万元。</w:t>
      </w:r>
    </w:p>
    <w:p w14:paraId="00511B1A">
      <w:pPr>
        <w:spacing w:line="580" w:lineRule="exact"/>
        <w:ind w:firstLine="640"/>
        <w:jc w:val="both"/>
      </w:pPr>
      <w:r>
        <w:rPr>
          <w:rFonts w:ascii="仿宋_GB2312" w:hAnsi="仿宋_GB2312" w:eastAsia="仿宋_GB2312"/>
          <w:b/>
          <w:sz w:val="32"/>
        </w:rPr>
        <w:t>2024年度支出总计859.31万元，</w:t>
      </w:r>
      <w:r>
        <w:rPr>
          <w:rFonts w:ascii="仿宋_GB2312" w:hAnsi="仿宋_GB2312" w:eastAsia="仿宋_GB2312"/>
          <w:b w:val="0"/>
          <w:sz w:val="32"/>
        </w:rPr>
        <w:t>其中：本年支出合计859.31万元，结余分配0.00万元，年末结转和结余0.00万元。</w:t>
      </w:r>
    </w:p>
    <w:p w14:paraId="1F463C4C">
      <w:pPr>
        <w:spacing w:line="580" w:lineRule="exact"/>
        <w:ind w:firstLine="640"/>
        <w:jc w:val="both"/>
      </w:pPr>
      <w:r>
        <w:rPr>
          <w:rFonts w:ascii="仿宋_GB2312" w:hAnsi="仿宋_GB2312" w:eastAsia="仿宋_GB2312"/>
          <w:b w:val="0"/>
          <w:sz w:val="32"/>
        </w:rPr>
        <w:t>收入支出总体与上年相比，增加15.52万元，增长1.84%，主要原因是：本年在职人员工资调增，社保、公积金基数调增，人员经费增加；增加网络安全和信息化专项经费。</w:t>
      </w:r>
    </w:p>
    <w:p w14:paraId="49A19ECB">
      <w:pPr>
        <w:spacing w:line="640" w:lineRule="exact"/>
        <w:ind w:firstLine="640"/>
        <w:jc w:val="both"/>
        <w:outlineLvl w:val="2"/>
      </w:pPr>
      <w:r>
        <w:rPr>
          <w:rFonts w:ascii="黑体" w:hAnsi="黑体" w:eastAsia="黑体"/>
          <w:sz w:val="32"/>
        </w:rPr>
        <w:t>二、收入决算情况说明</w:t>
      </w:r>
    </w:p>
    <w:p w14:paraId="2CFED297">
      <w:pPr>
        <w:spacing w:line="580" w:lineRule="exact"/>
        <w:ind w:firstLine="640"/>
        <w:jc w:val="both"/>
      </w:pPr>
      <w:r>
        <w:rPr>
          <w:rFonts w:ascii="仿宋_GB2312" w:hAnsi="仿宋_GB2312" w:eastAsia="仿宋_GB2312"/>
          <w:b/>
          <w:sz w:val="32"/>
        </w:rPr>
        <w:t>本年收入859.31万元，</w:t>
      </w:r>
      <w:r>
        <w:rPr>
          <w:rFonts w:ascii="仿宋_GB2312" w:hAnsi="仿宋_GB2312" w:eastAsia="仿宋_GB2312"/>
          <w:b w:val="0"/>
          <w:sz w:val="32"/>
        </w:rPr>
        <w:t>其中：财政拨款收入858.41万元，占99.90%；上级补助收入0.00万元，占0.00%；事业收入0.00万元，占0.00%；经营收入0.00万元，占0.00%；附属单位上缴收入0.00万元，占0.00%；其他收入0.90万元，占0.10%。</w:t>
      </w:r>
    </w:p>
    <w:p w14:paraId="670ED402">
      <w:pPr>
        <w:spacing w:line="640" w:lineRule="exact"/>
        <w:ind w:firstLine="640"/>
        <w:jc w:val="both"/>
        <w:outlineLvl w:val="2"/>
      </w:pPr>
      <w:r>
        <w:rPr>
          <w:rFonts w:ascii="黑体" w:hAnsi="黑体" w:eastAsia="黑体"/>
          <w:sz w:val="32"/>
        </w:rPr>
        <w:t>三、支出决算情况说明</w:t>
      </w:r>
    </w:p>
    <w:p w14:paraId="045732C5">
      <w:pPr>
        <w:spacing w:line="580" w:lineRule="exact"/>
        <w:ind w:firstLine="640"/>
        <w:jc w:val="both"/>
      </w:pPr>
      <w:r>
        <w:rPr>
          <w:rFonts w:ascii="仿宋_GB2312" w:hAnsi="仿宋_GB2312" w:eastAsia="仿宋_GB2312"/>
          <w:b/>
          <w:sz w:val="32"/>
        </w:rPr>
        <w:t>本年支出859.31万元，</w:t>
      </w:r>
      <w:r>
        <w:rPr>
          <w:rFonts w:ascii="仿宋_GB2312" w:hAnsi="仿宋_GB2312" w:eastAsia="仿宋_GB2312"/>
          <w:b w:val="0"/>
          <w:sz w:val="32"/>
        </w:rPr>
        <w:t>其中：基本支出700.41万元，占81.51%；项目支出158.90万元，占18.49%；上缴上级支出0.00万元，占0.00%；经营支出0.00万元，占0.00%；对附属单位补助支出0.00万元，占0.00%。</w:t>
      </w:r>
    </w:p>
    <w:p w14:paraId="09189AA7">
      <w:pPr>
        <w:spacing w:line="640" w:lineRule="exact"/>
        <w:ind w:firstLine="640"/>
        <w:jc w:val="both"/>
        <w:outlineLvl w:val="2"/>
      </w:pPr>
      <w:r>
        <w:rPr>
          <w:rFonts w:ascii="黑体" w:hAnsi="黑体" w:eastAsia="黑体"/>
          <w:sz w:val="32"/>
        </w:rPr>
        <w:t>四、财政拨款收入支出决算总体情况说明</w:t>
      </w:r>
    </w:p>
    <w:p w14:paraId="07466298">
      <w:pPr>
        <w:spacing w:line="580" w:lineRule="exact"/>
        <w:ind w:firstLine="640"/>
        <w:jc w:val="both"/>
      </w:pPr>
      <w:r>
        <w:rPr>
          <w:rFonts w:ascii="仿宋_GB2312" w:hAnsi="仿宋_GB2312" w:eastAsia="仿宋_GB2312"/>
          <w:b/>
          <w:sz w:val="32"/>
        </w:rPr>
        <w:t>2024年度财政拨款收入总计858.41万元，</w:t>
      </w:r>
      <w:r>
        <w:rPr>
          <w:rFonts w:ascii="仿宋_GB2312" w:hAnsi="仿宋_GB2312" w:eastAsia="仿宋_GB2312"/>
          <w:b w:val="0"/>
          <w:sz w:val="32"/>
        </w:rPr>
        <w:t>其中：年初财政拨款结转和结余0.00万元，本年财政拨款收入858.41万元。</w:t>
      </w:r>
      <w:r>
        <w:rPr>
          <w:rFonts w:ascii="仿宋_GB2312" w:hAnsi="仿宋_GB2312" w:eastAsia="仿宋_GB2312"/>
          <w:b/>
          <w:sz w:val="32"/>
        </w:rPr>
        <w:t>财政拨款支出总计858.41万元，</w:t>
      </w:r>
      <w:r>
        <w:rPr>
          <w:rFonts w:ascii="仿宋_GB2312" w:hAnsi="仿宋_GB2312" w:eastAsia="仿宋_GB2312"/>
          <w:b w:val="0"/>
          <w:sz w:val="32"/>
        </w:rPr>
        <w:t>其中：年末财政拨款结转和结余0.00万元，本年财政拨款支出858.41万元。</w:t>
      </w:r>
    </w:p>
    <w:p w14:paraId="0F7F17F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增加14.62万元，增长1.73%，主要原因是：本年在职人员工资调增，社保、公积金基数调增，人员经费增加；增加网络安全和信息化专项经费。</w:t>
      </w:r>
      <w:r>
        <w:rPr>
          <w:rFonts w:ascii="仿宋_GB2312" w:hAnsi="仿宋_GB2312" w:eastAsia="仿宋_GB2312"/>
          <w:b/>
          <w:sz w:val="32"/>
        </w:rPr>
        <w:t>与年初预算相比，</w:t>
      </w:r>
      <w:r>
        <w:rPr>
          <w:rFonts w:ascii="仿宋_GB2312" w:hAnsi="仿宋_GB2312" w:eastAsia="仿宋_GB2312"/>
          <w:b w:val="0"/>
          <w:sz w:val="32"/>
        </w:rPr>
        <w:t>年初预算数785.60万元，决算数858.41万元，预决算差异率9.27%，主要原因是：年中追加人员工资、社保、公积金基数调增部分资金及网络安全和信息化专项经费，导致预决算存在差异。</w:t>
      </w:r>
    </w:p>
    <w:p w14:paraId="1321F442">
      <w:pPr>
        <w:spacing w:line="640" w:lineRule="exact"/>
        <w:ind w:firstLine="640"/>
        <w:jc w:val="both"/>
        <w:outlineLvl w:val="2"/>
      </w:pPr>
      <w:r>
        <w:rPr>
          <w:rFonts w:ascii="黑体" w:hAnsi="黑体" w:eastAsia="黑体"/>
          <w:sz w:val="32"/>
        </w:rPr>
        <w:t>五、一般公共预算财政拨款支出决算情况说明</w:t>
      </w:r>
    </w:p>
    <w:p w14:paraId="733FE9DC">
      <w:pPr>
        <w:spacing w:line="640" w:lineRule="exact"/>
        <w:ind w:firstLine="640"/>
        <w:jc w:val="both"/>
        <w:outlineLvl w:val="3"/>
      </w:pPr>
      <w:r>
        <w:rPr>
          <w:rFonts w:ascii="楷体_GB2312" w:hAnsi="楷体_GB2312" w:eastAsia="楷体_GB2312"/>
          <w:b/>
          <w:sz w:val="32"/>
        </w:rPr>
        <w:t>（一）一般公共预算财政拨款支出决算总体情况</w:t>
      </w:r>
    </w:p>
    <w:p w14:paraId="2065A94F">
      <w:pPr>
        <w:spacing w:line="580" w:lineRule="exact"/>
        <w:ind w:firstLine="640"/>
        <w:jc w:val="both"/>
      </w:pPr>
      <w:r>
        <w:rPr>
          <w:rFonts w:ascii="仿宋_GB2312" w:hAnsi="仿宋_GB2312" w:eastAsia="仿宋_GB2312"/>
          <w:b/>
          <w:sz w:val="32"/>
        </w:rPr>
        <w:t>2024年度一般公共预算财政拨款支出858.41万元，</w:t>
      </w:r>
      <w:r>
        <w:rPr>
          <w:rFonts w:ascii="仿宋_GB2312" w:hAnsi="仿宋_GB2312" w:eastAsia="仿宋_GB2312"/>
          <w:b w:val="0"/>
          <w:sz w:val="32"/>
        </w:rPr>
        <w:t>占本年支出合计的99.90%。</w:t>
      </w:r>
      <w:r>
        <w:rPr>
          <w:rFonts w:ascii="仿宋_GB2312" w:hAnsi="仿宋_GB2312" w:eastAsia="仿宋_GB2312"/>
          <w:b/>
          <w:sz w:val="32"/>
        </w:rPr>
        <w:t>与上年相比，</w:t>
      </w:r>
      <w:r>
        <w:rPr>
          <w:rFonts w:ascii="仿宋_GB2312" w:hAnsi="仿宋_GB2312" w:eastAsia="仿宋_GB2312"/>
          <w:b w:val="0"/>
          <w:sz w:val="32"/>
        </w:rPr>
        <w:t>增加14.62万元，增长1.73%，主要原因是：本年在职人员工资调增，社保、公积金基数调增，人员经费增加；增加网络安全和信息化专项经费。</w:t>
      </w:r>
      <w:r>
        <w:rPr>
          <w:rFonts w:ascii="仿宋_GB2312" w:hAnsi="仿宋_GB2312" w:eastAsia="仿宋_GB2312"/>
          <w:b/>
          <w:sz w:val="32"/>
        </w:rPr>
        <w:t>与年初预算相比,</w:t>
      </w:r>
      <w:r>
        <w:rPr>
          <w:rFonts w:ascii="仿宋_GB2312" w:hAnsi="仿宋_GB2312" w:eastAsia="仿宋_GB2312"/>
          <w:b w:val="0"/>
          <w:sz w:val="32"/>
        </w:rPr>
        <w:t>年初预算数785.60万元，决算数858.41万元，预决算差异率9.27%，主要原因是：年中追加人员工资、社保、公积金基数调增部分资金及网络安全和信息化专项经费，导致预决算存在差异。</w:t>
      </w:r>
    </w:p>
    <w:p w14:paraId="0278AD6F">
      <w:pPr>
        <w:spacing w:line="640" w:lineRule="exact"/>
        <w:ind w:firstLine="640"/>
        <w:jc w:val="both"/>
        <w:outlineLvl w:val="3"/>
      </w:pPr>
      <w:r>
        <w:rPr>
          <w:rFonts w:ascii="楷体_GB2312" w:hAnsi="楷体_GB2312" w:eastAsia="楷体_GB2312"/>
          <w:b/>
          <w:sz w:val="32"/>
        </w:rPr>
        <w:t>（二）一般公共预算财政拨款支出决算结构情况</w:t>
      </w:r>
    </w:p>
    <w:p w14:paraId="774E34DD">
      <w:pPr>
        <w:spacing w:line="580" w:lineRule="exact"/>
        <w:ind w:firstLine="640"/>
        <w:jc w:val="both"/>
      </w:pPr>
      <w:r>
        <w:rPr>
          <w:rFonts w:ascii="仿宋_GB2312" w:hAnsi="仿宋_GB2312" w:eastAsia="仿宋_GB2312"/>
          <w:b w:val="0"/>
          <w:sz w:val="32"/>
        </w:rPr>
        <w:t>1.一般公共服务支出(类)783.20万元,占91.24%。</w:t>
      </w:r>
    </w:p>
    <w:p w14:paraId="5BB9B3ED">
      <w:pPr>
        <w:spacing w:line="580" w:lineRule="exact"/>
        <w:ind w:firstLine="640"/>
        <w:jc w:val="both"/>
      </w:pPr>
      <w:r>
        <w:rPr>
          <w:rFonts w:ascii="仿宋_GB2312" w:hAnsi="仿宋_GB2312" w:eastAsia="仿宋_GB2312"/>
          <w:b w:val="0"/>
          <w:sz w:val="32"/>
        </w:rPr>
        <w:t>2.社会保障和就业支出(类)75.20万元,占8.76%。</w:t>
      </w:r>
    </w:p>
    <w:p w14:paraId="3FA37B8D">
      <w:pPr>
        <w:spacing w:line="640" w:lineRule="exact"/>
        <w:ind w:firstLine="640"/>
        <w:jc w:val="both"/>
        <w:outlineLvl w:val="3"/>
      </w:pPr>
      <w:r>
        <w:rPr>
          <w:rFonts w:ascii="楷体_GB2312" w:hAnsi="楷体_GB2312" w:eastAsia="楷体_GB2312"/>
          <w:b/>
          <w:sz w:val="32"/>
        </w:rPr>
        <w:t>（三）一般公共预算财政拨款支出决算具体情况</w:t>
      </w:r>
    </w:p>
    <w:p w14:paraId="23C9593C">
      <w:pPr>
        <w:spacing w:line="580" w:lineRule="exact"/>
        <w:ind w:firstLine="640"/>
        <w:jc w:val="both"/>
      </w:pPr>
      <w:r>
        <w:rPr>
          <w:rFonts w:ascii="仿宋_GB2312" w:hAnsi="仿宋_GB2312" w:eastAsia="仿宋_GB2312"/>
          <w:b w:val="0"/>
          <w:sz w:val="32"/>
        </w:rPr>
        <w:t>1.一般公共服务支出(类)网信事务(款)行政运行(项):支出决算数为310.75万元，比上年决算减少1.74万元，下降0.56%,主要原因是：本年人员变动，基数不同，导致人员经费减少。</w:t>
      </w:r>
    </w:p>
    <w:p w14:paraId="173B3F9F">
      <w:pPr>
        <w:spacing w:line="580" w:lineRule="exact"/>
        <w:ind w:firstLine="640"/>
        <w:jc w:val="both"/>
      </w:pPr>
      <w:r>
        <w:rPr>
          <w:rFonts w:ascii="仿宋_GB2312" w:hAnsi="仿宋_GB2312" w:eastAsia="仿宋_GB2312"/>
          <w:b w:val="0"/>
          <w:sz w:val="32"/>
        </w:rPr>
        <w:t>2.一般公共服务支出(类)网信事务(款)事业运行(项):支出决算数为313.55万元，比上年决算增加8.67万元，增长2.84%,主要原因是：本年在职人员工资调增，导致相关人员经费较上年有所增加。</w:t>
      </w:r>
    </w:p>
    <w:p w14:paraId="5E24C8B0">
      <w:pPr>
        <w:spacing w:line="580" w:lineRule="exact"/>
        <w:ind w:firstLine="640"/>
        <w:jc w:val="both"/>
      </w:pPr>
      <w:r>
        <w:rPr>
          <w:rFonts w:ascii="仿宋_GB2312" w:hAnsi="仿宋_GB2312" w:eastAsia="仿宋_GB2312"/>
          <w:b w:val="0"/>
          <w:sz w:val="32"/>
        </w:rPr>
        <w:t>3.一般公共服务支出(类)网信事务(款)其他网信事务支出(项):支出决算数为158.90万元，比上年决算增加3.14万元，增长2.02%,主要原因是：本年增加网络安全和信息化专项经费项目。</w:t>
      </w:r>
    </w:p>
    <w:p w14:paraId="48DBEB9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4.社会保障和就业支出(类)行政事业单位养老支出(款)行政单位离退休(项):支出决算数为0.56万元，比上年决算增加0.56万元，增长100.00%,主要原因是：本年退休人员增加，退休费支出增加。</w:t>
      </w:r>
    </w:p>
    <w:p w14:paraId="3461AC9A">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65.17万元，比上年决算增加3.79万元，增长6.17%,主要原因是：本年在职人员工资基数调增，养老缴费基数上涨，相应支出增加。</w:t>
      </w:r>
    </w:p>
    <w:p w14:paraId="3E7385BB">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6.社会保障和就业支出(类)行政事业单位养老支出(款)机关事业单位职业年金缴费支出(项):支出决算数为9.47万元，比上年决算增加0.20万元，增长2.16%,主要原因是：本年新增退休人员，职业年金缴费支出增加。</w:t>
      </w:r>
    </w:p>
    <w:p w14:paraId="340B2DD1">
      <w:pPr>
        <w:spacing w:line="640" w:lineRule="exact"/>
        <w:ind w:firstLine="640"/>
        <w:jc w:val="both"/>
        <w:outlineLvl w:val="2"/>
      </w:pPr>
      <w:r>
        <w:rPr>
          <w:rFonts w:ascii="黑体" w:hAnsi="黑体" w:eastAsia="黑体"/>
          <w:sz w:val="32"/>
        </w:rPr>
        <w:t>六、一般公共预算财政拨款基本支出决算情况说明</w:t>
      </w:r>
    </w:p>
    <w:p w14:paraId="538CC072">
      <w:pPr>
        <w:spacing w:line="580" w:lineRule="exact"/>
        <w:ind w:firstLine="640"/>
        <w:jc w:val="both"/>
      </w:pPr>
      <w:r>
        <w:rPr>
          <w:rFonts w:ascii="仿宋_GB2312" w:hAnsi="仿宋_GB2312" w:eastAsia="仿宋_GB2312"/>
          <w:b w:val="0"/>
          <w:sz w:val="32"/>
        </w:rPr>
        <w:t>2024年度一般公共预算财政拨款基本支出699.51万元，其中：</w:t>
      </w:r>
      <w:r>
        <w:rPr>
          <w:rFonts w:ascii="仿宋_GB2312" w:hAnsi="仿宋_GB2312" w:eastAsia="仿宋_GB2312"/>
          <w:b/>
          <w:sz w:val="32"/>
        </w:rPr>
        <w:t>人员经费667.45万元，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其他对个人和家庭的补助。</w:t>
      </w:r>
    </w:p>
    <w:p w14:paraId="0481C62E">
      <w:pPr>
        <w:spacing w:line="580" w:lineRule="exact"/>
        <w:ind w:firstLine="640"/>
        <w:jc w:val="both"/>
      </w:pPr>
      <w:r>
        <w:rPr>
          <w:rFonts w:ascii="仿宋_GB2312" w:hAnsi="仿宋_GB2312" w:eastAsia="仿宋_GB2312"/>
          <w:b/>
          <w:sz w:val="32"/>
        </w:rPr>
        <w:t>公用经费32.06万元，</w:t>
      </w:r>
      <w:r>
        <w:rPr>
          <w:rFonts w:ascii="仿宋_GB2312" w:hAnsi="仿宋_GB2312" w:eastAsia="仿宋_GB2312"/>
          <w:b w:val="0"/>
          <w:sz w:val="32"/>
        </w:rPr>
        <w:t>包括：办公费、印刷费、水费、电费、邮电费、取暖费、维修（护）费、工会经费、福利费、公务用车运行维护费、其他商品和服务支出。</w:t>
      </w:r>
    </w:p>
    <w:p w14:paraId="57104BDD">
      <w:pPr>
        <w:spacing w:line="640" w:lineRule="exact"/>
        <w:ind w:firstLine="640"/>
        <w:jc w:val="both"/>
        <w:outlineLvl w:val="2"/>
      </w:pPr>
      <w:r>
        <w:rPr>
          <w:rFonts w:ascii="黑体" w:hAnsi="黑体" w:eastAsia="黑体"/>
          <w:sz w:val="32"/>
        </w:rPr>
        <w:t>七、政府性基金预算财政拨款收入支出决算情况说明</w:t>
      </w:r>
    </w:p>
    <w:p w14:paraId="2398A51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D709F1F">
      <w:pPr>
        <w:spacing w:line="640" w:lineRule="exact"/>
        <w:ind w:firstLine="640"/>
        <w:jc w:val="both"/>
        <w:outlineLvl w:val="2"/>
      </w:pPr>
      <w:r>
        <w:rPr>
          <w:rFonts w:ascii="黑体" w:hAnsi="黑体" w:eastAsia="黑体"/>
          <w:sz w:val="32"/>
        </w:rPr>
        <w:t>八、国有资本经营预算财政拨款收入支出决算情况说明</w:t>
      </w:r>
    </w:p>
    <w:p w14:paraId="0AFE522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DC9755C">
      <w:pPr>
        <w:spacing w:line="640" w:lineRule="exact"/>
        <w:ind w:firstLine="640"/>
        <w:jc w:val="both"/>
        <w:outlineLvl w:val="2"/>
      </w:pPr>
      <w:r>
        <w:rPr>
          <w:rFonts w:ascii="黑体" w:hAnsi="黑体" w:eastAsia="黑体"/>
          <w:sz w:val="32"/>
        </w:rPr>
        <w:t>九、财政拨款“三公”经费支出决算情况说明</w:t>
      </w:r>
    </w:p>
    <w:p w14:paraId="2DEC95F0">
      <w:pPr>
        <w:spacing w:line="580" w:lineRule="exact"/>
        <w:ind w:firstLine="640"/>
        <w:jc w:val="both"/>
      </w:pPr>
      <w:r>
        <w:rPr>
          <w:rFonts w:ascii="仿宋_GB2312" w:hAnsi="仿宋_GB2312" w:eastAsia="仿宋_GB2312"/>
          <w:b/>
          <w:sz w:val="32"/>
        </w:rPr>
        <w:t>2024年度财政拨款“三公”经费支出2.82万元，</w:t>
      </w:r>
      <w:r>
        <w:rPr>
          <w:rFonts w:ascii="仿宋_GB2312" w:hAnsi="仿宋_GB2312" w:eastAsia="仿宋_GB2312"/>
          <w:b w:val="0"/>
          <w:sz w:val="32"/>
        </w:rPr>
        <w:t>比上年减少21.04万元，下降88.18%，主要原因是：本年未购入公务用车，公务用车购置费较上年减少。其中：因公出国（境）费支出0.00万元，占0.00%，比上年增加0.00万元，增长0.00%，主要原因是：2023年与2024年均未安排因公出国（境）费支出。公务用车购置及运行维护费支出2.70万元，占95.74%，比上年减少20.25万元，下降88.24%，主要原因是：本年未购入公务用车，公务用车购置费较上年减少。公务接待费支出0.12万元，占4.26%，比上年减少0.79万元，下降86.81%，主要原因是：严格落实中央八项规定精神，厉行节约，减少公务接待费。</w:t>
      </w:r>
    </w:p>
    <w:p w14:paraId="4D3788A8">
      <w:pPr>
        <w:spacing w:line="580" w:lineRule="exact"/>
        <w:ind w:firstLine="640"/>
        <w:jc w:val="both"/>
      </w:pPr>
      <w:r>
        <w:rPr>
          <w:rFonts w:ascii="仿宋_GB2312" w:hAnsi="仿宋_GB2312" w:eastAsia="仿宋_GB2312"/>
          <w:b/>
          <w:sz w:val="32"/>
        </w:rPr>
        <w:t>具体情况如下：</w:t>
      </w:r>
    </w:p>
    <w:p w14:paraId="603ABD5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6741201">
      <w:pPr>
        <w:spacing w:line="580" w:lineRule="exact"/>
        <w:ind w:firstLine="640"/>
        <w:jc w:val="both"/>
      </w:pPr>
      <w:r>
        <w:rPr>
          <w:rFonts w:ascii="仿宋_GB2312" w:hAnsi="仿宋_GB2312" w:eastAsia="仿宋_GB2312"/>
          <w:b w:val="0"/>
          <w:sz w:val="32"/>
        </w:rPr>
        <w:t>公务用车购置及运行维护费2.70万元，其中：公务用车购置费0.00万元，公务用车运行维护费2.70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708847C6">
      <w:pPr>
        <w:spacing w:line="580" w:lineRule="exact"/>
        <w:ind w:firstLine="640"/>
        <w:jc w:val="both"/>
      </w:pPr>
      <w:r>
        <w:rPr>
          <w:rFonts w:ascii="仿宋_GB2312" w:hAnsi="仿宋_GB2312" w:eastAsia="仿宋_GB2312"/>
          <w:b w:val="0"/>
          <w:sz w:val="32"/>
        </w:rPr>
        <w:t>公务接待费0.12万元，开支内容包括因自治区调研，接待上级领导检查产生的就餐费。单位全年安排的国内公务接待1批次，13人次。</w:t>
      </w:r>
    </w:p>
    <w:p w14:paraId="5600875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2.82万元，决算数2.82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2.70万元，决算数2.70万元，预决算差异率0.00%，主要原因是：严格按照预算执行，预决算无差异。公务接待费全年预算数0.12万元，决算数0.12万元，预决算差异率0.00%，主要原因是：严格按照预算执行，预决算无差异。</w:t>
      </w:r>
    </w:p>
    <w:p w14:paraId="64DA4857">
      <w:pPr>
        <w:spacing w:line="640" w:lineRule="exact"/>
        <w:ind w:firstLine="640"/>
        <w:jc w:val="both"/>
        <w:outlineLvl w:val="2"/>
      </w:pPr>
      <w:r>
        <w:rPr>
          <w:rFonts w:ascii="黑体" w:hAnsi="黑体" w:eastAsia="黑体"/>
          <w:sz w:val="32"/>
        </w:rPr>
        <w:t>十、其他重要事项的情况说明</w:t>
      </w:r>
    </w:p>
    <w:p w14:paraId="50723CD4">
      <w:pPr>
        <w:spacing w:line="640" w:lineRule="exact"/>
        <w:ind w:firstLine="640"/>
        <w:jc w:val="both"/>
        <w:outlineLvl w:val="3"/>
      </w:pPr>
      <w:r>
        <w:rPr>
          <w:rFonts w:ascii="楷体_GB2312" w:hAnsi="楷体_GB2312" w:eastAsia="楷体_GB2312"/>
          <w:b/>
          <w:sz w:val="32"/>
        </w:rPr>
        <w:t>（一）机关运行经费及公用经费支出情况</w:t>
      </w:r>
    </w:p>
    <w:p w14:paraId="091D0770">
      <w:pPr>
        <w:spacing w:line="580" w:lineRule="exact"/>
        <w:ind w:firstLine="640"/>
        <w:jc w:val="both"/>
      </w:pPr>
      <w:r>
        <w:rPr>
          <w:rFonts w:ascii="仿宋_GB2312" w:hAnsi="仿宋_GB2312" w:eastAsia="仿宋_GB2312"/>
          <w:b w:val="0"/>
          <w:sz w:val="32"/>
        </w:rPr>
        <w:t>2024年度中共克孜勒苏柯尔克孜自治州委员会网络安全和信息化委员会办公室（行政单位和参照公务员法管理事业单位）机关运行经费支出32.06万元，比上年减少2.12万元，下降6.20%，主要原因是：严控经费支出，厉行节约，减少经费支出。</w:t>
      </w:r>
    </w:p>
    <w:p w14:paraId="5B16406D">
      <w:pPr>
        <w:spacing w:line="640" w:lineRule="exact"/>
        <w:ind w:firstLine="640"/>
        <w:jc w:val="both"/>
        <w:outlineLvl w:val="3"/>
      </w:pPr>
      <w:r>
        <w:rPr>
          <w:rFonts w:ascii="楷体_GB2312" w:hAnsi="楷体_GB2312" w:eastAsia="楷体_GB2312"/>
          <w:b/>
          <w:sz w:val="32"/>
        </w:rPr>
        <w:t>（二）政府采购情况</w:t>
      </w:r>
    </w:p>
    <w:p w14:paraId="1983D2FE">
      <w:pPr>
        <w:spacing w:line="580" w:lineRule="exact"/>
        <w:ind w:firstLine="640"/>
        <w:jc w:val="both"/>
      </w:pPr>
      <w:r>
        <w:rPr>
          <w:rFonts w:ascii="仿宋_GB2312" w:hAnsi="仿宋_GB2312" w:eastAsia="仿宋_GB2312"/>
          <w:b w:val="0"/>
          <w:sz w:val="32"/>
        </w:rPr>
        <w:t>2024年度政府采购支出总额54.47万元，其中：政府采购货物支出11.60万元、政府采购工程支出0.57万元、政府采购服务支出42.31万元。</w:t>
      </w:r>
    </w:p>
    <w:p w14:paraId="3DA03D24">
      <w:pPr>
        <w:spacing w:line="580" w:lineRule="exact"/>
        <w:ind w:firstLine="640"/>
        <w:jc w:val="both"/>
      </w:pPr>
      <w:r>
        <w:rPr>
          <w:rFonts w:ascii="仿宋_GB2312" w:hAnsi="仿宋_GB2312" w:eastAsia="仿宋_GB2312"/>
          <w:b w:val="0"/>
          <w:sz w:val="32"/>
        </w:rPr>
        <w:t>授予中小企业合同金额51.69万元，占政府采购支出总额的94.90%，其中：授予小微企业合同金额22.52万元，占政府采购支出总额的41.34%。</w:t>
      </w:r>
    </w:p>
    <w:p w14:paraId="0365561E">
      <w:pPr>
        <w:spacing w:line="640" w:lineRule="exact"/>
        <w:ind w:firstLine="640"/>
        <w:jc w:val="both"/>
        <w:outlineLvl w:val="3"/>
      </w:pPr>
      <w:r>
        <w:rPr>
          <w:rFonts w:ascii="楷体_GB2312" w:hAnsi="楷体_GB2312" w:eastAsia="楷体_GB2312"/>
          <w:b/>
          <w:sz w:val="32"/>
        </w:rPr>
        <w:t>（三）国有资产占用情况说明</w:t>
      </w:r>
    </w:p>
    <w:p w14:paraId="5E8F113F">
      <w:pPr>
        <w:spacing w:line="580" w:lineRule="exact"/>
        <w:ind w:firstLine="640"/>
        <w:jc w:val="both"/>
      </w:pPr>
      <w:r>
        <w:rPr>
          <w:rFonts w:ascii="仿宋_GB2312" w:hAnsi="仿宋_GB2312" w:eastAsia="仿宋_GB2312"/>
          <w:b w:val="0"/>
          <w:sz w:val="32"/>
        </w:rPr>
        <w:t>截至2024年12月31日，房屋0.00平方米，价值0.00万元。车辆2辆，价值43.38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278D0E2E">
      <w:pPr>
        <w:spacing w:line="640" w:lineRule="exact"/>
        <w:ind w:firstLine="640"/>
        <w:jc w:val="both"/>
        <w:outlineLvl w:val="2"/>
      </w:pPr>
      <w:r>
        <w:rPr>
          <w:rFonts w:ascii="黑体" w:hAnsi="黑体" w:eastAsia="黑体"/>
          <w:sz w:val="32"/>
        </w:rPr>
        <w:t>十一、预算绩效的情况说明</w:t>
      </w:r>
    </w:p>
    <w:p w14:paraId="6F6EF90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w:t>
      </w:r>
      <w:r>
        <w:rPr>
          <w:rFonts w:hint="eastAsia" w:ascii="仿宋_GB2312" w:hAnsi="仿宋_GB2312" w:eastAsia="仿宋_GB2312"/>
          <w:b w:val="0"/>
          <w:sz w:val="32"/>
          <w:lang w:val="en-US" w:eastAsia="zh-CN"/>
        </w:rPr>
        <w:t>859.31</w:t>
      </w:r>
      <w:r>
        <w:rPr>
          <w:rFonts w:ascii="仿宋_GB2312" w:hAnsi="仿宋_GB2312" w:eastAsia="仿宋_GB2312"/>
          <w:b w:val="0"/>
          <w:sz w:val="32"/>
        </w:rPr>
        <w:t>万元，实际执行总额</w:t>
      </w:r>
      <w:r>
        <w:rPr>
          <w:rFonts w:hint="eastAsia" w:ascii="仿宋_GB2312" w:hAnsi="仿宋_GB2312" w:eastAsia="仿宋_GB2312"/>
          <w:b w:val="0"/>
          <w:sz w:val="32"/>
          <w:lang w:val="en-US" w:eastAsia="zh-CN"/>
        </w:rPr>
        <w:t>859.31</w:t>
      </w:r>
      <w:r>
        <w:rPr>
          <w:rFonts w:ascii="仿宋_GB2312" w:hAnsi="仿宋_GB2312" w:eastAsia="仿宋_GB2312"/>
          <w:b w:val="0"/>
          <w:sz w:val="32"/>
        </w:rPr>
        <w:t>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158.9</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w:t>
      </w:r>
      <w:r>
        <w:rPr>
          <w:rFonts w:hint="eastAsia" w:ascii="仿宋_GB2312" w:hAnsi="仿宋_GB2312" w:eastAsia="仿宋_GB2312"/>
          <w:b w:val="0"/>
          <w:sz w:val="32"/>
        </w:rPr>
        <w:t>158.9</w:t>
      </w:r>
      <w:r>
        <w:rPr>
          <w:rFonts w:hint="eastAsia" w:ascii="仿宋_GB2312" w:hAnsi="仿宋_GB2312" w:eastAsia="仿宋_GB2312"/>
          <w:b w:val="0"/>
          <w:sz w:val="32"/>
          <w:lang w:val="en-US" w:eastAsia="zh-CN"/>
        </w:rPr>
        <w:t>0</w:t>
      </w:r>
      <w:r>
        <w:rPr>
          <w:rFonts w:ascii="仿宋_GB2312" w:hAnsi="仿宋_GB2312" w:eastAsia="仿宋_GB2312"/>
          <w:b w:val="0"/>
          <w:sz w:val="32"/>
        </w:rPr>
        <w:t>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三是年初设定目标时，未充分考虑客观因素和条件，仅参考上年完成情况及行业部门总体工作要求，未充分结合本单位实际。四是部分工作任务存在较大的不可预见性，导致工作任务与实际工作开展情况之间存在偏差。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项目支出绩效自评表和评价报告。</w:t>
      </w:r>
    </w:p>
    <w:p w14:paraId="21387E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A8C33E4">
        <w:tblPrEx>
          <w:tblCellMar>
            <w:top w:w="0" w:type="dxa"/>
            <w:left w:w="108" w:type="dxa"/>
            <w:bottom w:w="0" w:type="dxa"/>
            <w:right w:w="108" w:type="dxa"/>
          </w:tblCellMar>
        </w:tblPrEx>
        <w:tc>
          <w:tcPr>
            <w:tcW w:w="8848" w:type="dxa"/>
            <w:gridSpan w:val="14"/>
            <w:vAlign w:val="center"/>
          </w:tcPr>
          <w:p w14:paraId="07F66E38">
            <w:pPr>
              <w:jc w:val="center"/>
            </w:pPr>
            <w:r>
              <w:rPr>
                <w:rFonts w:ascii="宋体" w:hAnsi="宋体" w:eastAsia="宋体"/>
                <w:sz w:val="24"/>
              </w:rPr>
              <w:t>项目支出绩效自评表</w:t>
            </w:r>
          </w:p>
        </w:tc>
      </w:tr>
      <w:tr w14:paraId="1AC340BB">
        <w:tblPrEx>
          <w:tblCellMar>
            <w:top w:w="0" w:type="dxa"/>
            <w:left w:w="108" w:type="dxa"/>
            <w:bottom w:w="0" w:type="dxa"/>
            <w:right w:w="108" w:type="dxa"/>
          </w:tblCellMar>
        </w:tblPrEx>
        <w:tc>
          <w:tcPr>
            <w:tcW w:w="8848" w:type="dxa"/>
            <w:gridSpan w:val="14"/>
            <w:vAlign w:val="center"/>
          </w:tcPr>
          <w:p w14:paraId="601335D0">
            <w:pPr>
              <w:jc w:val="center"/>
            </w:pPr>
            <w:r>
              <w:rPr>
                <w:rFonts w:ascii="宋体" w:hAnsi="宋体" w:eastAsia="宋体"/>
                <w:sz w:val="24"/>
              </w:rPr>
              <w:t>(2024年度)</w:t>
            </w:r>
          </w:p>
        </w:tc>
      </w:tr>
      <w:tr w14:paraId="7F3697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69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55A573">
            <w:pPr>
              <w:jc w:val="center"/>
            </w:pPr>
            <w:r>
              <w:rPr>
                <w:rFonts w:ascii="宋体" w:hAnsi="宋体" w:eastAsia="宋体"/>
                <w:sz w:val="16"/>
              </w:rPr>
              <w:t>专网经费</w:t>
            </w:r>
          </w:p>
        </w:tc>
      </w:tr>
      <w:tr w14:paraId="1C8B45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66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495D5F">
            <w:pPr>
              <w:jc w:val="center"/>
            </w:pPr>
            <w:r>
              <w:rPr>
                <w:rFonts w:ascii="宋体" w:hAnsi="宋体" w:eastAsia="宋体"/>
                <w:sz w:val="16"/>
              </w:rPr>
              <w:t>中共克孜勒苏柯尔克孜自治州委员会网络安全和信息化委员会办公室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BF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9FDA68">
            <w:pPr>
              <w:jc w:val="center"/>
            </w:pPr>
            <w:r>
              <w:rPr>
                <w:rFonts w:ascii="宋体" w:hAnsi="宋体" w:eastAsia="宋体"/>
                <w:sz w:val="16"/>
              </w:rPr>
              <w:t>中共克孜勒苏柯尔克孜自治州委员会网络安全和信息化委员会办公室</w:t>
            </w:r>
          </w:p>
        </w:tc>
      </w:tr>
      <w:tr w14:paraId="2EB7CD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C49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215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C2B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859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05F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058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A4C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AE80">
            <w:pPr>
              <w:jc w:val="center"/>
            </w:pPr>
            <w:r>
              <w:rPr>
                <w:rFonts w:ascii="宋体" w:hAnsi="宋体" w:eastAsia="宋体"/>
                <w:sz w:val="16"/>
              </w:rPr>
              <w:t>得分</w:t>
            </w:r>
          </w:p>
        </w:tc>
      </w:tr>
      <w:tr w14:paraId="3C519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A98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3A1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E929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763D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578D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19E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59C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2DD5">
            <w:pPr>
              <w:jc w:val="center"/>
            </w:pPr>
            <w:r>
              <w:rPr>
                <w:rFonts w:ascii="宋体" w:hAnsi="宋体" w:eastAsia="宋体"/>
                <w:sz w:val="16"/>
              </w:rPr>
              <w:t>10.00分</w:t>
            </w:r>
          </w:p>
        </w:tc>
      </w:tr>
      <w:tr w14:paraId="29124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C85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28C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5794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5890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8DA6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7C3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6F4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572C">
            <w:pPr>
              <w:jc w:val="center"/>
            </w:pPr>
            <w:r>
              <w:rPr>
                <w:rFonts w:ascii="宋体" w:hAnsi="宋体" w:eastAsia="宋体"/>
                <w:sz w:val="16"/>
              </w:rPr>
              <w:t>—</w:t>
            </w:r>
          </w:p>
        </w:tc>
      </w:tr>
      <w:tr w14:paraId="7E273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4DE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D5E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23F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6D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01B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625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95C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BD1C">
            <w:pPr>
              <w:jc w:val="center"/>
            </w:pPr>
            <w:r>
              <w:rPr>
                <w:rFonts w:ascii="宋体" w:hAnsi="宋体" w:eastAsia="宋体"/>
                <w:sz w:val="16"/>
              </w:rPr>
              <w:t>—</w:t>
            </w:r>
          </w:p>
        </w:tc>
      </w:tr>
      <w:tr w14:paraId="6BBFD6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9E8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503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168D41">
            <w:pPr>
              <w:jc w:val="center"/>
            </w:pPr>
            <w:r>
              <w:rPr>
                <w:rFonts w:ascii="宋体" w:hAnsi="宋体" w:eastAsia="宋体"/>
                <w:sz w:val="16"/>
              </w:rPr>
              <w:t>实际完成情况</w:t>
            </w:r>
          </w:p>
        </w:tc>
      </w:tr>
      <w:tr w14:paraId="3DB75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F4E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B03DEA">
            <w:pPr>
              <w:jc w:val="both"/>
            </w:pPr>
            <w:r>
              <w:rPr>
                <w:rFonts w:ascii="宋体" w:hAnsi="宋体" w:eastAsia="宋体"/>
                <w:sz w:val="16"/>
              </w:rPr>
              <w:t>该项目总投资12万元，其中：财政资金12万元，其他资金0万元，主要用于支付“专网”租赁费，保障我州网络安全和信息化工作有序及时开展,通过该项目实施达到及时接受自治区相关工作指令效果。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C81222">
            <w:pPr>
              <w:jc w:val="both"/>
            </w:pPr>
            <w:r>
              <w:rPr>
                <w:rFonts w:ascii="宋体" w:hAnsi="宋体" w:eastAsia="宋体"/>
                <w:sz w:val="16"/>
              </w:rPr>
              <w:t>项目资金12万元，其中：财政资金12万元，其他资金0万元。</w:t>
            </w: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31日</w:t>
            </w:r>
            <w:r>
              <w:rPr>
                <w:rFonts w:ascii="宋体" w:hAnsi="宋体" w:eastAsia="宋体"/>
                <w:sz w:val="16"/>
              </w:rPr>
              <w:t>，</w:t>
            </w:r>
            <w:r>
              <w:rPr>
                <w:rFonts w:hint="eastAsia" w:ascii="宋体" w:hAnsi="宋体"/>
                <w:sz w:val="16"/>
                <w:lang w:eastAsia="zh-CN"/>
              </w:rPr>
              <w:t>本单位</w:t>
            </w:r>
            <w:r>
              <w:rPr>
                <w:rFonts w:ascii="宋体" w:hAnsi="宋体" w:eastAsia="宋体"/>
                <w:sz w:val="16"/>
              </w:rPr>
              <w:t>已完成“专网”租赁线1条，通过该项目的实施，保障我州网络安全和信息化工作有序及时开展。</w:t>
            </w:r>
          </w:p>
        </w:tc>
      </w:tr>
      <w:tr w14:paraId="74CBDC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11CE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11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8E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2B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7A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49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0E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7A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C9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C0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88A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7C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8F21A">
            <w:pPr>
              <w:jc w:val="center"/>
            </w:pPr>
            <w:r>
              <w:rPr>
                <w:rFonts w:ascii="宋体" w:hAnsi="宋体" w:eastAsia="宋体"/>
                <w:sz w:val="16"/>
              </w:rPr>
              <w:t>偏差原因分析及改进措施</w:t>
            </w:r>
          </w:p>
        </w:tc>
      </w:tr>
      <w:tr w14:paraId="619BBE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74E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C041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51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6BF2">
            <w:pPr>
              <w:jc w:val="center"/>
            </w:pPr>
            <w:r>
              <w:rPr>
                <w:rFonts w:ascii="宋体" w:hAnsi="宋体" w:eastAsia="宋体"/>
                <w:sz w:val="16"/>
              </w:rPr>
              <w:t>“专网”租赁线（条）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8683">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1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0042">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14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3C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BD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F53C">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57B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98484">
            <w:pPr>
              <w:jc w:val="center"/>
            </w:pPr>
          </w:p>
        </w:tc>
      </w:tr>
      <w:tr w14:paraId="7679B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B9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6A7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9CF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460C">
            <w:pPr>
              <w:jc w:val="center"/>
            </w:pPr>
            <w:r>
              <w:rPr>
                <w:rFonts w:ascii="宋体" w:hAnsi="宋体" w:eastAsia="宋体"/>
                <w:sz w:val="16"/>
              </w:rPr>
              <w:t>“专网”运行正常率（%）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4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2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B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9E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F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0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6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90A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204C0">
            <w:pPr>
              <w:jc w:val="center"/>
            </w:pPr>
          </w:p>
        </w:tc>
      </w:tr>
      <w:tr w14:paraId="581AA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1D8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6D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70C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278F">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1B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BC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70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E2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E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AF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F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442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F4D48">
            <w:pPr>
              <w:jc w:val="center"/>
            </w:pPr>
          </w:p>
        </w:tc>
      </w:tr>
      <w:tr w14:paraId="77571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7F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260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969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DA5A">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C5CC">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C4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F1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F2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2C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B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4968">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B0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44B10">
            <w:pPr>
              <w:jc w:val="center"/>
            </w:pPr>
          </w:p>
        </w:tc>
      </w:tr>
      <w:tr w14:paraId="2A17F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95F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FD5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40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B876">
            <w:pPr>
              <w:jc w:val="center"/>
            </w:pPr>
            <w:r>
              <w:rPr>
                <w:rFonts w:ascii="宋体" w:hAnsi="宋体" w:eastAsia="宋体"/>
                <w:sz w:val="16"/>
              </w:rPr>
              <w:t>系统运动维护响应时间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87D2">
            <w:pPr>
              <w:jc w:val="center"/>
            </w:pPr>
            <w:r>
              <w:rPr>
                <w:rFonts w:ascii="宋体" w:hAnsi="宋体" w:eastAsia="宋体"/>
                <w:sz w:val="16"/>
              </w:rPr>
              <w:t>&lt;=6小时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C5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35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7B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77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8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C9F7">
            <w:pPr>
              <w:jc w:val="center"/>
            </w:pPr>
            <w:r>
              <w:rPr>
                <w:rFonts w:ascii="宋体" w:hAnsi="宋体" w:eastAsia="宋体"/>
                <w:sz w:val="16"/>
              </w:rPr>
              <w: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6F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D6D5D">
            <w:pPr>
              <w:jc w:val="center"/>
            </w:pPr>
          </w:p>
        </w:tc>
      </w:tr>
      <w:tr w14:paraId="392D2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07E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954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A13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CF1F">
            <w:pPr>
              <w:jc w:val="center"/>
            </w:pPr>
            <w:r>
              <w:rPr>
                <w:rFonts w:ascii="宋体" w:hAnsi="宋体" w:eastAsia="宋体"/>
                <w:sz w:val="16"/>
              </w:rPr>
              <w:t>“专网”租赁费（万元/条）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F771">
            <w:pPr>
              <w:jc w:val="center"/>
            </w:pPr>
            <w:r>
              <w:rPr>
                <w:rFonts w:ascii="宋体" w:hAnsi="宋体" w:eastAsia="宋体"/>
                <w:sz w:val="16"/>
              </w:rPr>
              <w:t>=12万元/条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DF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7C9C">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06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9E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F6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8E26">
            <w:pPr>
              <w:jc w:val="center"/>
            </w:pPr>
            <w:r>
              <w:rPr>
                <w:rFonts w:ascii="宋体" w:hAnsi="宋体" w:eastAsia="宋体"/>
                <w:sz w:val="16"/>
              </w:rPr>
              <w:t>=12万元/条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45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078E">
            <w:pPr>
              <w:jc w:val="center"/>
            </w:pPr>
          </w:p>
        </w:tc>
      </w:tr>
      <w:tr w14:paraId="29D5B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02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EC3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87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F327">
            <w:pPr>
              <w:jc w:val="center"/>
            </w:pPr>
            <w:r>
              <w:rPr>
                <w:rFonts w:ascii="宋体" w:hAnsi="宋体" w:eastAsia="宋体"/>
                <w:sz w:val="16"/>
              </w:rPr>
              <w:t>年度维护成本增长率（%）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E72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AE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A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A2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A5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FA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B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EC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2695B">
            <w:pPr>
              <w:jc w:val="center"/>
            </w:pPr>
          </w:p>
        </w:tc>
      </w:tr>
      <w:tr w14:paraId="6555E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202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22FB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4E9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8726">
            <w:pPr>
              <w:jc w:val="center"/>
            </w:pPr>
            <w:r>
              <w:rPr>
                <w:rFonts w:ascii="宋体" w:hAnsi="宋体" w:eastAsia="宋体"/>
                <w:sz w:val="16"/>
              </w:rPr>
              <w:t>长期保障克州工作情况需要及网络空间安全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09C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1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E51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CE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6E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CE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765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67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C4120">
            <w:pPr>
              <w:jc w:val="center"/>
            </w:pPr>
          </w:p>
        </w:tc>
      </w:tr>
      <w:tr w14:paraId="74217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F6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BF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3E7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03BF">
            <w:pPr>
              <w:jc w:val="center"/>
            </w:pPr>
            <w:r>
              <w:rPr>
                <w:rFonts w:ascii="宋体" w:hAnsi="宋体" w:eastAsia="宋体"/>
                <w:sz w:val="16"/>
              </w:rPr>
              <w:t>网络安全事件发生率（%）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849A">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A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B3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84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74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48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DC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1C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E367">
            <w:pPr>
              <w:jc w:val="center"/>
            </w:pPr>
          </w:p>
        </w:tc>
      </w:tr>
      <w:tr w14:paraId="3208A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9B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F0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FB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F728">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78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B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FC7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7F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C3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18B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95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A5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3E778">
            <w:pPr>
              <w:jc w:val="center"/>
            </w:pPr>
          </w:p>
        </w:tc>
      </w:tr>
      <w:tr w14:paraId="790A16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3D7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B3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194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DB7338">
            <w:pPr>
              <w:jc w:val="center"/>
            </w:pPr>
            <w:r>
              <w:rPr>
                <w:rFonts w:ascii="宋体" w:hAnsi="宋体" w:eastAsia="宋体"/>
                <w:sz w:val="16"/>
              </w:rPr>
              <w:t>100分</w:t>
            </w:r>
          </w:p>
        </w:tc>
      </w:tr>
    </w:tbl>
    <w:p w14:paraId="2FCF6E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4DE7A59">
        <w:tblPrEx>
          <w:tblCellMar>
            <w:top w:w="0" w:type="dxa"/>
            <w:left w:w="108" w:type="dxa"/>
            <w:bottom w:w="0" w:type="dxa"/>
            <w:right w:w="108" w:type="dxa"/>
          </w:tblCellMar>
        </w:tblPrEx>
        <w:tc>
          <w:tcPr>
            <w:tcW w:w="8848" w:type="dxa"/>
            <w:gridSpan w:val="14"/>
            <w:vAlign w:val="center"/>
          </w:tcPr>
          <w:p w14:paraId="1400F942">
            <w:pPr>
              <w:jc w:val="center"/>
            </w:pPr>
            <w:r>
              <w:rPr>
                <w:rFonts w:ascii="宋体" w:hAnsi="宋体" w:eastAsia="宋体"/>
                <w:sz w:val="24"/>
              </w:rPr>
              <w:t>项目支出绩效自评表</w:t>
            </w:r>
          </w:p>
        </w:tc>
      </w:tr>
      <w:tr w14:paraId="28B0E9F2">
        <w:tblPrEx>
          <w:tblCellMar>
            <w:top w:w="0" w:type="dxa"/>
            <w:left w:w="108" w:type="dxa"/>
            <w:bottom w:w="0" w:type="dxa"/>
            <w:right w:w="108" w:type="dxa"/>
          </w:tblCellMar>
        </w:tblPrEx>
        <w:tc>
          <w:tcPr>
            <w:tcW w:w="8848" w:type="dxa"/>
            <w:gridSpan w:val="14"/>
            <w:vAlign w:val="center"/>
          </w:tcPr>
          <w:p w14:paraId="6D166C26">
            <w:pPr>
              <w:jc w:val="center"/>
            </w:pPr>
            <w:r>
              <w:rPr>
                <w:rFonts w:ascii="宋体" w:hAnsi="宋体" w:eastAsia="宋体"/>
                <w:sz w:val="24"/>
              </w:rPr>
              <w:t>(2024年度)</w:t>
            </w:r>
          </w:p>
        </w:tc>
      </w:tr>
      <w:tr w14:paraId="53C6A5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94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F60133">
            <w:pPr>
              <w:jc w:val="center"/>
            </w:pPr>
            <w:r>
              <w:rPr>
                <w:rFonts w:ascii="宋体" w:hAnsi="宋体" w:eastAsia="宋体"/>
                <w:sz w:val="16"/>
              </w:rPr>
              <w:t>为民办实事和第一书记工作经费项目</w:t>
            </w:r>
          </w:p>
        </w:tc>
      </w:tr>
      <w:tr w14:paraId="6E26FD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47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3E3A66">
            <w:pPr>
              <w:jc w:val="center"/>
            </w:pPr>
            <w:r>
              <w:rPr>
                <w:rFonts w:ascii="宋体" w:hAnsi="宋体" w:eastAsia="宋体"/>
                <w:sz w:val="16"/>
              </w:rPr>
              <w:t>中共克孜勒苏柯尔克孜自治州委员会网络安全和信息化委员会办公室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9E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00EC20">
            <w:pPr>
              <w:jc w:val="center"/>
            </w:pPr>
            <w:r>
              <w:rPr>
                <w:rFonts w:ascii="宋体" w:hAnsi="宋体" w:eastAsia="宋体"/>
                <w:sz w:val="16"/>
              </w:rPr>
              <w:t>中共克孜勒苏柯尔克孜自治州委员会网络安全和信息化委员会办公室</w:t>
            </w:r>
          </w:p>
        </w:tc>
      </w:tr>
      <w:tr w14:paraId="768EC7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610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118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D47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A56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324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A56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2EC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14DD">
            <w:pPr>
              <w:jc w:val="center"/>
            </w:pPr>
            <w:r>
              <w:rPr>
                <w:rFonts w:ascii="宋体" w:hAnsi="宋体" w:eastAsia="宋体"/>
                <w:sz w:val="16"/>
              </w:rPr>
              <w:t>得分</w:t>
            </w:r>
          </w:p>
        </w:tc>
      </w:tr>
      <w:tr w14:paraId="6D22D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C40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E84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D122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0D6E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D37F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61D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997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DABF">
            <w:pPr>
              <w:jc w:val="center"/>
            </w:pPr>
            <w:r>
              <w:rPr>
                <w:rFonts w:ascii="宋体" w:hAnsi="宋体" w:eastAsia="宋体"/>
                <w:sz w:val="16"/>
              </w:rPr>
              <w:t>10.00分</w:t>
            </w:r>
          </w:p>
        </w:tc>
      </w:tr>
      <w:tr w14:paraId="5DC43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1FB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A8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0643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7BD1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B73F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CF0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2BA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3BE6">
            <w:pPr>
              <w:jc w:val="center"/>
            </w:pPr>
            <w:r>
              <w:rPr>
                <w:rFonts w:ascii="宋体" w:hAnsi="宋体" w:eastAsia="宋体"/>
                <w:sz w:val="16"/>
              </w:rPr>
              <w:t>—</w:t>
            </w:r>
          </w:p>
        </w:tc>
      </w:tr>
      <w:tr w14:paraId="49532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57B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831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ABE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A37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9AC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0BD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C0F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0110">
            <w:pPr>
              <w:jc w:val="center"/>
            </w:pPr>
            <w:r>
              <w:rPr>
                <w:rFonts w:ascii="宋体" w:hAnsi="宋体" w:eastAsia="宋体"/>
                <w:sz w:val="16"/>
              </w:rPr>
              <w:t>—</w:t>
            </w:r>
          </w:p>
        </w:tc>
      </w:tr>
      <w:tr w14:paraId="5B0FB4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891C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15D1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F15D96">
            <w:pPr>
              <w:jc w:val="center"/>
            </w:pPr>
            <w:r>
              <w:rPr>
                <w:rFonts w:ascii="宋体" w:hAnsi="宋体" w:eastAsia="宋体"/>
                <w:sz w:val="16"/>
              </w:rPr>
              <w:t>实际完成情况</w:t>
            </w:r>
          </w:p>
        </w:tc>
      </w:tr>
      <w:tr w14:paraId="76175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ABF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A3D48">
            <w:pPr>
              <w:jc w:val="both"/>
            </w:pPr>
            <w:r>
              <w:rPr>
                <w:rFonts w:ascii="宋体" w:hAnsi="宋体" w:eastAsia="宋体"/>
                <w:sz w:val="16"/>
              </w:rPr>
              <w:t>该项目总投资17万元，其中：财政资金17万元，其他资金0万元，主要</w:t>
            </w:r>
            <w:r>
              <w:rPr>
                <w:rFonts w:hint="eastAsia" w:ascii="宋体" w:hAnsi="宋体"/>
                <w:sz w:val="16"/>
                <w:lang w:eastAsia="zh-CN"/>
              </w:rPr>
              <w:t>用于</w:t>
            </w:r>
            <w:r>
              <w:rPr>
                <w:rFonts w:ascii="宋体" w:hAnsi="宋体" w:eastAsia="宋体"/>
                <w:sz w:val="16"/>
              </w:rPr>
              <w:t>为村民办实事好事，解决村民实际困难，同时完成乡村振兴相关工作要求，开展购买果树苗、花卉、种子；开展乡村环境整治工作，购买村委会办公用品，发放学生补助等工作。通过该项目的实施，增加农牧民收入，关心关爱贫困户、低保户、残疾人等特殊家庭，帮助解决生产生活中的实际困难，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2F3E7">
            <w:pPr>
              <w:jc w:val="both"/>
            </w:pPr>
            <w:r>
              <w:rPr>
                <w:rFonts w:ascii="宋体" w:hAnsi="宋体" w:eastAsia="宋体"/>
                <w:sz w:val="16"/>
              </w:rPr>
              <w:t>截至2024年12月31日，该项目执行数为17万元，已完成：开展活动次数8次，购买活动物品批数1批，为民办实事8</w:t>
            </w:r>
            <w:r>
              <w:rPr>
                <w:rFonts w:hint="eastAsia" w:ascii="宋体" w:hAnsi="宋体"/>
                <w:sz w:val="16"/>
                <w:lang w:eastAsia="zh-CN"/>
              </w:rPr>
              <w:t>件</w:t>
            </w:r>
            <w:r>
              <w:rPr>
                <w:rFonts w:ascii="宋体" w:hAnsi="宋体" w:eastAsia="宋体"/>
                <w:sz w:val="16"/>
              </w:rPr>
              <w:t>。通过该项目的实施，有效增加农牧民收入，关心关爱贫困户、低保户、残疾人等特殊家庭，帮助解决生产生活中的实际困难，实现维护社会稳定和长治久安总目标。</w:t>
            </w:r>
          </w:p>
        </w:tc>
      </w:tr>
      <w:tr w14:paraId="026869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DE5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02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98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CE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E9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84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32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1C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8C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19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6A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C5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B7CCE">
            <w:pPr>
              <w:jc w:val="center"/>
            </w:pPr>
            <w:r>
              <w:rPr>
                <w:rFonts w:ascii="宋体" w:hAnsi="宋体" w:eastAsia="宋体"/>
                <w:sz w:val="16"/>
              </w:rPr>
              <w:t>偏差原因分析及改进措施</w:t>
            </w:r>
          </w:p>
        </w:tc>
      </w:tr>
      <w:tr w14:paraId="30405C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E4A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7F3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E66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3033">
            <w:pPr>
              <w:jc w:val="center"/>
            </w:pPr>
            <w:r>
              <w:rPr>
                <w:rFonts w:ascii="宋体" w:hAnsi="宋体" w:eastAsia="宋体"/>
                <w:sz w:val="16"/>
              </w:rPr>
              <w:t>文化科研活动开展次数(次）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452C">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9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3483">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48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5C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9C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F24C">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4E9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D1165">
            <w:pPr>
              <w:jc w:val="center"/>
            </w:pPr>
          </w:p>
        </w:tc>
      </w:tr>
      <w:tr w14:paraId="2DFF4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B0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65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F12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6B53">
            <w:pPr>
              <w:jc w:val="center"/>
            </w:pPr>
            <w:r>
              <w:rPr>
                <w:rFonts w:ascii="宋体" w:hAnsi="宋体" w:eastAsia="宋体"/>
                <w:sz w:val="16"/>
              </w:rPr>
              <w:t>购买办公、活动物品批数（批）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28E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7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131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D0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6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2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FC4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12F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31EE9">
            <w:pPr>
              <w:jc w:val="center"/>
            </w:pPr>
          </w:p>
        </w:tc>
      </w:tr>
      <w:tr w14:paraId="536DF8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52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6B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3D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E8F1">
            <w:pPr>
              <w:jc w:val="center"/>
            </w:pPr>
            <w:r>
              <w:rPr>
                <w:rFonts w:ascii="宋体" w:hAnsi="宋体" w:eastAsia="宋体"/>
                <w:sz w:val="16"/>
              </w:rPr>
              <w:t>帮助贫困户办好事件数（件）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7FDD">
            <w:pPr>
              <w:jc w:val="center"/>
            </w:pPr>
            <w:r>
              <w:rPr>
                <w:rFonts w:ascii="宋体" w:hAnsi="宋体" w:eastAsia="宋体"/>
                <w:sz w:val="16"/>
              </w:rPr>
              <w:t>&gt;=8件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1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E581">
            <w:pPr>
              <w:jc w:val="center"/>
            </w:pPr>
            <w:r>
              <w:rPr>
                <w:rFonts w:ascii="宋体" w:hAnsi="宋体" w:eastAsia="宋体"/>
                <w:sz w:val="16"/>
              </w:rPr>
              <w:t>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72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0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B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9D4B">
            <w:pPr>
              <w:jc w:val="center"/>
            </w:pPr>
            <w:r>
              <w:rPr>
                <w:rFonts w:ascii="宋体" w:hAnsi="宋体" w:eastAsia="宋体"/>
                <w:sz w:val="16"/>
              </w:rPr>
              <w:t>=8件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652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4EDBE">
            <w:pPr>
              <w:jc w:val="center"/>
            </w:pPr>
          </w:p>
        </w:tc>
      </w:tr>
      <w:tr w14:paraId="42C3C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70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1A9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69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A860">
            <w:pPr>
              <w:jc w:val="center"/>
            </w:pPr>
            <w:r>
              <w:rPr>
                <w:rFonts w:ascii="宋体" w:hAnsi="宋体" w:eastAsia="宋体"/>
                <w:sz w:val="16"/>
              </w:rPr>
              <w:t>购买办公、活动物品质量验收合格率（%）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9A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8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E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305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5E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20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F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87E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5D6C8">
            <w:pPr>
              <w:jc w:val="center"/>
            </w:pPr>
          </w:p>
        </w:tc>
      </w:tr>
      <w:tr w14:paraId="24235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70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629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5AD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7A34">
            <w:pPr>
              <w:jc w:val="center"/>
            </w:pPr>
            <w:r>
              <w:rPr>
                <w:rFonts w:ascii="宋体" w:hAnsi="宋体" w:eastAsia="宋体"/>
                <w:sz w:val="16"/>
              </w:rPr>
              <w:t>开展活动及时性（%）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C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1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1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1C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A4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5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0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D6B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BF4B2">
            <w:pPr>
              <w:jc w:val="center"/>
            </w:pPr>
          </w:p>
        </w:tc>
      </w:tr>
      <w:tr w14:paraId="1E0C8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7E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97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2E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E501">
            <w:pPr>
              <w:jc w:val="center"/>
            </w:pPr>
            <w:r>
              <w:rPr>
                <w:rFonts w:ascii="宋体" w:hAnsi="宋体" w:eastAsia="宋体"/>
                <w:sz w:val="16"/>
              </w:rPr>
              <w:t>帮助贫困户办好事及时率（%）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DB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6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000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7A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7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B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A65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E56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AE872">
            <w:pPr>
              <w:jc w:val="center"/>
            </w:pPr>
          </w:p>
        </w:tc>
      </w:tr>
      <w:tr w14:paraId="1C7CB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D50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B27A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D7D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2882">
            <w:pPr>
              <w:jc w:val="center"/>
            </w:pPr>
            <w:r>
              <w:rPr>
                <w:rFonts w:ascii="宋体" w:hAnsi="宋体" w:eastAsia="宋体"/>
                <w:sz w:val="16"/>
              </w:rPr>
              <w:t>开展活动经费（万元）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501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67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4023">
            <w:pPr>
              <w:jc w:val="center"/>
            </w:pPr>
            <w:r>
              <w:rPr>
                <w:rFonts w:ascii="宋体" w:hAnsi="宋体" w:eastAsia="宋体"/>
                <w:sz w:val="16"/>
              </w:rPr>
              <w:t>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AD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C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0B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E9C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84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121EA">
            <w:pPr>
              <w:jc w:val="center"/>
            </w:pPr>
          </w:p>
        </w:tc>
      </w:tr>
      <w:tr w14:paraId="4E033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2C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6A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D7E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C45D">
            <w:pPr>
              <w:jc w:val="center"/>
            </w:pPr>
            <w:r>
              <w:rPr>
                <w:rFonts w:ascii="宋体" w:hAnsi="宋体" w:eastAsia="宋体"/>
                <w:sz w:val="16"/>
              </w:rPr>
              <w:t>购买办公用品经费（万元）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CAF4">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3F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88DA">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5F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0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B1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3D3C">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0E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CEBCC">
            <w:pPr>
              <w:jc w:val="center"/>
            </w:pPr>
          </w:p>
        </w:tc>
      </w:tr>
      <w:tr w14:paraId="27A50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E3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28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8C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58D3">
            <w:pPr>
              <w:jc w:val="center"/>
            </w:pPr>
            <w:r>
              <w:rPr>
                <w:rFonts w:ascii="宋体" w:hAnsi="宋体" w:eastAsia="宋体"/>
                <w:sz w:val="16"/>
              </w:rPr>
              <w:t>帮助贫困户办好事经费（万元）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A6E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C3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72E2">
            <w:pPr>
              <w:jc w:val="center"/>
            </w:pPr>
            <w:r>
              <w:rPr>
                <w:rFonts w:ascii="宋体" w:hAnsi="宋体" w:eastAsia="宋体"/>
                <w:sz w:val="16"/>
              </w:rPr>
              <w:t>10.82万元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6A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78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D5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83A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E8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20696">
            <w:pPr>
              <w:jc w:val="center"/>
            </w:pPr>
          </w:p>
        </w:tc>
      </w:tr>
      <w:tr w14:paraId="3E698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DAC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49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0C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8545">
            <w:pPr>
              <w:jc w:val="center"/>
            </w:pPr>
            <w:r>
              <w:rPr>
                <w:rFonts w:ascii="宋体" w:hAnsi="宋体" w:eastAsia="宋体"/>
                <w:sz w:val="16"/>
              </w:rPr>
              <w:t>提高农牧民生活质量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B9E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B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2C3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9A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8F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6EF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28A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F4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0270C">
            <w:pPr>
              <w:jc w:val="center"/>
            </w:pPr>
          </w:p>
        </w:tc>
      </w:tr>
      <w:tr w14:paraId="70D4F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67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8F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F9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5B9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08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B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2B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D0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61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0D5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C4E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99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BB766">
            <w:pPr>
              <w:jc w:val="center"/>
            </w:pPr>
          </w:p>
        </w:tc>
      </w:tr>
      <w:tr w14:paraId="2DDE10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61F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58F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5C4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B3615F">
            <w:pPr>
              <w:jc w:val="center"/>
            </w:pPr>
            <w:r>
              <w:rPr>
                <w:rFonts w:ascii="宋体" w:hAnsi="宋体" w:eastAsia="宋体"/>
                <w:sz w:val="16"/>
              </w:rPr>
              <w:t>100分</w:t>
            </w:r>
          </w:p>
        </w:tc>
      </w:tr>
    </w:tbl>
    <w:p w14:paraId="3570B8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13FE8DF">
        <w:tblPrEx>
          <w:tblCellMar>
            <w:top w:w="0" w:type="dxa"/>
            <w:left w:w="108" w:type="dxa"/>
            <w:bottom w:w="0" w:type="dxa"/>
            <w:right w:w="108" w:type="dxa"/>
          </w:tblCellMar>
        </w:tblPrEx>
        <w:tc>
          <w:tcPr>
            <w:tcW w:w="8848" w:type="dxa"/>
            <w:gridSpan w:val="14"/>
            <w:vAlign w:val="center"/>
          </w:tcPr>
          <w:p w14:paraId="531C31F9">
            <w:pPr>
              <w:jc w:val="center"/>
            </w:pPr>
            <w:r>
              <w:rPr>
                <w:rFonts w:ascii="宋体" w:hAnsi="宋体" w:eastAsia="宋体"/>
                <w:sz w:val="24"/>
              </w:rPr>
              <w:t>项目支出绩效自评表</w:t>
            </w:r>
          </w:p>
        </w:tc>
      </w:tr>
      <w:tr w14:paraId="3AB11E12">
        <w:tblPrEx>
          <w:tblCellMar>
            <w:top w:w="0" w:type="dxa"/>
            <w:left w:w="108" w:type="dxa"/>
            <w:bottom w:w="0" w:type="dxa"/>
            <w:right w:w="108" w:type="dxa"/>
          </w:tblCellMar>
        </w:tblPrEx>
        <w:tc>
          <w:tcPr>
            <w:tcW w:w="8848" w:type="dxa"/>
            <w:gridSpan w:val="14"/>
            <w:vAlign w:val="center"/>
          </w:tcPr>
          <w:p w14:paraId="7E7567BA">
            <w:pPr>
              <w:jc w:val="center"/>
            </w:pPr>
            <w:r>
              <w:rPr>
                <w:rFonts w:ascii="宋体" w:hAnsi="宋体" w:eastAsia="宋体"/>
                <w:sz w:val="24"/>
              </w:rPr>
              <w:t>(2024年度)</w:t>
            </w:r>
          </w:p>
        </w:tc>
      </w:tr>
      <w:tr w14:paraId="063C7A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CA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10CB53">
            <w:pPr>
              <w:jc w:val="center"/>
            </w:pPr>
            <w:r>
              <w:rPr>
                <w:rFonts w:ascii="宋体" w:hAnsi="宋体" w:eastAsia="宋体"/>
                <w:sz w:val="16"/>
              </w:rPr>
              <w:t>暖气管道维修经费项目</w:t>
            </w:r>
          </w:p>
        </w:tc>
      </w:tr>
      <w:tr w14:paraId="3CF69B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E6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96E509">
            <w:pPr>
              <w:jc w:val="center"/>
            </w:pPr>
            <w:r>
              <w:rPr>
                <w:rFonts w:ascii="宋体" w:hAnsi="宋体" w:eastAsia="宋体"/>
                <w:sz w:val="16"/>
              </w:rPr>
              <w:t>中共克孜勒苏柯尔克孜自治州委员会网络安全和信息化委员会办公室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35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2B0B55">
            <w:pPr>
              <w:jc w:val="center"/>
            </w:pPr>
            <w:r>
              <w:rPr>
                <w:rFonts w:ascii="宋体" w:hAnsi="宋体" w:eastAsia="宋体"/>
                <w:sz w:val="16"/>
              </w:rPr>
              <w:t>中共克孜勒苏柯尔克孜自治州委员会网络安全和信息化委员会办公室</w:t>
            </w:r>
          </w:p>
        </w:tc>
      </w:tr>
      <w:tr w14:paraId="55CDA9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CF9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D23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087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A8D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779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AF4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906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A698">
            <w:pPr>
              <w:jc w:val="center"/>
            </w:pPr>
            <w:r>
              <w:rPr>
                <w:rFonts w:ascii="宋体" w:hAnsi="宋体" w:eastAsia="宋体"/>
                <w:sz w:val="16"/>
              </w:rPr>
              <w:t>得分</w:t>
            </w:r>
          </w:p>
        </w:tc>
      </w:tr>
      <w:tr w14:paraId="45D46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C51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B2F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E7F5F">
            <w:pPr>
              <w:jc w:val="center"/>
            </w:pPr>
            <w:r>
              <w:rPr>
                <w:rFonts w:ascii="宋体" w:hAnsi="宋体" w:eastAsia="宋体"/>
                <w:sz w:val="16"/>
              </w:rPr>
              <w:t>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9AEFC">
            <w:pPr>
              <w:jc w:val="center"/>
            </w:pPr>
            <w:r>
              <w:rPr>
                <w:rFonts w:ascii="宋体" w:hAnsi="宋体" w:eastAsia="宋体"/>
                <w:sz w:val="16"/>
              </w:rPr>
              <w:t>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901DE">
            <w:pPr>
              <w:jc w:val="center"/>
            </w:pPr>
            <w:r>
              <w:rPr>
                <w:rFonts w:ascii="宋体" w:hAnsi="宋体" w:eastAsia="宋体"/>
                <w:sz w:val="16"/>
              </w:rPr>
              <w:t>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27B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3CEE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C65C">
            <w:pPr>
              <w:jc w:val="center"/>
            </w:pPr>
            <w:r>
              <w:rPr>
                <w:rFonts w:ascii="宋体" w:hAnsi="宋体" w:eastAsia="宋体"/>
                <w:sz w:val="16"/>
              </w:rPr>
              <w:t>10.00分</w:t>
            </w:r>
          </w:p>
        </w:tc>
      </w:tr>
      <w:tr w14:paraId="43D63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3FB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37B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46C91">
            <w:pPr>
              <w:jc w:val="center"/>
            </w:pPr>
            <w:r>
              <w:rPr>
                <w:rFonts w:ascii="宋体" w:hAnsi="宋体" w:eastAsia="宋体"/>
                <w:sz w:val="16"/>
              </w:rPr>
              <w:t>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18055">
            <w:pPr>
              <w:jc w:val="center"/>
            </w:pPr>
            <w:r>
              <w:rPr>
                <w:rFonts w:ascii="宋体" w:hAnsi="宋体" w:eastAsia="宋体"/>
                <w:sz w:val="16"/>
              </w:rPr>
              <w:t>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54ABE">
            <w:pPr>
              <w:jc w:val="center"/>
            </w:pPr>
            <w:r>
              <w:rPr>
                <w:rFonts w:ascii="宋体" w:hAnsi="宋体" w:eastAsia="宋体"/>
                <w:sz w:val="16"/>
              </w:rPr>
              <w:t>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474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47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27AC">
            <w:pPr>
              <w:jc w:val="center"/>
            </w:pPr>
            <w:r>
              <w:rPr>
                <w:rFonts w:ascii="宋体" w:hAnsi="宋体" w:eastAsia="宋体"/>
                <w:sz w:val="16"/>
              </w:rPr>
              <w:t>—</w:t>
            </w:r>
          </w:p>
        </w:tc>
      </w:tr>
      <w:tr w14:paraId="380FC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AD9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EC5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154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0D8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151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9BC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3C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2A55">
            <w:pPr>
              <w:jc w:val="center"/>
            </w:pPr>
            <w:r>
              <w:rPr>
                <w:rFonts w:ascii="宋体" w:hAnsi="宋体" w:eastAsia="宋体"/>
                <w:sz w:val="16"/>
              </w:rPr>
              <w:t>—</w:t>
            </w:r>
          </w:p>
        </w:tc>
      </w:tr>
      <w:tr w14:paraId="0CAC06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0A0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1D6C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FE5015">
            <w:pPr>
              <w:jc w:val="center"/>
            </w:pPr>
            <w:r>
              <w:rPr>
                <w:rFonts w:ascii="宋体" w:hAnsi="宋体" w:eastAsia="宋体"/>
                <w:sz w:val="16"/>
              </w:rPr>
              <w:t>实际完成情况</w:t>
            </w:r>
          </w:p>
        </w:tc>
      </w:tr>
      <w:tr w14:paraId="264CF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747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42388C">
            <w:pPr>
              <w:jc w:val="both"/>
            </w:pPr>
            <w:r>
              <w:rPr>
                <w:rFonts w:ascii="宋体" w:hAnsi="宋体" w:eastAsia="宋体"/>
                <w:sz w:val="16"/>
              </w:rPr>
              <w:t>该项目总投资9.9万元，其中：财政资金9.9万元，其他资金0万元，主要用于修复办公楼老旧/损坏暖气管道匝道，保障供暖系统安全稳定运行。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E16506">
            <w:pPr>
              <w:jc w:val="both"/>
            </w:pPr>
            <w:r>
              <w:rPr>
                <w:rFonts w:ascii="宋体" w:hAnsi="宋体" w:eastAsia="宋体"/>
                <w:sz w:val="16"/>
              </w:rPr>
              <w:t>截至2024年12月31日，该项目执行数为9.9万元，已完成：修复办公楼老旧/损坏暖气管道匝道，保障供暖系统安全稳定运行。</w:t>
            </w:r>
          </w:p>
        </w:tc>
      </w:tr>
      <w:tr w14:paraId="7AA335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6039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96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26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05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E7A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C4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BD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82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C3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48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51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C16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2BB81">
            <w:pPr>
              <w:jc w:val="center"/>
            </w:pPr>
            <w:r>
              <w:rPr>
                <w:rFonts w:ascii="宋体" w:hAnsi="宋体" w:eastAsia="宋体"/>
                <w:sz w:val="16"/>
              </w:rPr>
              <w:t>偏差原因分析及改进措施</w:t>
            </w:r>
          </w:p>
        </w:tc>
      </w:tr>
      <w:tr w14:paraId="50A56F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1F1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153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3BA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E2C8">
            <w:pPr>
              <w:jc w:val="center"/>
            </w:pPr>
            <w:r>
              <w:rPr>
                <w:rFonts w:ascii="宋体" w:hAnsi="宋体" w:eastAsia="宋体"/>
                <w:sz w:val="16"/>
              </w:rPr>
              <w:t>维修管道长度（米）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E72D">
            <w:pPr>
              <w:jc w:val="center"/>
            </w:pPr>
            <w:r>
              <w:rPr>
                <w:rFonts w:ascii="宋体" w:hAnsi="宋体" w:eastAsia="宋体"/>
                <w:sz w:val="16"/>
              </w:rPr>
              <w:t>&gt;=10米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B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23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D9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1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19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137E">
            <w:pPr>
              <w:jc w:val="center"/>
            </w:pPr>
            <w:r>
              <w:rPr>
                <w:rFonts w:ascii="宋体" w:hAnsi="宋体" w:eastAsia="宋体"/>
                <w:sz w:val="16"/>
              </w:rPr>
              <w:t>=10米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AA7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7F636">
            <w:pPr>
              <w:jc w:val="center"/>
            </w:pPr>
          </w:p>
        </w:tc>
      </w:tr>
      <w:tr w14:paraId="09A93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42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0B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54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D93F">
            <w:pPr>
              <w:jc w:val="center"/>
            </w:pPr>
            <w:r>
              <w:rPr>
                <w:rFonts w:ascii="宋体" w:hAnsi="宋体" w:eastAsia="宋体"/>
                <w:sz w:val="16"/>
              </w:rPr>
              <w:t>维修节点数量（个）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8C3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1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96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00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51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9F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DF2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BC8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62328">
            <w:pPr>
              <w:jc w:val="center"/>
            </w:pPr>
          </w:p>
        </w:tc>
      </w:tr>
      <w:tr w14:paraId="7F619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DE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E9C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A2B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7C2A">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7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53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82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E4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B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44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7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B6E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40C82">
            <w:pPr>
              <w:jc w:val="center"/>
            </w:pPr>
          </w:p>
        </w:tc>
      </w:tr>
      <w:tr w14:paraId="3DBC0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5E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3CB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F8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D86F">
            <w:pPr>
              <w:jc w:val="center"/>
            </w:pPr>
            <w:r>
              <w:rPr>
                <w:rFonts w:ascii="宋体" w:hAnsi="宋体" w:eastAsia="宋体"/>
                <w:sz w:val="16"/>
              </w:rPr>
              <w:t>供暖温度达标率（%）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31C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7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EF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0E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48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9E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F7D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363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513BB">
            <w:pPr>
              <w:jc w:val="center"/>
            </w:pPr>
          </w:p>
        </w:tc>
      </w:tr>
      <w:tr w14:paraId="2B11E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DC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F5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F8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41FA">
            <w:pPr>
              <w:jc w:val="center"/>
            </w:pPr>
            <w:r>
              <w:rPr>
                <w:rFonts w:ascii="宋体" w:hAnsi="宋体" w:eastAsia="宋体"/>
                <w:sz w:val="16"/>
              </w:rPr>
              <w:t>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0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46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CA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C9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5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D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E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A0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77958">
            <w:pPr>
              <w:jc w:val="center"/>
            </w:pPr>
          </w:p>
        </w:tc>
      </w:tr>
      <w:tr w14:paraId="1F02A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6C3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26B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33E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D4E7">
            <w:pPr>
              <w:jc w:val="center"/>
            </w:pPr>
            <w:r>
              <w:rPr>
                <w:rFonts w:ascii="宋体" w:hAnsi="宋体" w:eastAsia="宋体"/>
                <w:sz w:val="16"/>
              </w:rPr>
              <w:t>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F462">
            <w:pPr>
              <w:jc w:val="center"/>
            </w:pPr>
            <w:r>
              <w:rPr>
                <w:rFonts w:ascii="宋体" w:hAnsi="宋体" w:eastAsia="宋体"/>
                <w:sz w:val="16"/>
              </w:rPr>
              <w:t>&lt;=9.90万元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BE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FB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5E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9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F9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D28A">
            <w:pPr>
              <w:jc w:val="center"/>
            </w:pPr>
            <w:r>
              <w:rPr>
                <w:rFonts w:ascii="宋体" w:hAnsi="宋体" w:eastAsia="宋体"/>
                <w:sz w:val="16"/>
              </w:rPr>
              <w: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E3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C8938">
            <w:pPr>
              <w:jc w:val="center"/>
            </w:pPr>
          </w:p>
        </w:tc>
      </w:tr>
      <w:tr w14:paraId="476C5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03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3E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170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00CA">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55C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8C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4F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F2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A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FB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D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92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17791">
            <w:pPr>
              <w:jc w:val="center"/>
            </w:pPr>
          </w:p>
        </w:tc>
      </w:tr>
      <w:tr w14:paraId="185CD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E2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EF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88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8DA4">
            <w:pPr>
              <w:jc w:val="center"/>
            </w:pPr>
            <w:r>
              <w:rPr>
                <w:rFonts w:ascii="宋体" w:hAnsi="宋体" w:eastAsia="宋体"/>
                <w:sz w:val="16"/>
              </w:rPr>
              <w:t>暖气管道寿命延长率（%）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9D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8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BC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110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E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DAB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82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C2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7832A">
            <w:pPr>
              <w:jc w:val="center"/>
            </w:pPr>
          </w:p>
        </w:tc>
      </w:tr>
      <w:tr w14:paraId="04E4D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27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F9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CF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4A93">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6B6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9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44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0D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35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65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C7E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08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CFBF8">
            <w:pPr>
              <w:jc w:val="center"/>
            </w:pPr>
          </w:p>
        </w:tc>
      </w:tr>
      <w:tr w14:paraId="34DE28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2A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C0E2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C62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84A6A7">
            <w:pPr>
              <w:jc w:val="center"/>
            </w:pPr>
            <w:r>
              <w:rPr>
                <w:rFonts w:ascii="宋体" w:hAnsi="宋体" w:eastAsia="宋体"/>
                <w:sz w:val="16"/>
              </w:rPr>
              <w:t>100分</w:t>
            </w:r>
          </w:p>
        </w:tc>
      </w:tr>
    </w:tbl>
    <w:p w14:paraId="6734733A">
      <w:r>
        <w:br w:type="page"/>
      </w:r>
    </w:p>
    <w:p w14:paraId="214AFA34">
      <w:pPr>
        <w:spacing w:line="640" w:lineRule="exact"/>
        <w:ind w:firstLine="640"/>
        <w:jc w:val="both"/>
        <w:outlineLvl w:val="2"/>
      </w:pPr>
      <w:r>
        <w:rPr>
          <w:rFonts w:ascii="黑体" w:hAnsi="黑体" w:eastAsia="黑体"/>
          <w:sz w:val="32"/>
        </w:rPr>
        <w:t>十二、其他需说明的事项</w:t>
      </w:r>
    </w:p>
    <w:p w14:paraId="67AD8B22">
      <w:pPr>
        <w:spacing w:line="580" w:lineRule="exact"/>
        <w:ind w:firstLine="640"/>
        <w:jc w:val="both"/>
      </w:pPr>
      <w:r>
        <w:rPr>
          <w:rFonts w:ascii="仿宋_GB2312" w:hAnsi="仿宋_GB2312" w:eastAsia="仿宋_GB2312"/>
          <w:b w:val="0"/>
          <w:sz w:val="32"/>
        </w:rPr>
        <w:t>本年度本单位整体绩效自评表不予公开。</w:t>
      </w:r>
    </w:p>
    <w:p w14:paraId="4242F4AD">
      <w:pPr>
        <w:spacing w:line="580" w:lineRule="exact"/>
        <w:ind w:firstLine="640"/>
        <w:jc w:val="both"/>
      </w:pPr>
      <w:r>
        <w:rPr>
          <w:rFonts w:ascii="仿宋_GB2312" w:hAnsi="仿宋_GB2312" w:eastAsia="仿宋_GB2312"/>
          <w:b w:val="0"/>
          <w:sz w:val="32"/>
        </w:rPr>
        <w:t>本年本单位SM项目1个，全年预算数</w:t>
      </w:r>
      <w:bookmarkStart w:id="0" w:name="_GoBack"/>
      <w:r>
        <w:rPr>
          <w:rFonts w:ascii="仿宋_GB2312" w:hAnsi="仿宋_GB2312" w:eastAsia="仿宋_GB2312"/>
          <w:b w:val="0"/>
          <w:sz w:val="32"/>
        </w:rPr>
        <w:t>120</w:t>
      </w:r>
      <w:r>
        <w:rPr>
          <w:rFonts w:hint="eastAsia" w:ascii="仿宋_GB2312" w:hAnsi="仿宋_GB2312" w:eastAsia="仿宋_GB2312"/>
          <w:b w:val="0"/>
          <w:sz w:val="32"/>
          <w:lang w:val="en-US" w:eastAsia="zh-CN"/>
        </w:rPr>
        <w:t>.00</w:t>
      </w:r>
      <w:bookmarkEnd w:id="0"/>
      <w:r>
        <w:rPr>
          <w:rFonts w:ascii="仿宋_GB2312" w:hAnsi="仿宋_GB2312" w:eastAsia="仿宋_GB2312"/>
          <w:b w:val="0"/>
          <w:sz w:val="32"/>
        </w:rPr>
        <w:t>万元，全年执行数120</w:t>
      </w:r>
      <w:r>
        <w:rPr>
          <w:rFonts w:hint="eastAsia" w:ascii="仿宋_GB2312" w:hAnsi="仿宋_GB2312" w:eastAsia="仿宋_GB2312"/>
          <w:b w:val="0"/>
          <w:sz w:val="32"/>
          <w:lang w:val="en-US" w:eastAsia="zh-CN"/>
        </w:rPr>
        <w:t>.00</w:t>
      </w:r>
      <w:r>
        <w:rPr>
          <w:rFonts w:ascii="仿宋_GB2312" w:hAnsi="仿宋_GB2312" w:eastAsia="仿宋_GB2312"/>
          <w:b w:val="0"/>
          <w:sz w:val="32"/>
        </w:rPr>
        <w:t>万元。</w:t>
      </w:r>
    </w:p>
    <w:p w14:paraId="5E3B07A1">
      <w:r>
        <w:br w:type="page"/>
      </w:r>
    </w:p>
    <w:p w14:paraId="0645C9DC">
      <w:pPr>
        <w:spacing w:line="240" w:lineRule="auto"/>
        <w:jc w:val="center"/>
        <w:outlineLvl w:val="1"/>
      </w:pPr>
      <w:r>
        <w:rPr>
          <w:rFonts w:ascii="黑体" w:hAnsi="黑体" w:eastAsia="黑体"/>
          <w:sz w:val="32"/>
        </w:rPr>
        <w:t>第三部分 专业名词解释</w:t>
      </w:r>
    </w:p>
    <w:p w14:paraId="5E1C8B8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CA5094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C7594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33780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CD21D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FFBABF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B8088F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8BDC71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2320B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10AD2A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CB482F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4B7801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414BC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AF3218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3F309B9">
      <w:r>
        <w:br w:type="page"/>
      </w:r>
    </w:p>
    <w:p w14:paraId="005527BE">
      <w:pPr>
        <w:spacing w:line="240" w:lineRule="auto"/>
        <w:jc w:val="center"/>
        <w:outlineLvl w:val="1"/>
      </w:pPr>
      <w:r>
        <w:rPr>
          <w:rFonts w:ascii="黑体" w:hAnsi="黑体" w:eastAsia="黑体"/>
          <w:sz w:val="32"/>
        </w:rPr>
        <w:t>第四部分 部门决算报表（见附表）</w:t>
      </w:r>
    </w:p>
    <w:p w14:paraId="7D13212D">
      <w:pPr>
        <w:spacing w:line="240" w:lineRule="auto"/>
        <w:ind w:firstLine="640"/>
        <w:jc w:val="both"/>
      </w:pPr>
      <w:r>
        <w:rPr>
          <w:rFonts w:ascii="仿宋_GB2312" w:hAnsi="仿宋_GB2312" w:eastAsia="仿宋_GB2312"/>
          <w:b w:val="0"/>
          <w:sz w:val="32"/>
        </w:rPr>
        <w:t>一、《收入支出决算总表》</w:t>
      </w:r>
    </w:p>
    <w:p w14:paraId="18BDE7F6">
      <w:pPr>
        <w:spacing w:line="240" w:lineRule="auto"/>
        <w:ind w:firstLine="640"/>
        <w:jc w:val="both"/>
      </w:pPr>
      <w:r>
        <w:rPr>
          <w:rFonts w:ascii="仿宋_GB2312" w:hAnsi="仿宋_GB2312" w:eastAsia="仿宋_GB2312"/>
          <w:b w:val="0"/>
          <w:sz w:val="32"/>
        </w:rPr>
        <w:t>二、《收入决算表》</w:t>
      </w:r>
    </w:p>
    <w:p w14:paraId="564E357F">
      <w:pPr>
        <w:spacing w:line="240" w:lineRule="auto"/>
        <w:ind w:firstLine="640"/>
        <w:jc w:val="both"/>
      </w:pPr>
      <w:r>
        <w:rPr>
          <w:rFonts w:ascii="仿宋_GB2312" w:hAnsi="仿宋_GB2312" w:eastAsia="仿宋_GB2312"/>
          <w:b w:val="0"/>
          <w:sz w:val="32"/>
        </w:rPr>
        <w:t>三、《支出决算表》</w:t>
      </w:r>
    </w:p>
    <w:p w14:paraId="7251D980">
      <w:pPr>
        <w:spacing w:line="240" w:lineRule="auto"/>
        <w:ind w:firstLine="640"/>
        <w:jc w:val="both"/>
      </w:pPr>
      <w:r>
        <w:rPr>
          <w:rFonts w:ascii="仿宋_GB2312" w:hAnsi="仿宋_GB2312" w:eastAsia="仿宋_GB2312"/>
          <w:b w:val="0"/>
          <w:sz w:val="32"/>
        </w:rPr>
        <w:t>四、《财政拨款收入支出决算总表》</w:t>
      </w:r>
    </w:p>
    <w:p w14:paraId="4893B74A">
      <w:pPr>
        <w:spacing w:line="240" w:lineRule="auto"/>
        <w:ind w:firstLine="640"/>
        <w:jc w:val="both"/>
      </w:pPr>
      <w:r>
        <w:rPr>
          <w:rFonts w:ascii="仿宋_GB2312" w:hAnsi="仿宋_GB2312" w:eastAsia="仿宋_GB2312"/>
          <w:b w:val="0"/>
          <w:sz w:val="32"/>
        </w:rPr>
        <w:t>五、《一般公共预算财政拨款支出决算表》</w:t>
      </w:r>
    </w:p>
    <w:p w14:paraId="49D11B59">
      <w:pPr>
        <w:spacing w:line="240" w:lineRule="auto"/>
        <w:ind w:firstLine="640"/>
        <w:jc w:val="both"/>
      </w:pPr>
      <w:r>
        <w:rPr>
          <w:rFonts w:ascii="仿宋_GB2312" w:hAnsi="仿宋_GB2312" w:eastAsia="仿宋_GB2312"/>
          <w:b w:val="0"/>
          <w:sz w:val="32"/>
        </w:rPr>
        <w:t>六、《一般公共预算财政拨款基本支出决算表》</w:t>
      </w:r>
    </w:p>
    <w:p w14:paraId="13768A44">
      <w:pPr>
        <w:spacing w:line="240" w:lineRule="auto"/>
        <w:ind w:firstLine="640"/>
        <w:jc w:val="both"/>
      </w:pPr>
      <w:r>
        <w:rPr>
          <w:rFonts w:ascii="仿宋_GB2312" w:hAnsi="仿宋_GB2312" w:eastAsia="仿宋_GB2312"/>
          <w:b w:val="0"/>
          <w:sz w:val="32"/>
        </w:rPr>
        <w:t>七、《政府性基金预算财政拨款收入支出决算表》</w:t>
      </w:r>
    </w:p>
    <w:p w14:paraId="1A4EF1DD">
      <w:pPr>
        <w:spacing w:line="240" w:lineRule="auto"/>
        <w:ind w:firstLine="640"/>
        <w:jc w:val="both"/>
      </w:pPr>
      <w:r>
        <w:rPr>
          <w:rFonts w:ascii="仿宋_GB2312" w:hAnsi="仿宋_GB2312" w:eastAsia="仿宋_GB2312"/>
          <w:b w:val="0"/>
          <w:sz w:val="32"/>
        </w:rPr>
        <w:t>八、《国有资本经营预算财政拨款收入支出决算表》</w:t>
      </w:r>
    </w:p>
    <w:p w14:paraId="1027F9CE">
      <w:pPr>
        <w:spacing w:line="240" w:lineRule="auto"/>
        <w:ind w:firstLine="640"/>
        <w:jc w:val="both"/>
      </w:pPr>
      <w:r>
        <w:rPr>
          <w:rFonts w:ascii="仿宋_GB2312" w:hAnsi="仿宋_GB2312" w:eastAsia="仿宋_GB2312"/>
          <w:b w:val="0"/>
          <w:sz w:val="32"/>
        </w:rPr>
        <w:t>九、《财政拨款“三公”经费支出决算表》</w:t>
      </w:r>
    </w:p>
    <w:p w14:paraId="44E15F78">
      <w:pPr>
        <w:spacing w:line="240" w:lineRule="auto"/>
        <w:ind w:firstLine="640"/>
        <w:jc w:val="both"/>
      </w:pPr>
    </w:p>
    <w:p w14:paraId="48DFCA90">
      <w:pPr>
        <w:spacing w:line="240" w:lineRule="auto"/>
        <w:ind w:firstLine="640"/>
        <w:jc w:val="both"/>
      </w:pPr>
    </w:p>
    <w:p w14:paraId="242DA276">
      <w:pPr>
        <w:spacing w:line="240" w:lineRule="auto"/>
        <w:ind w:firstLine="640"/>
        <w:jc w:val="both"/>
      </w:pPr>
    </w:p>
    <w:p w14:paraId="62F7A7ED">
      <w:pPr>
        <w:spacing w:line="240" w:lineRule="auto"/>
        <w:ind w:firstLine="640"/>
        <w:jc w:val="both"/>
      </w:pPr>
    </w:p>
    <w:p w14:paraId="11C6839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AF65F2"/>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600E4F"/>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6F7025"/>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4804</Words>
  <Characters>5393</Characters>
  <Lines>0</Lines>
  <Paragraphs>0</Paragraphs>
  <TotalTime>4</TotalTime>
  <ScaleCrop>false</ScaleCrop>
  <LinksUpToDate>false</LinksUpToDate>
  <CharactersWithSpaces>5401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2025-09-02T03:36:53Z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