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bookmarkStart w:id="0" w:name="_GoBack"/>
      <w:bookmarkEnd w:id="0"/>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05C2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克孜勒苏柯尔克孜自治州吐尔尕特口岸管理</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C3B4CEF">
      <w:r>
        <w:br w:type="page"/>
      </w:r>
    </w:p>
    <w:p w14:paraId="3D204CD8">
      <w:pPr>
        <w:spacing w:line="640" w:lineRule="exact"/>
        <w:jc w:val="center"/>
        <w:outlineLvl w:val="1"/>
      </w:pPr>
      <w:r>
        <w:rPr>
          <w:rFonts w:ascii="黑体" w:hAnsi="黑体" w:eastAsia="黑体"/>
          <w:sz w:val="32"/>
        </w:rPr>
        <w:t>第一部分 单位概况</w:t>
      </w:r>
    </w:p>
    <w:p w14:paraId="563C73DB">
      <w:pPr>
        <w:spacing w:line="640" w:lineRule="exact"/>
        <w:ind w:firstLine="640"/>
        <w:jc w:val="both"/>
        <w:outlineLvl w:val="2"/>
      </w:pPr>
      <w:r>
        <w:rPr>
          <w:rFonts w:ascii="黑体" w:hAnsi="黑体" w:eastAsia="黑体"/>
          <w:sz w:val="32"/>
        </w:rPr>
        <w:t>一、主要职能</w:t>
      </w:r>
    </w:p>
    <w:p w14:paraId="01EF4003">
      <w:pPr>
        <w:spacing w:line="580" w:lineRule="exact"/>
        <w:ind w:firstLine="640"/>
        <w:jc w:val="both"/>
      </w:pPr>
      <w:r>
        <w:rPr>
          <w:rFonts w:ascii="仿宋_GB2312" w:hAnsi="仿宋_GB2312" w:eastAsia="仿宋_GB2312"/>
          <w:sz w:val="32"/>
        </w:rPr>
        <w:t>中共吐尔尕特口岸工作委员会为自治州党委的派驻机构，吐尔尕特口岸管委会为自治州人民政府的派驻机构，其职能：贯彻落实党和国家的方针、政策及自治区重大部署；了解和掌握外事、侨务、口岸工作的情况，协调有关部门处理涉外事务；负责编制口岸总体规划和各专项发展规划，并组织实施；负责</w:t>
      </w:r>
      <w:r>
        <w:rPr>
          <w:rFonts w:hint="eastAsia" w:ascii="仿宋_GB2312" w:hAnsi="仿宋_GB2312" w:eastAsia="仿宋_GB2312"/>
          <w:sz w:val="32"/>
          <w:lang w:eastAsia="zh-CN"/>
        </w:rPr>
        <w:t>招</w:t>
      </w:r>
      <w:r>
        <w:rPr>
          <w:rFonts w:ascii="仿宋_GB2312" w:hAnsi="仿宋_GB2312" w:eastAsia="仿宋_GB2312"/>
          <w:sz w:val="32"/>
        </w:rPr>
        <w:t>商引资工作，按规定权限审批、审定、申报各项投资项目；负责规划建设、公共设施建设管理工作；负责口岸财政预决算、国有资产管理、投资、融资工作；根据规定权限负责口岸各类进出口行政事务；承担上级部门、驻口岸各部门及相关单位的沟通联系和协调职责；承办自治区和自治州、人民政府交办的其他事项。</w:t>
      </w:r>
    </w:p>
    <w:p w14:paraId="1ED63DCC">
      <w:pPr>
        <w:spacing w:line="640" w:lineRule="exact"/>
        <w:ind w:firstLine="640"/>
        <w:jc w:val="both"/>
        <w:outlineLvl w:val="2"/>
      </w:pPr>
      <w:r>
        <w:rPr>
          <w:rFonts w:ascii="黑体" w:hAnsi="黑体" w:eastAsia="黑体"/>
          <w:sz w:val="32"/>
        </w:rPr>
        <w:t>二、机构设置及人员情况</w:t>
      </w:r>
    </w:p>
    <w:p w14:paraId="00FD1AC0">
      <w:pPr>
        <w:spacing w:line="580" w:lineRule="exact"/>
        <w:ind w:firstLine="640"/>
        <w:jc w:val="both"/>
      </w:pPr>
      <w:r>
        <w:rPr>
          <w:rFonts w:ascii="仿宋_GB2312" w:hAnsi="仿宋_GB2312" w:eastAsia="仿宋_GB2312"/>
          <w:sz w:val="32"/>
        </w:rPr>
        <w:t>克孜勒苏柯尔克孜自治州吐尔尕特口岸管理委员会2024年度，实有人数53人，其中：在职人员21人，减少1人；离休人员0人，增加0人；退休人员32人,增加1人。</w:t>
      </w:r>
    </w:p>
    <w:p w14:paraId="63AEAF94">
      <w:pPr>
        <w:spacing w:line="580" w:lineRule="exact"/>
        <w:ind w:firstLine="640"/>
        <w:jc w:val="both"/>
      </w:pPr>
      <w:r>
        <w:rPr>
          <w:rFonts w:ascii="仿宋_GB2312" w:hAnsi="仿宋_GB2312" w:eastAsia="仿宋_GB2312"/>
          <w:sz w:val="32"/>
        </w:rPr>
        <w:t>克孜勒苏柯尔克孜自治州吐尔尕特口岸管理委员会无下属预算单位，下设3个科室，分别是：党政办公室、综合科、服务中心。</w:t>
      </w:r>
    </w:p>
    <w:p w14:paraId="2392AA06">
      <w:r>
        <w:br w:type="page"/>
      </w:r>
    </w:p>
    <w:p w14:paraId="2D94B89C">
      <w:pPr>
        <w:spacing w:line="240" w:lineRule="auto"/>
        <w:jc w:val="center"/>
        <w:outlineLvl w:val="1"/>
      </w:pPr>
      <w:r>
        <w:rPr>
          <w:rFonts w:ascii="黑体" w:hAnsi="黑体" w:eastAsia="黑体"/>
          <w:sz w:val="32"/>
        </w:rPr>
        <w:t>第二部分 部门决算情况说明</w:t>
      </w:r>
    </w:p>
    <w:p w14:paraId="5E248814">
      <w:pPr>
        <w:spacing w:line="640" w:lineRule="exact"/>
        <w:ind w:firstLine="640"/>
        <w:jc w:val="both"/>
        <w:outlineLvl w:val="2"/>
      </w:pPr>
      <w:r>
        <w:rPr>
          <w:rFonts w:ascii="黑体" w:hAnsi="黑体" w:eastAsia="黑体"/>
          <w:sz w:val="32"/>
        </w:rPr>
        <w:t>一、收入支出决算总体情况说明</w:t>
      </w:r>
    </w:p>
    <w:p w14:paraId="7491ACDC">
      <w:pPr>
        <w:spacing w:line="580" w:lineRule="exact"/>
        <w:ind w:firstLine="640"/>
        <w:jc w:val="both"/>
      </w:pPr>
      <w:r>
        <w:rPr>
          <w:rFonts w:ascii="仿宋_GB2312" w:hAnsi="仿宋_GB2312" w:eastAsia="仿宋_GB2312"/>
          <w:b/>
          <w:sz w:val="32"/>
        </w:rPr>
        <w:t>2024年度收入总计5,447.20万元，</w:t>
      </w:r>
      <w:r>
        <w:rPr>
          <w:rFonts w:ascii="仿宋_GB2312" w:hAnsi="仿宋_GB2312" w:eastAsia="仿宋_GB2312"/>
          <w:b w:val="0"/>
          <w:sz w:val="32"/>
        </w:rPr>
        <w:t>其中：本年收入合计5,414.11万元，使用非财政拨款结余（含专用结余）0.00万元，年初结转和结余33.10万元。</w:t>
      </w:r>
    </w:p>
    <w:p w14:paraId="45F1857A">
      <w:pPr>
        <w:spacing w:line="580" w:lineRule="exact"/>
        <w:ind w:firstLine="640"/>
        <w:jc w:val="both"/>
      </w:pPr>
      <w:r>
        <w:rPr>
          <w:rFonts w:ascii="仿宋_GB2312" w:hAnsi="仿宋_GB2312" w:eastAsia="仿宋_GB2312"/>
          <w:b/>
          <w:sz w:val="32"/>
        </w:rPr>
        <w:t>2024年度支出总计5,447.20万元，</w:t>
      </w:r>
      <w:r>
        <w:rPr>
          <w:rFonts w:ascii="仿宋_GB2312" w:hAnsi="仿宋_GB2312" w:eastAsia="仿宋_GB2312"/>
          <w:b w:val="0"/>
          <w:sz w:val="32"/>
        </w:rPr>
        <w:t>其中：本年支出合计5,416.01万元，结余分配0.00万元，年末结转和结余31.19万元。</w:t>
      </w:r>
    </w:p>
    <w:p w14:paraId="29FF00AC">
      <w:pPr>
        <w:spacing w:line="580" w:lineRule="exact"/>
        <w:ind w:firstLine="640"/>
        <w:jc w:val="both"/>
      </w:pPr>
      <w:r>
        <w:rPr>
          <w:rFonts w:ascii="仿宋_GB2312" w:hAnsi="仿宋_GB2312" w:eastAsia="仿宋_GB2312"/>
          <w:b w:val="0"/>
          <w:sz w:val="32"/>
        </w:rPr>
        <w:t>收入支出总体与上年相比，增加125.51万元，增长2.36%，主要原因是：本年在职人员工资调增，社保、公积金基数调增，人员经费增加；本年新增中央转移支付业务经费、吐尔尕特口岸查验迁建建设项目、吐尔尕特口岸查验停车场建设项目等。</w:t>
      </w:r>
    </w:p>
    <w:p w14:paraId="7CC25D52">
      <w:pPr>
        <w:spacing w:line="640" w:lineRule="exact"/>
        <w:ind w:firstLine="640"/>
        <w:jc w:val="both"/>
        <w:outlineLvl w:val="2"/>
      </w:pPr>
      <w:r>
        <w:rPr>
          <w:rFonts w:ascii="黑体" w:hAnsi="黑体" w:eastAsia="黑体"/>
          <w:sz w:val="32"/>
        </w:rPr>
        <w:t>二、收入决算情况说明</w:t>
      </w:r>
    </w:p>
    <w:p w14:paraId="1CA540D4">
      <w:pPr>
        <w:spacing w:line="580" w:lineRule="exact"/>
        <w:ind w:firstLine="640"/>
        <w:jc w:val="both"/>
      </w:pPr>
      <w:r>
        <w:rPr>
          <w:rFonts w:ascii="仿宋_GB2312" w:hAnsi="仿宋_GB2312" w:eastAsia="仿宋_GB2312"/>
          <w:b/>
          <w:sz w:val="32"/>
        </w:rPr>
        <w:t>本年收入5,414.11万元，</w:t>
      </w:r>
      <w:r>
        <w:rPr>
          <w:rFonts w:ascii="仿宋_GB2312" w:hAnsi="仿宋_GB2312" w:eastAsia="仿宋_GB2312"/>
          <w:b w:val="0"/>
          <w:sz w:val="32"/>
        </w:rPr>
        <w:t>其中：财政拨款收入5,293.51万元，占97.77%；上级补助收入0.00万元，占0.00%；事业收入0.00万元，占0.00%；经营收入0.00万元，占0.00%；附属单位上缴收入0.00万元，占0.00%；其他收入120.60万元，占2.23%。</w:t>
      </w:r>
    </w:p>
    <w:p w14:paraId="2A430B9C">
      <w:pPr>
        <w:spacing w:line="640" w:lineRule="exact"/>
        <w:ind w:firstLine="640"/>
        <w:jc w:val="both"/>
        <w:outlineLvl w:val="2"/>
      </w:pPr>
      <w:r>
        <w:rPr>
          <w:rFonts w:ascii="黑体" w:hAnsi="黑体" w:eastAsia="黑体"/>
          <w:sz w:val="32"/>
        </w:rPr>
        <w:t>三、支出决算情况说明</w:t>
      </w:r>
    </w:p>
    <w:p w14:paraId="2216D606">
      <w:pPr>
        <w:spacing w:line="580" w:lineRule="exact"/>
        <w:ind w:firstLine="640"/>
        <w:jc w:val="both"/>
      </w:pPr>
      <w:r>
        <w:rPr>
          <w:rFonts w:ascii="仿宋_GB2312" w:hAnsi="仿宋_GB2312" w:eastAsia="仿宋_GB2312"/>
          <w:b/>
          <w:sz w:val="32"/>
        </w:rPr>
        <w:t>本年支出5,416.01万元，</w:t>
      </w:r>
      <w:r>
        <w:rPr>
          <w:rFonts w:ascii="仿宋_GB2312" w:hAnsi="仿宋_GB2312" w:eastAsia="仿宋_GB2312"/>
          <w:b w:val="0"/>
          <w:sz w:val="32"/>
        </w:rPr>
        <w:t>其中：基本支出716.87万元，占13.24%；项目支出4,699.14万元，占86.76%；上缴上级支出0.00万元，占0.00%；经营支出0.00万元，占0.00%；对附属单位补助支出0.00万元，占0.00%。</w:t>
      </w:r>
    </w:p>
    <w:p w14:paraId="5E8DE497">
      <w:pPr>
        <w:spacing w:line="640" w:lineRule="exact"/>
        <w:ind w:firstLine="640"/>
        <w:jc w:val="both"/>
        <w:outlineLvl w:val="2"/>
      </w:pPr>
      <w:r>
        <w:rPr>
          <w:rFonts w:ascii="黑体" w:hAnsi="黑体" w:eastAsia="黑体"/>
          <w:sz w:val="32"/>
        </w:rPr>
        <w:t>四、财政拨款收入支出决算总体情况说明</w:t>
      </w:r>
    </w:p>
    <w:p w14:paraId="16306389">
      <w:pPr>
        <w:spacing w:line="580" w:lineRule="exact"/>
        <w:ind w:firstLine="640"/>
        <w:jc w:val="both"/>
      </w:pPr>
      <w:r>
        <w:rPr>
          <w:rFonts w:ascii="仿宋_GB2312" w:hAnsi="仿宋_GB2312" w:eastAsia="仿宋_GB2312"/>
          <w:b/>
          <w:sz w:val="32"/>
        </w:rPr>
        <w:t>2024年度财政拨款收入总计5,293.51万元，</w:t>
      </w:r>
      <w:r>
        <w:rPr>
          <w:rFonts w:ascii="仿宋_GB2312" w:hAnsi="仿宋_GB2312" w:eastAsia="仿宋_GB2312"/>
          <w:b w:val="0"/>
          <w:sz w:val="32"/>
        </w:rPr>
        <w:t>其中：年初财政拨款结转和结余0.00万元，本年财政拨款收入5,293.51万元。</w:t>
      </w:r>
      <w:r>
        <w:rPr>
          <w:rFonts w:ascii="仿宋_GB2312" w:hAnsi="仿宋_GB2312" w:eastAsia="仿宋_GB2312"/>
          <w:b/>
          <w:sz w:val="32"/>
        </w:rPr>
        <w:t>财政拨款支出总计5,293.51万元，</w:t>
      </w:r>
      <w:r>
        <w:rPr>
          <w:rFonts w:ascii="仿宋_GB2312" w:hAnsi="仿宋_GB2312" w:eastAsia="仿宋_GB2312"/>
          <w:b w:val="0"/>
          <w:sz w:val="32"/>
        </w:rPr>
        <w:t>其中：年末财政拨款结转和结余0.00万元，本年财政拨款支出5,293.51万元。</w:t>
      </w:r>
    </w:p>
    <w:p w14:paraId="7A1BD06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增加69.62万元，增长1.33%，主要原因是：本年在职人员工资调增，社保、公积金基数调增，人员经费增加；本年新增中央转移支付业务经费。</w:t>
      </w:r>
      <w:r>
        <w:rPr>
          <w:rFonts w:ascii="仿宋_GB2312" w:hAnsi="仿宋_GB2312" w:eastAsia="仿宋_GB2312"/>
          <w:b/>
          <w:sz w:val="32"/>
        </w:rPr>
        <w:t>与年初预算相比，</w:t>
      </w:r>
      <w:r>
        <w:rPr>
          <w:rFonts w:ascii="仿宋_GB2312" w:hAnsi="仿宋_GB2312" w:eastAsia="仿宋_GB2312"/>
          <w:b w:val="0"/>
          <w:sz w:val="32"/>
        </w:rPr>
        <w:t>年初预算数832.97万元，决算数5,293.51万元，预决算差异率535.50%，主要原因是：年中追加人员工资、社保、公积金基数调增部分资金，同时追加中央转移支付业务经费，导致预决算存在差异。</w:t>
      </w:r>
    </w:p>
    <w:p w14:paraId="37390D6D">
      <w:pPr>
        <w:spacing w:line="640" w:lineRule="exact"/>
        <w:ind w:firstLine="640"/>
        <w:jc w:val="both"/>
        <w:outlineLvl w:val="2"/>
      </w:pPr>
      <w:r>
        <w:rPr>
          <w:rFonts w:ascii="黑体" w:hAnsi="黑体" w:eastAsia="黑体"/>
          <w:sz w:val="32"/>
        </w:rPr>
        <w:t>五、一般公共预算财政拨款支出决算情况说明</w:t>
      </w:r>
    </w:p>
    <w:p w14:paraId="73038541">
      <w:pPr>
        <w:spacing w:line="640" w:lineRule="exact"/>
        <w:ind w:firstLine="640"/>
        <w:jc w:val="both"/>
        <w:outlineLvl w:val="3"/>
      </w:pPr>
      <w:r>
        <w:rPr>
          <w:rFonts w:ascii="楷体_GB2312" w:hAnsi="楷体_GB2312" w:eastAsia="楷体_GB2312"/>
          <w:b/>
          <w:sz w:val="32"/>
        </w:rPr>
        <w:t>（一）一般公共预算财政拨款支出决算总体情况</w:t>
      </w:r>
    </w:p>
    <w:p w14:paraId="1F5DB9AA">
      <w:pPr>
        <w:spacing w:line="580" w:lineRule="exact"/>
        <w:ind w:firstLine="640"/>
        <w:jc w:val="both"/>
      </w:pPr>
      <w:r>
        <w:rPr>
          <w:rFonts w:ascii="仿宋_GB2312" w:hAnsi="仿宋_GB2312" w:eastAsia="仿宋_GB2312"/>
          <w:b/>
          <w:sz w:val="32"/>
        </w:rPr>
        <w:t>2024年度一般公共预算财政拨款支出5,293.51万元，</w:t>
      </w:r>
      <w:r>
        <w:rPr>
          <w:rFonts w:ascii="仿宋_GB2312" w:hAnsi="仿宋_GB2312" w:eastAsia="仿宋_GB2312"/>
          <w:b w:val="0"/>
          <w:sz w:val="32"/>
        </w:rPr>
        <w:t>占本年支出合计的97.74%。</w:t>
      </w:r>
      <w:r>
        <w:rPr>
          <w:rFonts w:ascii="仿宋_GB2312" w:hAnsi="仿宋_GB2312" w:eastAsia="仿宋_GB2312"/>
          <w:b/>
          <w:sz w:val="32"/>
        </w:rPr>
        <w:t>与上年相比，</w:t>
      </w:r>
      <w:r>
        <w:rPr>
          <w:rFonts w:ascii="仿宋_GB2312" w:hAnsi="仿宋_GB2312" w:eastAsia="仿宋_GB2312"/>
          <w:b w:val="0"/>
          <w:sz w:val="32"/>
        </w:rPr>
        <w:t>增加69.62万元，增长1.33%，主要原因是：本年在职人员工资调增，社保、公积金基数调增，人员经费增加；本年新增中央转移支付业务经费。</w:t>
      </w:r>
      <w:r>
        <w:rPr>
          <w:rFonts w:ascii="仿宋_GB2312" w:hAnsi="仿宋_GB2312" w:eastAsia="仿宋_GB2312"/>
          <w:b/>
          <w:sz w:val="32"/>
        </w:rPr>
        <w:t>与年初预算相比,</w:t>
      </w:r>
      <w:r>
        <w:rPr>
          <w:rFonts w:ascii="仿宋_GB2312" w:hAnsi="仿宋_GB2312" w:eastAsia="仿宋_GB2312"/>
          <w:b w:val="0"/>
          <w:sz w:val="32"/>
        </w:rPr>
        <w:t>年初预算数832.97万元，决算数5,293.51万元，预决算差异率535.50%，主要原因是：年中追加人员工资、社保、公积金基数调增部分资金，同时追加中央转移支付业务经费，导致预决算存在差异。</w:t>
      </w:r>
    </w:p>
    <w:p w14:paraId="732DA5C1">
      <w:pPr>
        <w:spacing w:line="640" w:lineRule="exact"/>
        <w:ind w:firstLine="640"/>
        <w:jc w:val="both"/>
        <w:outlineLvl w:val="3"/>
      </w:pPr>
      <w:r>
        <w:rPr>
          <w:rFonts w:ascii="楷体_GB2312" w:hAnsi="楷体_GB2312" w:eastAsia="楷体_GB2312"/>
          <w:b/>
          <w:sz w:val="32"/>
        </w:rPr>
        <w:t>（二）一般公共预算财政拨款支出决算结构情况</w:t>
      </w:r>
    </w:p>
    <w:p w14:paraId="77B9F9DD">
      <w:pPr>
        <w:spacing w:line="580" w:lineRule="exact"/>
        <w:ind w:firstLine="640"/>
        <w:jc w:val="both"/>
      </w:pPr>
      <w:r>
        <w:rPr>
          <w:rFonts w:ascii="仿宋_GB2312" w:hAnsi="仿宋_GB2312" w:eastAsia="仿宋_GB2312"/>
          <w:b w:val="0"/>
          <w:sz w:val="32"/>
        </w:rPr>
        <w:t>1.一般公共服务支出(类)3,768.29万元,占71.19%。</w:t>
      </w:r>
    </w:p>
    <w:p w14:paraId="07C42643">
      <w:pPr>
        <w:spacing w:line="580" w:lineRule="exact"/>
        <w:ind w:firstLine="640"/>
        <w:jc w:val="both"/>
      </w:pPr>
      <w:r>
        <w:rPr>
          <w:rFonts w:ascii="仿宋_GB2312" w:hAnsi="仿宋_GB2312" w:eastAsia="仿宋_GB2312"/>
          <w:b w:val="0"/>
          <w:sz w:val="32"/>
        </w:rPr>
        <w:t>2.社会保障和就业支出(类)105.53万元,占1.99%。</w:t>
      </w:r>
    </w:p>
    <w:p w14:paraId="372FE834">
      <w:pPr>
        <w:spacing w:line="580" w:lineRule="exact"/>
        <w:ind w:firstLine="640"/>
        <w:jc w:val="both"/>
      </w:pPr>
      <w:r>
        <w:rPr>
          <w:rFonts w:ascii="仿宋_GB2312" w:hAnsi="仿宋_GB2312" w:eastAsia="仿宋_GB2312"/>
          <w:b w:val="0"/>
          <w:sz w:val="32"/>
        </w:rPr>
        <w:t>3.交通运输支出(类)1,419.69万元,占26.82%。</w:t>
      </w:r>
    </w:p>
    <w:p w14:paraId="12E70DF6">
      <w:pPr>
        <w:spacing w:line="640" w:lineRule="exact"/>
        <w:ind w:firstLine="640"/>
        <w:jc w:val="both"/>
        <w:outlineLvl w:val="3"/>
      </w:pPr>
      <w:r>
        <w:rPr>
          <w:rFonts w:ascii="楷体_GB2312" w:hAnsi="楷体_GB2312" w:eastAsia="楷体_GB2312"/>
          <w:b/>
          <w:sz w:val="32"/>
        </w:rPr>
        <w:t>（三）一般公共预算财政拨款支出决算具体情况</w:t>
      </w:r>
    </w:p>
    <w:p w14:paraId="39ED49EF">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178.37万元，比上年决算减少65.56万元，下降26.88%,主要原因是：严格按照上级要求，厉行节约，本年减少业务办公经费、劳务费。</w:t>
      </w:r>
    </w:p>
    <w:p w14:paraId="17DF3A3B">
      <w:pPr>
        <w:spacing w:line="580" w:lineRule="exact"/>
        <w:ind w:firstLine="640"/>
        <w:jc w:val="both"/>
      </w:pPr>
      <w:r>
        <w:rPr>
          <w:rFonts w:ascii="仿宋_GB2312" w:hAnsi="仿宋_GB2312" w:eastAsia="仿宋_GB2312"/>
          <w:b w:val="0"/>
          <w:sz w:val="32"/>
        </w:rPr>
        <w:t>2.一般公共服务支出(类)政府办公厅（室）及相关机构事务(款)事业运行(项):支出决算数为310.46万元，比上年决算减少0.52万元，下降0.17%,主要原因是：本年未补发在职人员绩效工资，导致经费较上年减少。</w:t>
      </w:r>
    </w:p>
    <w:p w14:paraId="3DB09819">
      <w:pPr>
        <w:spacing w:line="580" w:lineRule="exact"/>
        <w:ind w:firstLine="640"/>
        <w:jc w:val="both"/>
      </w:pPr>
      <w:r>
        <w:rPr>
          <w:rFonts w:ascii="仿宋_GB2312" w:hAnsi="仿宋_GB2312" w:eastAsia="仿宋_GB2312"/>
          <w:b w:val="0"/>
          <w:sz w:val="32"/>
        </w:rPr>
        <w:t>3.一般公共服务支出(类)政府办公厅（室）及相关机构事务(款)其他政府办公厅（室）及相关机构事务支出(项):支出决算数为3,278.97万元，比上年决算减少1,234.99万元，下降27.36%,主要原因是：本年垃圾</w:t>
      </w:r>
      <w:r>
        <w:rPr>
          <w:rFonts w:hint="eastAsia" w:ascii="仿宋_GB2312" w:hAnsi="仿宋_GB2312" w:eastAsia="仿宋_GB2312"/>
          <w:b w:val="0"/>
          <w:sz w:val="32"/>
          <w:lang w:eastAsia="zh-CN"/>
        </w:rPr>
        <w:t>填埋场</w:t>
      </w:r>
      <w:r>
        <w:rPr>
          <w:rFonts w:ascii="仿宋_GB2312" w:hAnsi="仿宋_GB2312" w:eastAsia="仿宋_GB2312"/>
          <w:b w:val="0"/>
          <w:sz w:val="32"/>
        </w:rPr>
        <w:t>、BJ地区转移支付资金口岸运转经费、查验迁建建设项目经费较上年减少。</w:t>
      </w:r>
    </w:p>
    <w:p w14:paraId="2B12E66F">
      <w:pPr>
        <w:spacing w:line="580" w:lineRule="exact"/>
        <w:ind w:firstLine="640"/>
        <w:jc w:val="both"/>
      </w:pPr>
      <w:r>
        <w:rPr>
          <w:rFonts w:ascii="仿宋_GB2312" w:hAnsi="仿宋_GB2312" w:eastAsia="仿宋_GB2312"/>
          <w:b w:val="0"/>
          <w:sz w:val="32"/>
        </w:rPr>
        <w:t>4.一般公共服务支出(类)商贸事务(款)其他商贸事务支出(项):支出决算数为0.48万元，比上年决算减少4.48万元，下降90.32%,主要原因是：本年未拨付吊装移位费项目经费，导致经费减少。</w:t>
      </w:r>
    </w:p>
    <w:p w14:paraId="12EA535D">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5.社会保障和就业支出(类)行政事业单位养老支出(款)行政单位离退休(项):支出决算数为26.85万元，比上年决算增加5.17万元，增长23.85%,主要原因是：本年增加退休人员基础绩效奖，退休费支出增加。</w:t>
      </w:r>
    </w:p>
    <w:p w14:paraId="00FC4BBA">
      <w:pPr>
        <w:spacing w:line="580" w:lineRule="exact"/>
        <w:ind w:firstLine="640"/>
        <w:jc w:val="both"/>
      </w:pPr>
      <w:r>
        <w:rPr>
          <w:rFonts w:ascii="仿宋_GB2312" w:hAnsi="仿宋_GB2312" w:eastAsia="仿宋_GB2312"/>
          <w:b w:val="0"/>
          <w:sz w:val="32"/>
        </w:rPr>
        <w:t>6.社会保障和就业支出(类)行政事业单位养老支出(款)事业单位离退休(项):支出决算数为25.71万元，比上年决算增加5.94万元，增长30.05%,主要原因是：本年增加退休人员基础绩效奖，退休费支出增加。</w:t>
      </w:r>
    </w:p>
    <w:p w14:paraId="115F06F9">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52.98万元，比上年决算增加3.17万元，增长6.36%,主要原因是：本年在职人员工资基数调增，养老缴费基数上涨，相应支出增加。</w:t>
      </w:r>
    </w:p>
    <w:p w14:paraId="77999094">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0.00万元，比上年决算减少51.12万元，下降100.00%,主要原因是：本年功能科目调整，机关事业单位职业年金缴费上年度单独列支，本年调整至行政运行科目列支，导致经费较上年减少。</w:t>
      </w:r>
    </w:p>
    <w:p w14:paraId="30F4A4D6">
      <w:pPr>
        <w:spacing w:line="580" w:lineRule="exact"/>
        <w:ind w:firstLine="640"/>
        <w:jc w:val="both"/>
      </w:pPr>
      <w:r>
        <w:rPr>
          <w:rFonts w:ascii="仿宋_GB2312" w:hAnsi="仿宋_GB2312" w:eastAsia="仿宋_GB2312"/>
          <w:b w:val="0"/>
          <w:sz w:val="32"/>
        </w:rPr>
        <w:t>9.卫生健康支出(类)公共卫生(款)突发公共卫生事件应急处理(项):支出决算数为0.00万元，比上年决算减少6.05万元，下降100.00%,主要原因是：本年减少防控医疗物资经费。</w:t>
      </w:r>
    </w:p>
    <w:p w14:paraId="0EE98FD0">
      <w:pPr>
        <w:spacing w:line="580" w:lineRule="exact"/>
        <w:ind w:firstLine="640"/>
        <w:jc w:val="both"/>
      </w:pPr>
      <w:r>
        <w:rPr>
          <w:rFonts w:ascii="仿宋_GB2312" w:hAnsi="仿宋_GB2312" w:eastAsia="仿宋_GB2312"/>
          <w:b w:val="0"/>
          <w:sz w:val="32"/>
        </w:rPr>
        <w:t>10.交通运输支出(类)公路水路运输(款)口岸建设(项):支出决算数为1,419.69万元，比上年决算增加1,419.69万元，增长100.00%,主要原因是：本年增加吐尔尕特口岸垃圾填埋场建设项目、吐尔尕特口岸水厂建设项目、吐尔尕特口岸查验迁建建设项目、吐尔尕特口岸查验停车场建设项目。</w:t>
      </w:r>
    </w:p>
    <w:p w14:paraId="330CC27C">
      <w:pPr>
        <w:spacing w:line="580" w:lineRule="exact"/>
        <w:ind w:firstLine="640"/>
        <w:jc w:val="both"/>
      </w:pPr>
      <w:r>
        <w:rPr>
          <w:rFonts w:ascii="仿宋_GB2312" w:hAnsi="仿宋_GB2312" w:eastAsia="仿宋_GB2312"/>
          <w:b w:val="0"/>
          <w:sz w:val="32"/>
        </w:rPr>
        <w:t>11.住房保障支出(类)住房改革支出(款)住房公积金(项):支出决算数为0.00万元，比上年决算减少1.63万元，下降100.00%,主要原因是：本年功能科目调整，住房公积金缴费上年单独列支，本年调整到事业运行科目、行政运行科目列支，导致经费减少。</w:t>
      </w:r>
    </w:p>
    <w:p w14:paraId="060EFF51">
      <w:pPr>
        <w:spacing w:line="640" w:lineRule="exact"/>
        <w:ind w:firstLine="640"/>
        <w:jc w:val="both"/>
        <w:outlineLvl w:val="2"/>
      </w:pPr>
      <w:r>
        <w:rPr>
          <w:rFonts w:ascii="黑体" w:hAnsi="黑体" w:eastAsia="黑体"/>
          <w:sz w:val="32"/>
        </w:rPr>
        <w:t>六、一般公共预算财政拨款基本支出决算情况说明</w:t>
      </w:r>
    </w:p>
    <w:p w14:paraId="274B1229">
      <w:pPr>
        <w:spacing w:line="580" w:lineRule="exact"/>
        <w:ind w:firstLine="640"/>
        <w:jc w:val="both"/>
      </w:pPr>
      <w:r>
        <w:rPr>
          <w:rFonts w:ascii="仿宋_GB2312" w:hAnsi="仿宋_GB2312" w:eastAsia="仿宋_GB2312"/>
          <w:b w:val="0"/>
          <w:sz w:val="32"/>
        </w:rPr>
        <w:t>2024年度一般公共预算财政拨款基本支出594.37万元，其中：</w:t>
      </w:r>
      <w:r>
        <w:rPr>
          <w:rFonts w:ascii="仿宋_GB2312" w:hAnsi="仿宋_GB2312" w:eastAsia="仿宋_GB2312"/>
          <w:b/>
          <w:sz w:val="32"/>
        </w:rPr>
        <w:t>人员经费577.30万元，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包括：基本工资、津贴补贴、奖金、机关事业单位基本养老保险缴费、职业年金缴费、职工基本医疗保险缴费、其他社会保障缴费、住房公积金、其他工资福利支出、退休费、生活补助、奖励金。</w:t>
      </w:r>
    </w:p>
    <w:p w14:paraId="55B19D3C">
      <w:pPr>
        <w:spacing w:line="580" w:lineRule="exact"/>
        <w:ind w:firstLine="640"/>
        <w:jc w:val="both"/>
      </w:pPr>
      <w:r>
        <w:rPr>
          <w:rFonts w:ascii="仿宋_GB2312" w:hAnsi="仿宋_GB2312" w:eastAsia="仿宋_GB2312"/>
          <w:b/>
          <w:sz w:val="32"/>
        </w:rPr>
        <w:t>公用经费17.07万元，</w:t>
      </w:r>
      <w:r>
        <w:rPr>
          <w:rFonts w:ascii="仿宋_GB2312" w:hAnsi="仿宋_GB2312" w:eastAsia="仿宋_GB2312"/>
          <w:b w:val="0"/>
          <w:sz w:val="32"/>
        </w:rPr>
        <w:t>包括：差旅费、工会经费、福利费、公务用车运行维护费。</w:t>
      </w:r>
    </w:p>
    <w:p w14:paraId="464C70CD">
      <w:pPr>
        <w:spacing w:line="640" w:lineRule="exact"/>
        <w:ind w:firstLine="640"/>
        <w:jc w:val="both"/>
        <w:outlineLvl w:val="2"/>
      </w:pPr>
      <w:r>
        <w:rPr>
          <w:rFonts w:ascii="黑体" w:hAnsi="黑体" w:eastAsia="黑体"/>
          <w:sz w:val="32"/>
        </w:rPr>
        <w:t>七、政府性基金预算财政拨款收入支出决算情况说明</w:t>
      </w:r>
    </w:p>
    <w:p w14:paraId="2C419CA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86F78FC">
      <w:pPr>
        <w:spacing w:line="640" w:lineRule="exact"/>
        <w:ind w:firstLine="640"/>
        <w:jc w:val="both"/>
        <w:outlineLvl w:val="2"/>
      </w:pPr>
      <w:r>
        <w:rPr>
          <w:rFonts w:ascii="黑体" w:hAnsi="黑体" w:eastAsia="黑体"/>
          <w:sz w:val="32"/>
        </w:rPr>
        <w:t>八、国有资本经营预算财政拨款收入支出决算情况说明</w:t>
      </w:r>
    </w:p>
    <w:p w14:paraId="3D8148A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0B0AC06">
      <w:pPr>
        <w:spacing w:line="640" w:lineRule="exact"/>
        <w:ind w:firstLine="640"/>
        <w:jc w:val="both"/>
        <w:outlineLvl w:val="2"/>
      </w:pPr>
      <w:r>
        <w:rPr>
          <w:rFonts w:ascii="黑体" w:hAnsi="黑体" w:eastAsia="黑体"/>
          <w:sz w:val="32"/>
        </w:rPr>
        <w:t>九、财政拨款“三公”经费支出决算情况说明</w:t>
      </w:r>
    </w:p>
    <w:p w14:paraId="1100C45F">
      <w:pPr>
        <w:spacing w:line="580" w:lineRule="exact"/>
        <w:ind w:firstLine="640"/>
        <w:jc w:val="both"/>
      </w:pPr>
      <w:r>
        <w:rPr>
          <w:rFonts w:ascii="仿宋_GB2312" w:hAnsi="仿宋_GB2312" w:eastAsia="仿宋_GB2312"/>
          <w:b/>
          <w:sz w:val="32"/>
        </w:rPr>
        <w:t>2024年度财政拨款“三公”经费支出27.63万元，</w:t>
      </w:r>
      <w:r>
        <w:rPr>
          <w:rFonts w:ascii="仿宋_GB2312" w:hAnsi="仿宋_GB2312" w:eastAsia="仿宋_GB2312"/>
          <w:b w:val="0"/>
          <w:sz w:val="32"/>
        </w:rPr>
        <w:t>比上年增加19.43万元，增长236.95%，主要原因是：本年新购入公务用车，公务用车购置费较上年增加。其中：因公出国（境）费支出0.00万元，占0.00%，比上年增加0.00万元，增长0.00%，主要原因是：2023年与2024年均未安排因公出国（境）费支出。公务用车购置及运行维护费支出27.63万元，占100.00%，比上年增加19.43万元，增长236.95%，主要原因是：本年新购入公务用车，公务用车购置费较上年增加。公务接待费支出0.00万元，占0.00%，比上年增加0.00万元，增长0.00%，主要原因是：2023年与2024年均未安排公务接待费支出。</w:t>
      </w:r>
    </w:p>
    <w:p w14:paraId="5390C51B">
      <w:pPr>
        <w:spacing w:line="580" w:lineRule="exact"/>
        <w:ind w:firstLine="640"/>
        <w:jc w:val="both"/>
      </w:pPr>
      <w:r>
        <w:rPr>
          <w:rFonts w:ascii="仿宋_GB2312" w:hAnsi="仿宋_GB2312" w:eastAsia="仿宋_GB2312"/>
          <w:b/>
          <w:sz w:val="32"/>
        </w:rPr>
        <w:t>具体情况如下：</w:t>
      </w:r>
    </w:p>
    <w:p w14:paraId="16DFA96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1F86CF3">
      <w:pPr>
        <w:spacing w:line="580" w:lineRule="exact"/>
        <w:ind w:firstLine="640"/>
        <w:jc w:val="both"/>
      </w:pPr>
      <w:r>
        <w:rPr>
          <w:rFonts w:ascii="仿宋_GB2312" w:hAnsi="仿宋_GB2312" w:eastAsia="仿宋_GB2312"/>
          <w:b w:val="0"/>
          <w:sz w:val="32"/>
        </w:rPr>
        <w:t>公务用车购置及运行维护费27.63万元，其中：公务用车购置费24.46万元，公务用车运行维护费3.17万元。公务用车运行维护费开支内容包括车辆加油费、维修费、保险费、审车费、过路费等。公务用车购置数1辆，公务用车保有量6辆。国有资产占用情况中固定资产车辆6辆，与公务用车保有量差异原因是：本单位固定资产车辆与公务用车保有量一致无差异。</w:t>
      </w:r>
    </w:p>
    <w:p w14:paraId="0712C77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7EB017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27.63万元，决算数27.63万元，预决算差异率0.00%，主要原因是：严格按照预算执行，预决算无差异。其中：因公出国（境）费全年预算数0.00万元，决算数0.00万元，预决算差异率0.00%，主要原因是：本单位无因公出国（境）费。公务用车购置费全年预算数24.46万元，决算数24.46万元，预决算差异率0.00%，主要原因是：严格按照预算执行，预决算无差异。公务用车运行维护费全年预算数3.17万元，决算数3.17万元，预决算差异率0.00%，主要原因是：严格按照预算执行，预决算无差异。公务接待费全年预算数0.00万元，决算数0.00万元，预决算差异率0.00%，主要原因是：本单位无公务接待费。</w:t>
      </w:r>
    </w:p>
    <w:p w14:paraId="5D18079A">
      <w:pPr>
        <w:spacing w:line="640" w:lineRule="exact"/>
        <w:ind w:firstLine="640"/>
        <w:jc w:val="both"/>
        <w:outlineLvl w:val="2"/>
      </w:pPr>
      <w:r>
        <w:rPr>
          <w:rFonts w:ascii="黑体" w:hAnsi="黑体" w:eastAsia="黑体"/>
          <w:sz w:val="32"/>
        </w:rPr>
        <w:t>十、其他重要事项的情况说明</w:t>
      </w:r>
    </w:p>
    <w:p w14:paraId="293EF4B6">
      <w:pPr>
        <w:spacing w:line="640" w:lineRule="exact"/>
        <w:ind w:firstLine="640"/>
        <w:jc w:val="both"/>
        <w:outlineLvl w:val="3"/>
      </w:pPr>
      <w:r>
        <w:rPr>
          <w:rFonts w:ascii="楷体_GB2312" w:hAnsi="楷体_GB2312" w:eastAsia="楷体_GB2312"/>
          <w:b/>
          <w:sz w:val="32"/>
        </w:rPr>
        <w:t>（一）机关运行经费及公用经费支出情况</w:t>
      </w:r>
    </w:p>
    <w:p w14:paraId="05EE719D">
      <w:pPr>
        <w:spacing w:line="580" w:lineRule="exact"/>
        <w:ind w:firstLine="640"/>
        <w:jc w:val="both"/>
      </w:pPr>
      <w:r>
        <w:rPr>
          <w:rFonts w:ascii="仿宋_GB2312" w:hAnsi="仿宋_GB2312" w:eastAsia="仿宋_GB2312"/>
          <w:b w:val="0"/>
          <w:sz w:val="32"/>
        </w:rPr>
        <w:t>2024年度克孜勒苏柯尔克孜自治州吐尔尕特口岸管理委员会（行政单位和参照公务员法管理事业单位）机关运行经费支出17.07万元，比上年减少58.82万元，下降77.51%，主要原因是：严格按照上级要求，厉行节约，本年减少业务办公经费、劳务费。</w:t>
      </w:r>
    </w:p>
    <w:p w14:paraId="76A42CD8">
      <w:pPr>
        <w:spacing w:line="640" w:lineRule="exact"/>
        <w:ind w:firstLine="640"/>
        <w:jc w:val="both"/>
        <w:outlineLvl w:val="3"/>
      </w:pPr>
      <w:r>
        <w:rPr>
          <w:rFonts w:ascii="楷体_GB2312" w:hAnsi="楷体_GB2312" w:eastAsia="楷体_GB2312"/>
          <w:b/>
          <w:sz w:val="32"/>
        </w:rPr>
        <w:t>（二）政府采购情况</w:t>
      </w:r>
    </w:p>
    <w:p w14:paraId="1A356D7C">
      <w:pPr>
        <w:spacing w:line="580" w:lineRule="exact"/>
        <w:ind w:firstLine="640"/>
        <w:jc w:val="both"/>
      </w:pPr>
      <w:r>
        <w:rPr>
          <w:rFonts w:ascii="仿宋_GB2312" w:hAnsi="仿宋_GB2312" w:eastAsia="仿宋_GB2312"/>
          <w:b w:val="0"/>
          <w:sz w:val="32"/>
        </w:rPr>
        <w:t>2024年度政府采购支出总额196.66万元，其中：政府采购货物支出0.45万元、政府采购工程支出0.00万元、政府采购服务支出196.21万元。</w:t>
      </w:r>
    </w:p>
    <w:p w14:paraId="24120EBC">
      <w:pPr>
        <w:spacing w:line="580" w:lineRule="exact"/>
        <w:ind w:firstLine="640"/>
        <w:jc w:val="both"/>
      </w:pPr>
      <w:r>
        <w:rPr>
          <w:rFonts w:ascii="仿宋_GB2312" w:hAnsi="仿宋_GB2312" w:eastAsia="仿宋_GB2312"/>
          <w:b w:val="0"/>
          <w:sz w:val="32"/>
        </w:rPr>
        <w:t>授予中小企业合同金额196.66万元，占政府采购支出总额的100.00%，其中：授予小微企业合同金额0.95万元，占政府采购支出总额的0.48%。</w:t>
      </w:r>
    </w:p>
    <w:p w14:paraId="0CEBD82A">
      <w:pPr>
        <w:spacing w:line="640" w:lineRule="exact"/>
        <w:ind w:firstLine="640"/>
        <w:jc w:val="both"/>
        <w:outlineLvl w:val="3"/>
      </w:pPr>
      <w:r>
        <w:rPr>
          <w:rFonts w:ascii="楷体_GB2312" w:hAnsi="楷体_GB2312" w:eastAsia="楷体_GB2312"/>
          <w:b/>
          <w:sz w:val="32"/>
        </w:rPr>
        <w:t>（三）国有资产占用情况说明</w:t>
      </w:r>
    </w:p>
    <w:p w14:paraId="78B95F06">
      <w:pPr>
        <w:spacing w:line="580" w:lineRule="exact"/>
        <w:ind w:firstLine="640"/>
        <w:jc w:val="both"/>
      </w:pPr>
      <w:r>
        <w:rPr>
          <w:rFonts w:ascii="仿宋_GB2312" w:hAnsi="仿宋_GB2312" w:eastAsia="仿宋_GB2312"/>
          <w:b w:val="0"/>
          <w:sz w:val="32"/>
        </w:rPr>
        <w:t>截至2024年12月31日，房屋37,841.63平方米，价值11,276.20万元。车辆6辆，价值168.77万元，其中：副部（省）级及以上领导用车0辆、主要负责人用车0辆、机要通信用车0辆、应急保障用车0辆、执法执勤用车0辆、特种专业技术用车2辆、离退休干部服务用车0辆、其他用车4辆，其他用车主要是：一般公务用车。单价100万元（含）以上设备（不含车辆）5台（套）。</w:t>
      </w:r>
    </w:p>
    <w:p w14:paraId="45CF5963">
      <w:pPr>
        <w:spacing w:line="640" w:lineRule="exact"/>
        <w:ind w:firstLine="640"/>
        <w:jc w:val="both"/>
        <w:outlineLvl w:val="2"/>
      </w:pPr>
      <w:r>
        <w:rPr>
          <w:rFonts w:ascii="黑体" w:hAnsi="黑体" w:eastAsia="黑体"/>
          <w:sz w:val="32"/>
        </w:rPr>
        <w:t>十一、预算绩效的情况说明</w:t>
      </w:r>
    </w:p>
    <w:p w14:paraId="714BFE1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5,447.20万元，实际执行总额5,416.01万元；预算绩效评价项目4个，全年预算数141.09万元，全年执行数129.98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对绩效目标偏差问题缺乏有效分析，从而导致填报的内容相对简单。二是在部门整体支出的资金安排和使用上仍有不可预见性，在经费支出科学化精细化管理上还有待加强。具体附整体支出绩效自评表，项目支出绩效自评表和评价报告。</w:t>
      </w:r>
    </w:p>
    <w:p w14:paraId="6B6BA02C">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420"/>
        <w:gridCol w:w="790"/>
        <w:gridCol w:w="1105"/>
        <w:gridCol w:w="1105"/>
      </w:tblGrid>
      <w:tr w14:paraId="51FD2CC1">
        <w:tblPrEx>
          <w:tblCellMar>
            <w:top w:w="0" w:type="dxa"/>
            <w:left w:w="108" w:type="dxa"/>
            <w:bottom w:w="0" w:type="dxa"/>
            <w:right w:w="108" w:type="dxa"/>
          </w:tblCellMar>
        </w:tblPrEx>
        <w:tc>
          <w:tcPr>
            <w:tcW w:w="8840" w:type="dxa"/>
            <w:gridSpan w:val="8"/>
            <w:vAlign w:val="center"/>
          </w:tcPr>
          <w:p w14:paraId="27E89743">
            <w:pPr>
              <w:jc w:val="center"/>
            </w:pPr>
            <w:r>
              <w:rPr>
                <w:rFonts w:ascii="宋体" w:hAnsi="宋体" w:eastAsia="宋体"/>
                <w:sz w:val="24"/>
              </w:rPr>
              <w:t>单位整体支出绩效自评表</w:t>
            </w:r>
          </w:p>
        </w:tc>
      </w:tr>
      <w:tr w14:paraId="22D2B580">
        <w:tblPrEx>
          <w:tblCellMar>
            <w:top w:w="0" w:type="dxa"/>
            <w:left w:w="108" w:type="dxa"/>
            <w:bottom w:w="0" w:type="dxa"/>
            <w:right w:w="108" w:type="dxa"/>
          </w:tblCellMar>
        </w:tblPrEx>
        <w:tc>
          <w:tcPr>
            <w:tcW w:w="8840" w:type="dxa"/>
            <w:gridSpan w:val="8"/>
            <w:vAlign w:val="center"/>
          </w:tcPr>
          <w:p w14:paraId="09A58D78">
            <w:pPr>
              <w:jc w:val="center"/>
            </w:pPr>
            <w:r>
              <w:rPr>
                <w:rFonts w:ascii="宋体" w:hAnsi="宋体" w:eastAsia="宋体"/>
                <w:sz w:val="24"/>
              </w:rPr>
              <w:t>（2024年度）</w:t>
            </w:r>
          </w:p>
        </w:tc>
      </w:tr>
      <w:tr w14:paraId="6F81F9A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794990">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C5A506">
            <w:pPr>
              <w:jc w:val="center"/>
            </w:pPr>
            <w:r>
              <w:rPr>
                <w:rFonts w:ascii="宋体" w:hAnsi="宋体" w:eastAsia="宋体"/>
                <w:sz w:val="16"/>
              </w:rPr>
              <w:t>克孜勒苏柯尔克孜自治州吐尔尕特口岸管理委员会</w:t>
            </w:r>
          </w:p>
        </w:tc>
      </w:tr>
      <w:tr w14:paraId="098990A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1BD8D">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1ED475">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A6E8D4">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ADDC29">
            <w:pPr>
              <w:jc w:val="center"/>
            </w:pPr>
            <w:r>
              <w:rPr>
                <w:rFonts w:ascii="宋体" w:hAnsi="宋体" w:eastAsia="宋体"/>
                <w:sz w:val="16"/>
              </w:rPr>
              <w:t>预算数（调整后）</w:t>
            </w:r>
          </w:p>
        </w:tc>
        <w:tc>
          <w:tcPr>
            <w:tcW w:w="1420" w:type="dxa"/>
            <w:tcBorders>
              <w:top w:val="single" w:color="auto" w:sz="10" w:space="0"/>
              <w:left w:val="single" w:color="auto" w:sz="10" w:space="0"/>
              <w:bottom w:val="single" w:color="auto" w:sz="10" w:space="0"/>
              <w:right w:val="single" w:color="auto" w:sz="10" w:space="0"/>
              <w:insideV w:val="single" w:sz="10" w:space="0"/>
            </w:tcBorders>
            <w:vAlign w:val="center"/>
          </w:tcPr>
          <w:p w14:paraId="7D5182DB">
            <w:pPr>
              <w:jc w:val="center"/>
            </w:pPr>
            <w:r>
              <w:rPr>
                <w:rFonts w:ascii="宋体" w:hAnsi="宋体" w:eastAsia="宋体"/>
                <w:sz w:val="16"/>
              </w:rPr>
              <w:t>执行数</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342AA73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3576E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85DEDB">
            <w:pPr>
              <w:jc w:val="center"/>
            </w:pPr>
            <w:r>
              <w:rPr>
                <w:rFonts w:ascii="宋体" w:hAnsi="宋体" w:eastAsia="宋体"/>
                <w:sz w:val="16"/>
              </w:rPr>
              <w:t>得分</w:t>
            </w:r>
          </w:p>
        </w:tc>
      </w:tr>
      <w:tr w14:paraId="4626897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E4699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1A167A">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45DB80">
            <w:pPr>
              <w:jc w:val="center"/>
            </w:pPr>
            <w:r>
              <w:rPr>
                <w:rFonts w:ascii="宋体" w:hAnsi="宋体" w:eastAsia="宋体"/>
                <w:sz w:val="16"/>
              </w:rPr>
              <w:t>1,166.54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3D9BF1">
            <w:pPr>
              <w:jc w:val="center"/>
            </w:pPr>
            <w:r>
              <w:rPr>
                <w:rFonts w:ascii="宋体" w:hAnsi="宋体" w:eastAsia="宋体"/>
                <w:sz w:val="16"/>
              </w:rPr>
              <w:t>5,447.20</w:t>
            </w:r>
          </w:p>
        </w:tc>
        <w:tc>
          <w:tcPr>
            <w:tcW w:w="1420" w:type="dxa"/>
            <w:tcBorders>
              <w:top w:val="single" w:color="auto" w:sz="10" w:space="0"/>
              <w:left w:val="single" w:color="auto" w:sz="10" w:space="0"/>
              <w:bottom w:val="single" w:color="auto" w:sz="10" w:space="0"/>
              <w:right w:val="single" w:color="auto" w:sz="10" w:space="0"/>
              <w:insideV w:val="single" w:sz="10" w:space="0"/>
            </w:tcBorders>
            <w:vAlign w:val="center"/>
          </w:tcPr>
          <w:p w14:paraId="10FC9007">
            <w:pPr>
              <w:jc w:val="center"/>
            </w:pPr>
            <w:r>
              <w:rPr>
                <w:rFonts w:ascii="宋体" w:hAnsi="宋体" w:eastAsia="宋体"/>
                <w:sz w:val="16"/>
              </w:rPr>
              <w:t>5,416.01</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1445916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A9F513">
            <w:pPr>
              <w:jc w:val="center"/>
            </w:pPr>
            <w:r>
              <w:rPr>
                <w:rFonts w:ascii="宋体" w:hAnsi="宋体" w:eastAsia="宋体"/>
                <w:sz w:val="16"/>
              </w:rPr>
              <w:t>99.43%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C4F440">
            <w:pPr>
              <w:jc w:val="center"/>
              <w:rPr>
                <w:rFonts w:hint="default" w:eastAsia="宋体"/>
                <w:lang w:val="en-US" w:eastAsia="zh-CN"/>
              </w:rPr>
            </w:pPr>
            <w:r>
              <w:rPr>
                <w:rFonts w:hint="eastAsia" w:ascii="宋体" w:hAnsi="宋体"/>
                <w:sz w:val="16"/>
                <w:lang w:val="en-US" w:eastAsia="zh-CN"/>
              </w:rPr>
              <w:t>9.94</w:t>
            </w:r>
          </w:p>
        </w:tc>
      </w:tr>
      <w:tr w14:paraId="6B9E648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522C3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7AFCD9">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617915">
            <w:pPr>
              <w:jc w:val="center"/>
            </w:pPr>
            <w:r>
              <w:rPr>
                <w:rFonts w:ascii="宋体" w:hAnsi="宋体" w:eastAsia="宋体"/>
                <w:sz w:val="16"/>
              </w:rPr>
              <w:t>233.59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EB73F2">
            <w:pPr>
              <w:jc w:val="center"/>
            </w:pPr>
            <w:r>
              <w:rPr>
                <w:rFonts w:ascii="宋体" w:hAnsi="宋体" w:eastAsia="宋体"/>
                <w:sz w:val="16"/>
              </w:rPr>
              <w:t>4,576.64</w:t>
            </w:r>
          </w:p>
        </w:tc>
        <w:tc>
          <w:tcPr>
            <w:tcW w:w="1420" w:type="dxa"/>
            <w:tcBorders>
              <w:top w:val="single" w:color="auto" w:sz="10" w:space="0"/>
              <w:left w:val="single" w:color="auto" w:sz="10" w:space="0"/>
              <w:bottom w:val="single" w:color="auto" w:sz="10" w:space="0"/>
              <w:right w:val="single" w:color="auto" w:sz="10" w:space="0"/>
              <w:insideV w:val="single" w:sz="10" w:space="0"/>
            </w:tcBorders>
            <w:vAlign w:val="center"/>
          </w:tcPr>
          <w:p w14:paraId="38953043">
            <w:pPr>
              <w:jc w:val="center"/>
            </w:pPr>
            <w:r>
              <w:rPr>
                <w:rFonts w:ascii="宋体" w:hAnsi="宋体" w:eastAsia="宋体"/>
                <w:sz w:val="16"/>
              </w:rPr>
              <w:t>4,576.64</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5B262FC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2C83A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D9A034">
            <w:pPr>
              <w:jc w:val="center"/>
            </w:pPr>
            <w:r>
              <w:rPr>
                <w:rFonts w:ascii="宋体" w:hAnsi="宋体" w:eastAsia="宋体"/>
                <w:sz w:val="16"/>
              </w:rPr>
              <w:t>—</w:t>
            </w:r>
          </w:p>
        </w:tc>
      </w:tr>
      <w:tr w14:paraId="747CBE0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79C0C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EAE811">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7B67DB">
            <w:pPr>
              <w:jc w:val="center"/>
            </w:pPr>
            <w:r>
              <w:rPr>
                <w:rFonts w:ascii="宋体" w:hAnsi="宋体" w:eastAsia="宋体"/>
                <w:sz w:val="16"/>
              </w:rPr>
              <w:t>599.38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C5758A">
            <w:pPr>
              <w:jc w:val="center"/>
            </w:pPr>
            <w:r>
              <w:rPr>
                <w:rFonts w:ascii="宋体" w:hAnsi="宋体" w:eastAsia="宋体"/>
                <w:sz w:val="16"/>
              </w:rPr>
              <w:t>748.06</w:t>
            </w:r>
          </w:p>
        </w:tc>
        <w:tc>
          <w:tcPr>
            <w:tcW w:w="1420" w:type="dxa"/>
            <w:tcBorders>
              <w:top w:val="single" w:color="auto" w:sz="10" w:space="0"/>
              <w:left w:val="single" w:color="auto" w:sz="10" w:space="0"/>
              <w:bottom w:val="single" w:color="auto" w:sz="10" w:space="0"/>
              <w:right w:val="single" w:color="auto" w:sz="10" w:space="0"/>
              <w:insideV w:val="single" w:sz="10" w:space="0"/>
            </w:tcBorders>
            <w:vAlign w:val="center"/>
          </w:tcPr>
          <w:p w14:paraId="3C7998DF">
            <w:pPr>
              <w:jc w:val="center"/>
            </w:pPr>
            <w:r>
              <w:rPr>
                <w:rFonts w:ascii="宋体" w:hAnsi="宋体" w:eastAsia="宋体"/>
                <w:sz w:val="16"/>
              </w:rPr>
              <w:t>716.87</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739B503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11F4C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772CE4">
            <w:pPr>
              <w:jc w:val="center"/>
            </w:pPr>
            <w:r>
              <w:rPr>
                <w:rFonts w:ascii="宋体" w:hAnsi="宋体" w:eastAsia="宋体"/>
                <w:sz w:val="16"/>
              </w:rPr>
              <w:t>—</w:t>
            </w:r>
          </w:p>
        </w:tc>
      </w:tr>
      <w:tr w14:paraId="375530A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91B18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388E02">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748FDB">
            <w:pPr>
              <w:jc w:val="center"/>
            </w:pPr>
            <w:r>
              <w:rPr>
                <w:rFonts w:ascii="宋体" w:hAnsi="宋体" w:eastAsia="宋体"/>
                <w:sz w:val="16"/>
              </w:rPr>
              <w:t>333.57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DD7220">
            <w:pPr>
              <w:jc w:val="center"/>
            </w:pPr>
            <w:r>
              <w:rPr>
                <w:rFonts w:ascii="宋体" w:hAnsi="宋体" w:eastAsia="宋体"/>
                <w:sz w:val="16"/>
              </w:rPr>
              <w:t>122.50</w:t>
            </w:r>
          </w:p>
        </w:tc>
        <w:tc>
          <w:tcPr>
            <w:tcW w:w="1420" w:type="dxa"/>
            <w:tcBorders>
              <w:top w:val="single" w:color="auto" w:sz="10" w:space="0"/>
              <w:left w:val="single" w:color="auto" w:sz="10" w:space="0"/>
              <w:bottom w:val="single" w:color="auto" w:sz="10" w:space="0"/>
              <w:right w:val="single" w:color="auto" w:sz="10" w:space="0"/>
              <w:insideV w:val="single" w:sz="10" w:space="0"/>
            </w:tcBorders>
            <w:vAlign w:val="center"/>
          </w:tcPr>
          <w:p w14:paraId="4E944391">
            <w:pPr>
              <w:jc w:val="center"/>
            </w:pPr>
            <w:r>
              <w:rPr>
                <w:rFonts w:ascii="宋体" w:hAnsi="宋体" w:eastAsia="宋体"/>
                <w:sz w:val="16"/>
              </w:rPr>
              <w:t>122.50</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08F3C51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37668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914FEB">
            <w:pPr>
              <w:jc w:val="center"/>
            </w:pPr>
            <w:r>
              <w:rPr>
                <w:rFonts w:ascii="宋体" w:hAnsi="宋体" w:eastAsia="宋体"/>
                <w:sz w:val="16"/>
              </w:rPr>
              <w:t>—</w:t>
            </w:r>
          </w:p>
        </w:tc>
      </w:tr>
      <w:tr w14:paraId="50B8F00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C484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D3707C">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68D267">
            <w:pPr>
              <w:jc w:val="center"/>
              <w:rPr>
                <w:rFonts w:hint="eastAsia" w:eastAsia="宋体"/>
                <w:lang w:val="en-US" w:eastAsia="zh-CN"/>
              </w:rPr>
            </w:pPr>
            <w:r>
              <w:rPr>
                <w:rFonts w:ascii="宋体" w:hAnsi="宋体" w:eastAsia="宋体"/>
                <w:sz w:val="16"/>
              </w:rPr>
              <w:t>实际完成</w:t>
            </w:r>
            <w:r>
              <w:rPr>
                <w:rFonts w:hint="eastAsia" w:ascii="宋体" w:hAnsi="宋体"/>
                <w:sz w:val="16"/>
                <w:lang w:val="en-US" w:eastAsia="zh-CN"/>
              </w:rPr>
              <w:t>情况</w:t>
            </w:r>
          </w:p>
        </w:tc>
      </w:tr>
      <w:tr w14:paraId="297661A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7B9CDA"/>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D84F2D">
            <w:pPr>
              <w:jc w:val="both"/>
            </w:pPr>
            <w:r>
              <w:rPr>
                <w:rFonts w:ascii="宋体" w:hAnsi="宋体" w:eastAsia="宋体"/>
                <w:sz w:val="16"/>
              </w:rPr>
              <w:t>2024年，吐尔尕特口岸管委会积极围绕国家丝绸之路经济带建设和新疆建设丝绸之路经济带核心区及“一港、两区、五中心、口岸经济带”规划布局，严格按照州委州人民政府工作部署，以“口岸为要”为着力点，坚持“引进来”和“走出去”并重，深度参与国家共建“一带一路”，积极争取国家、自治区口岸的各方面支持，深层次挖掘口岸优势，推动口岸从“通道经济”向“产业经济”、“口岸经济”的转变，切实为克州外向型经济的发展做贡献。</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BD905C">
            <w:pPr>
              <w:jc w:val="both"/>
            </w:pPr>
            <w:r>
              <w:rPr>
                <w:rFonts w:ascii="宋体" w:hAnsi="宋体" w:eastAsia="宋体"/>
                <w:sz w:val="16"/>
              </w:rPr>
              <w:t>截至2024年12月31日，在州委的正确领导下，吐尔尕特口岸党工委始终坚持以习近平新时代中国特色社会主义思想为指导，深入学习贯彻</w:t>
            </w:r>
            <w:r>
              <w:rPr>
                <w:rFonts w:hint="eastAsia" w:ascii="宋体" w:hAnsi="宋体"/>
                <w:sz w:val="16"/>
                <w:lang w:eastAsia="zh-CN"/>
              </w:rPr>
              <w:t>党的</w:t>
            </w:r>
            <w:r>
              <w:rPr>
                <w:rFonts w:ascii="宋体" w:hAnsi="宋体" w:eastAsia="宋体"/>
                <w:sz w:val="16"/>
              </w:rPr>
              <w:t>二十大精神及中央经济工作会议精神，完整准确全面贯彻新时代党的治疆方略，紧扣经济高质量发展这个首要任务，扎实开展好</w:t>
            </w:r>
            <w:r>
              <w:rPr>
                <w:rFonts w:hint="eastAsia" w:ascii="宋体" w:hAnsi="宋体"/>
                <w:sz w:val="16"/>
                <w:lang w:eastAsia="zh-CN"/>
              </w:rPr>
              <w:t>党纪学习教育</w:t>
            </w:r>
            <w:r>
              <w:rPr>
                <w:rFonts w:ascii="宋体" w:hAnsi="宋体" w:eastAsia="宋体"/>
                <w:sz w:val="16"/>
              </w:rPr>
              <w:t>，加强口岸各单位间的党的建设、口岸管控、通关服务、经济发展、廉政建设等方面的协作配合。全面推动“党建+货物通关+人员出入境+行业安全+业务发展”稳健运行，助力吐尔尕特口岸提升新质生产力，以实干担当奋力推动口岸经济高质量发展迈上新台阶。1-12月口岸累计完成进出口货物144.8万吨，同比增长50.1%；货物总值704.41亿元人民币，同比增长51%，车辆通行量14.3万辆，同比增长60.5%，出口各类新能源商品车5.8万辆，同比增长112.2%，出入境人员10.8万人次，同比增长33%，进出口过货量位居全疆陆路口岸前5位。</w:t>
            </w:r>
          </w:p>
        </w:tc>
      </w:tr>
      <w:tr w14:paraId="01CCBB2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28912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A1FAC1">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C42021">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4E01CB">
            <w:pPr>
              <w:jc w:val="center"/>
            </w:pPr>
            <w:r>
              <w:rPr>
                <w:rFonts w:ascii="宋体" w:hAnsi="宋体" w:eastAsia="宋体"/>
                <w:sz w:val="16"/>
              </w:rPr>
              <w:t>指标值</w:t>
            </w:r>
          </w:p>
        </w:tc>
        <w:tc>
          <w:tcPr>
            <w:tcW w:w="1420" w:type="dxa"/>
            <w:tcBorders>
              <w:top w:val="single" w:color="auto" w:sz="10" w:space="0"/>
              <w:left w:val="single" w:color="auto" w:sz="10" w:space="0"/>
              <w:bottom w:val="single" w:color="auto" w:sz="10" w:space="0"/>
              <w:right w:val="single" w:color="auto" w:sz="10" w:space="0"/>
              <w:insideV w:val="single" w:sz="10" w:space="0"/>
            </w:tcBorders>
            <w:vAlign w:val="center"/>
          </w:tcPr>
          <w:p w14:paraId="3AAFC811">
            <w:pPr>
              <w:jc w:val="center"/>
            </w:pPr>
            <w:r>
              <w:rPr>
                <w:rFonts w:ascii="宋体" w:hAnsi="宋体" w:eastAsia="宋体"/>
                <w:sz w:val="16"/>
              </w:rPr>
              <w:t>指标值设定依据</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57BD89C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F8D020">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68404D">
            <w:pPr>
              <w:jc w:val="center"/>
            </w:pPr>
            <w:r>
              <w:rPr>
                <w:rFonts w:ascii="宋体" w:hAnsi="宋体" w:eastAsia="宋体"/>
                <w:sz w:val="16"/>
              </w:rPr>
              <w:t>得分</w:t>
            </w:r>
          </w:p>
        </w:tc>
      </w:tr>
      <w:tr w14:paraId="1CA7E73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8ABD3">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1966E">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3A9E68">
            <w:pPr>
              <w:jc w:val="center"/>
            </w:pPr>
            <w:r>
              <w:rPr>
                <w:rFonts w:ascii="宋体" w:hAnsi="宋体" w:eastAsia="宋体"/>
                <w:sz w:val="16"/>
              </w:rPr>
              <w:t>争取吐尔尕特口岸陆上</w:t>
            </w:r>
            <w:r>
              <w:rPr>
                <w:rFonts w:hint="eastAsia" w:ascii="宋体" w:hAnsi="宋体"/>
                <w:sz w:val="16"/>
                <w:lang w:eastAsia="zh-CN"/>
              </w:rPr>
              <w:t>BJ</w:t>
            </w:r>
            <w:r>
              <w:rPr>
                <w:rFonts w:ascii="宋体" w:hAnsi="宋体" w:eastAsia="宋体"/>
                <w:sz w:val="16"/>
              </w:rPr>
              <w:t>口岸国家物流枢纽区建设列入国家枢纽区建设名单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08C57">
            <w:pPr>
              <w:jc w:val="center"/>
            </w:pPr>
            <w:r>
              <w:rPr>
                <w:rFonts w:ascii="宋体" w:hAnsi="宋体" w:eastAsia="宋体"/>
                <w:sz w:val="16"/>
              </w:rPr>
              <w:t>&gt;=1个</w:t>
            </w:r>
          </w:p>
        </w:tc>
        <w:tc>
          <w:tcPr>
            <w:tcW w:w="1420" w:type="dxa"/>
            <w:tcBorders>
              <w:top w:val="single" w:color="auto" w:sz="10" w:space="0"/>
              <w:left w:val="single" w:color="auto" w:sz="10" w:space="0"/>
              <w:bottom w:val="single" w:color="auto" w:sz="10" w:space="0"/>
              <w:right w:val="single" w:color="auto" w:sz="10" w:space="0"/>
              <w:insideV w:val="single" w:sz="10" w:space="0"/>
            </w:tcBorders>
            <w:vAlign w:val="center"/>
          </w:tcPr>
          <w:p w14:paraId="112E03AF">
            <w:pPr>
              <w:jc w:val="center"/>
            </w:pPr>
            <w:r>
              <w:rPr>
                <w:rFonts w:ascii="宋体" w:hAnsi="宋体" w:eastAsia="宋体"/>
                <w:sz w:val="16"/>
              </w:rPr>
              <w:t>吐尔尕特口岸管委会2024年工作计划</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0FE0E83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D52181">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5472CC">
            <w:pPr>
              <w:jc w:val="center"/>
            </w:pPr>
            <w:r>
              <w:rPr>
                <w:rFonts w:ascii="宋体" w:hAnsi="宋体" w:eastAsia="宋体"/>
                <w:sz w:val="16"/>
              </w:rPr>
              <w:t>20</w:t>
            </w:r>
          </w:p>
        </w:tc>
      </w:tr>
      <w:tr w14:paraId="2304CDD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661CF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9F46D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CBE81E">
            <w:pPr>
              <w:jc w:val="center"/>
            </w:pPr>
            <w:r>
              <w:rPr>
                <w:rFonts w:ascii="宋体" w:hAnsi="宋体" w:eastAsia="宋体"/>
                <w:sz w:val="16"/>
              </w:rPr>
              <w:t>2024年改善通关条件项目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22BDEC">
            <w:pPr>
              <w:jc w:val="center"/>
            </w:pPr>
            <w:r>
              <w:rPr>
                <w:rFonts w:ascii="宋体" w:hAnsi="宋体" w:eastAsia="宋体"/>
                <w:sz w:val="16"/>
              </w:rPr>
              <w:t>&gt;=3个</w:t>
            </w:r>
          </w:p>
        </w:tc>
        <w:tc>
          <w:tcPr>
            <w:tcW w:w="1420" w:type="dxa"/>
            <w:tcBorders>
              <w:top w:val="single" w:color="auto" w:sz="10" w:space="0"/>
              <w:left w:val="single" w:color="auto" w:sz="10" w:space="0"/>
              <w:bottom w:val="single" w:color="auto" w:sz="10" w:space="0"/>
              <w:right w:val="single" w:color="auto" w:sz="10" w:space="0"/>
              <w:insideV w:val="single" w:sz="10" w:space="0"/>
            </w:tcBorders>
            <w:vAlign w:val="center"/>
          </w:tcPr>
          <w:p w14:paraId="4DE86350">
            <w:pPr>
              <w:jc w:val="center"/>
            </w:pPr>
            <w:r>
              <w:rPr>
                <w:rFonts w:ascii="宋体" w:hAnsi="宋体" w:eastAsia="宋体"/>
                <w:sz w:val="16"/>
              </w:rPr>
              <w:t>吐尔尕特口岸管委会2024年需求经费请示</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482F9609">
            <w:pPr>
              <w:jc w:val="center"/>
            </w:pPr>
            <w:r>
              <w:rPr>
                <w:rFonts w:ascii="宋体" w:hAnsi="宋体" w:eastAsia="宋体"/>
                <w:sz w:val="16"/>
              </w:rPr>
              <w:t>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822FF2">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9F324F">
            <w:pPr>
              <w:jc w:val="center"/>
            </w:pPr>
            <w:r>
              <w:rPr>
                <w:rFonts w:ascii="宋体" w:hAnsi="宋体" w:eastAsia="宋体"/>
                <w:sz w:val="16"/>
              </w:rPr>
              <w:t>40</w:t>
            </w:r>
          </w:p>
        </w:tc>
      </w:tr>
      <w:tr w14:paraId="750CDB4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B2F94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EEFFA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77C11E">
            <w:pPr>
              <w:jc w:val="center"/>
            </w:pPr>
            <w:r>
              <w:rPr>
                <w:rFonts w:ascii="宋体" w:hAnsi="宋体" w:eastAsia="宋体"/>
                <w:sz w:val="16"/>
              </w:rPr>
              <w:t>招商引资</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1985DB">
            <w:pPr>
              <w:jc w:val="center"/>
            </w:pPr>
            <w:r>
              <w:rPr>
                <w:rFonts w:ascii="宋体" w:hAnsi="宋体" w:eastAsia="宋体"/>
                <w:sz w:val="16"/>
              </w:rPr>
              <w:t>&gt;=1个</w:t>
            </w:r>
          </w:p>
        </w:tc>
        <w:tc>
          <w:tcPr>
            <w:tcW w:w="1420" w:type="dxa"/>
            <w:tcBorders>
              <w:top w:val="single" w:color="auto" w:sz="10" w:space="0"/>
              <w:left w:val="single" w:color="auto" w:sz="10" w:space="0"/>
              <w:bottom w:val="single" w:color="auto" w:sz="10" w:space="0"/>
              <w:right w:val="single" w:color="auto" w:sz="10" w:space="0"/>
              <w:insideV w:val="single" w:sz="10" w:space="0"/>
            </w:tcBorders>
            <w:vAlign w:val="center"/>
          </w:tcPr>
          <w:p w14:paraId="26B44385">
            <w:pPr>
              <w:jc w:val="center"/>
            </w:pPr>
            <w:r>
              <w:rPr>
                <w:rFonts w:ascii="宋体" w:hAnsi="宋体" w:eastAsia="宋体"/>
                <w:sz w:val="16"/>
              </w:rPr>
              <w:t>吐尔尕特口岸管委会2024年需求经费请示</w:t>
            </w:r>
          </w:p>
        </w:tc>
        <w:tc>
          <w:tcPr>
            <w:tcW w:w="790" w:type="dxa"/>
            <w:tcBorders>
              <w:top w:val="single" w:color="auto" w:sz="10" w:space="0"/>
              <w:left w:val="single" w:color="auto" w:sz="10" w:space="0"/>
              <w:bottom w:val="single" w:color="auto" w:sz="10" w:space="0"/>
              <w:right w:val="single" w:color="auto" w:sz="10" w:space="0"/>
              <w:insideV w:val="single" w:sz="10" w:space="0"/>
            </w:tcBorders>
            <w:vAlign w:val="center"/>
          </w:tcPr>
          <w:p w14:paraId="3C845EC8">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3E8B6B">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973BA1">
            <w:pPr>
              <w:jc w:val="center"/>
            </w:pPr>
            <w:r>
              <w:rPr>
                <w:rFonts w:ascii="宋体" w:hAnsi="宋体" w:eastAsia="宋体"/>
                <w:sz w:val="16"/>
              </w:rPr>
              <w:t>30</w:t>
            </w:r>
          </w:p>
        </w:tc>
      </w:tr>
    </w:tbl>
    <w:p w14:paraId="3945B0D1">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0BDE1218">
        <w:tblPrEx>
          <w:tblCellMar>
            <w:top w:w="0" w:type="dxa"/>
            <w:left w:w="108" w:type="dxa"/>
            <w:bottom w:w="0" w:type="dxa"/>
            <w:right w:w="108" w:type="dxa"/>
          </w:tblCellMar>
        </w:tblPrEx>
        <w:tc>
          <w:tcPr>
            <w:tcW w:w="8848" w:type="dxa"/>
            <w:gridSpan w:val="14"/>
            <w:vAlign w:val="center"/>
          </w:tcPr>
          <w:p w14:paraId="7AB1DDB8">
            <w:pPr>
              <w:jc w:val="center"/>
            </w:pPr>
            <w:r>
              <w:rPr>
                <w:rFonts w:ascii="宋体" w:hAnsi="宋体" w:eastAsia="宋体"/>
                <w:sz w:val="24"/>
              </w:rPr>
              <w:t>项目支出绩效自评表</w:t>
            </w:r>
          </w:p>
        </w:tc>
      </w:tr>
      <w:tr w14:paraId="6B20060C">
        <w:tblPrEx>
          <w:tblCellMar>
            <w:top w:w="0" w:type="dxa"/>
            <w:left w:w="108" w:type="dxa"/>
            <w:bottom w:w="0" w:type="dxa"/>
            <w:right w:w="108" w:type="dxa"/>
          </w:tblCellMar>
        </w:tblPrEx>
        <w:tc>
          <w:tcPr>
            <w:tcW w:w="8848" w:type="dxa"/>
            <w:gridSpan w:val="14"/>
            <w:vAlign w:val="center"/>
          </w:tcPr>
          <w:p w14:paraId="54A5076A">
            <w:pPr>
              <w:jc w:val="center"/>
            </w:pPr>
            <w:r>
              <w:rPr>
                <w:rFonts w:ascii="宋体" w:hAnsi="宋体" w:eastAsia="宋体"/>
                <w:sz w:val="24"/>
              </w:rPr>
              <w:t>(2024年度)</w:t>
            </w:r>
          </w:p>
        </w:tc>
      </w:tr>
      <w:tr w14:paraId="7A9D00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5F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32181E">
            <w:pPr>
              <w:jc w:val="center"/>
            </w:pPr>
            <w:r>
              <w:rPr>
                <w:rFonts w:ascii="宋体" w:hAnsi="宋体" w:eastAsia="宋体"/>
                <w:sz w:val="16"/>
              </w:rPr>
              <w:t>2023年末单位结转结余资金上年结转资金</w:t>
            </w:r>
          </w:p>
        </w:tc>
      </w:tr>
      <w:tr w14:paraId="5C6F84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3A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E3AB7">
            <w:pPr>
              <w:jc w:val="center"/>
            </w:pPr>
            <w:r>
              <w:rPr>
                <w:rFonts w:ascii="宋体" w:hAnsi="宋体" w:eastAsia="宋体"/>
                <w:sz w:val="16"/>
              </w:rPr>
              <w:t>克孜勒苏柯尔克孜自治州吐尔尕特口岸管理委员会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8009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AEB114">
            <w:pPr>
              <w:jc w:val="center"/>
            </w:pPr>
            <w:r>
              <w:rPr>
                <w:rFonts w:ascii="宋体" w:hAnsi="宋体" w:eastAsia="宋体"/>
                <w:sz w:val="16"/>
              </w:rPr>
              <w:t>克孜勒苏柯尔克孜自治州吐尔尕特口岸管理委员会</w:t>
            </w:r>
          </w:p>
        </w:tc>
      </w:tr>
      <w:tr w14:paraId="7DE5B6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C99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B88A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D5B7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941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9D3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1C1C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E16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6AC3">
            <w:pPr>
              <w:jc w:val="center"/>
            </w:pPr>
            <w:r>
              <w:rPr>
                <w:rFonts w:ascii="宋体" w:hAnsi="宋体" w:eastAsia="宋体"/>
                <w:sz w:val="16"/>
              </w:rPr>
              <w:t>得分</w:t>
            </w:r>
          </w:p>
        </w:tc>
      </w:tr>
      <w:tr w14:paraId="5EC66E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8D6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B70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5FBC3">
            <w:pPr>
              <w:jc w:val="center"/>
            </w:pPr>
            <w:r>
              <w:rPr>
                <w:rFonts w:ascii="宋体" w:hAnsi="宋体" w:eastAsia="宋体"/>
                <w:sz w:val="16"/>
              </w:rPr>
              <w:t>33.57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9F82C">
            <w:pPr>
              <w:jc w:val="center"/>
            </w:pPr>
            <w:r>
              <w:rPr>
                <w:rFonts w:ascii="宋体" w:hAnsi="宋体" w:eastAsia="宋体"/>
                <w:sz w:val="16"/>
              </w:rPr>
              <w:t>33.57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1F49C">
            <w:pPr>
              <w:jc w:val="center"/>
            </w:pPr>
            <w:r>
              <w:rPr>
                <w:rFonts w:ascii="宋体" w:hAnsi="宋体" w:eastAsia="宋体"/>
                <w:sz w:val="16"/>
              </w:rPr>
              <w:t>33.57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748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DC14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E70F6">
            <w:pPr>
              <w:jc w:val="center"/>
            </w:pPr>
            <w:r>
              <w:rPr>
                <w:rFonts w:ascii="宋体" w:hAnsi="宋体" w:eastAsia="宋体"/>
                <w:sz w:val="16"/>
              </w:rPr>
              <w:t>10.00分</w:t>
            </w:r>
          </w:p>
        </w:tc>
      </w:tr>
      <w:tr w14:paraId="0F8F2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0FC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743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FB4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938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593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DB0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818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6088">
            <w:pPr>
              <w:jc w:val="center"/>
            </w:pPr>
            <w:r>
              <w:rPr>
                <w:rFonts w:ascii="宋体" w:hAnsi="宋体" w:eastAsia="宋体"/>
                <w:sz w:val="16"/>
              </w:rPr>
              <w:t>—</w:t>
            </w:r>
          </w:p>
        </w:tc>
      </w:tr>
      <w:tr w14:paraId="401AD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136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0735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48502">
            <w:pPr>
              <w:jc w:val="center"/>
            </w:pPr>
            <w:r>
              <w:rPr>
                <w:rFonts w:ascii="宋体" w:hAnsi="宋体" w:eastAsia="宋体"/>
                <w:sz w:val="16"/>
              </w:rPr>
              <w:t>33.57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2C207">
            <w:pPr>
              <w:jc w:val="center"/>
            </w:pPr>
            <w:r>
              <w:rPr>
                <w:rFonts w:ascii="宋体" w:hAnsi="宋体" w:eastAsia="宋体"/>
                <w:sz w:val="16"/>
              </w:rPr>
              <w:t>33.57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A96C1">
            <w:pPr>
              <w:jc w:val="center"/>
            </w:pPr>
            <w:r>
              <w:rPr>
                <w:rFonts w:ascii="宋体" w:hAnsi="宋体" w:eastAsia="宋体"/>
                <w:sz w:val="16"/>
              </w:rPr>
              <w:t>33.57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CBF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56F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689A">
            <w:pPr>
              <w:jc w:val="center"/>
            </w:pPr>
            <w:r>
              <w:rPr>
                <w:rFonts w:ascii="宋体" w:hAnsi="宋体" w:eastAsia="宋体"/>
                <w:sz w:val="16"/>
              </w:rPr>
              <w:t>—</w:t>
            </w:r>
          </w:p>
        </w:tc>
      </w:tr>
      <w:tr w14:paraId="0E59A1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506E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2C0D3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2E8D7F">
            <w:pPr>
              <w:jc w:val="center"/>
            </w:pPr>
            <w:r>
              <w:rPr>
                <w:rFonts w:ascii="宋体" w:hAnsi="宋体" w:eastAsia="宋体"/>
                <w:sz w:val="16"/>
              </w:rPr>
              <w:t>实际完成情况</w:t>
            </w:r>
          </w:p>
        </w:tc>
      </w:tr>
      <w:tr w14:paraId="28D2AC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8CF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AFE946">
            <w:pPr>
              <w:jc w:val="both"/>
            </w:pPr>
            <w:r>
              <w:rPr>
                <w:rFonts w:ascii="宋体" w:hAnsi="宋体" w:eastAsia="宋体"/>
                <w:sz w:val="16"/>
              </w:rPr>
              <w:t>该项目总投资33.57万元，为2023年结余资金，该项目资金中食堂费用22.57万元，工会慰问费用7万元、党建费用3万元。为保障口岸的正常运行、保障口岸正常通关和其他日常工作提供保障。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5138A8">
            <w:pPr>
              <w:jc w:val="both"/>
            </w:pPr>
            <w:r>
              <w:rPr>
                <w:rFonts w:ascii="宋体" w:hAnsi="宋体" w:eastAsia="宋体"/>
                <w:sz w:val="16"/>
              </w:rPr>
              <w:t>截至2024年12月31日，已完成：食堂采购蔬菜副食品8次 ;工会经费使用慰问保障口岸通关一线人员2次；党建活动开展次数2次。通过实施该项目为保障口岸的正常运行、保障口岸正常通关和其他日常工作提供保障。</w:t>
            </w:r>
          </w:p>
        </w:tc>
      </w:tr>
      <w:tr w14:paraId="724775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FFD6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E05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6B4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9D7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3E1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2D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971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CD1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9AF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A9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675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C1D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74444">
            <w:pPr>
              <w:jc w:val="center"/>
            </w:pPr>
            <w:r>
              <w:rPr>
                <w:rFonts w:ascii="宋体" w:hAnsi="宋体" w:eastAsia="宋体"/>
                <w:sz w:val="16"/>
              </w:rPr>
              <w:t>偏差原因分析及改进措施</w:t>
            </w:r>
          </w:p>
        </w:tc>
      </w:tr>
      <w:tr w14:paraId="56D465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661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5DC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5685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F768">
            <w:pPr>
              <w:jc w:val="center"/>
            </w:pPr>
            <w:r>
              <w:rPr>
                <w:rFonts w:ascii="宋体" w:hAnsi="宋体" w:eastAsia="宋体"/>
                <w:sz w:val="16"/>
              </w:rPr>
              <w:t>食堂采购蔬菜副食品次数（次）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D67FC">
            <w:pPr>
              <w:jc w:val="center"/>
            </w:pPr>
            <w:r>
              <w:rPr>
                <w:rFonts w:ascii="宋体" w:hAnsi="宋体" w:eastAsia="宋体"/>
                <w:sz w:val="16"/>
              </w:rPr>
              <w:t>&gt;=8次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A1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7C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7F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BC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7A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9F65">
            <w:pPr>
              <w:jc w:val="center"/>
            </w:pPr>
            <w:r>
              <w:rPr>
                <w:rFonts w:ascii="宋体" w:hAnsi="宋体" w:eastAsia="宋体"/>
                <w:sz w:val="16"/>
              </w:rPr>
              <w:t>=8次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206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D4EAB">
            <w:pPr>
              <w:jc w:val="center"/>
            </w:pPr>
          </w:p>
        </w:tc>
      </w:tr>
      <w:tr w14:paraId="606677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7C3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31D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C48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3F365">
            <w:pPr>
              <w:jc w:val="center"/>
            </w:pPr>
            <w:r>
              <w:rPr>
                <w:rFonts w:ascii="宋体" w:hAnsi="宋体" w:eastAsia="宋体"/>
                <w:sz w:val="16"/>
              </w:rPr>
              <w:t>工会经费使用慰问保障口岸通关一线人员（次）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D9C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0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12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D5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744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89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46CA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2E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79BAE">
            <w:pPr>
              <w:jc w:val="center"/>
            </w:pPr>
          </w:p>
        </w:tc>
      </w:tr>
      <w:tr w14:paraId="627D3E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CA8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D07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833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01F0">
            <w:pPr>
              <w:jc w:val="center"/>
            </w:pPr>
            <w:r>
              <w:rPr>
                <w:rFonts w:ascii="宋体" w:hAnsi="宋体" w:eastAsia="宋体"/>
                <w:sz w:val="16"/>
              </w:rPr>
              <w:t>党建活动开展次数（次）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0ED6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9E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78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C9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2A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12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1D1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616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E69F1">
            <w:pPr>
              <w:jc w:val="center"/>
            </w:pPr>
          </w:p>
        </w:tc>
      </w:tr>
      <w:tr w14:paraId="1C2B39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28A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A77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E9C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CAD0">
            <w:pPr>
              <w:jc w:val="center"/>
            </w:pPr>
            <w:r>
              <w:rPr>
                <w:rFonts w:ascii="宋体" w:hAnsi="宋体" w:eastAsia="宋体"/>
                <w:sz w:val="16"/>
              </w:rPr>
              <w:t>伙食费支出合理合规（%）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1E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F9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93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9AA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788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38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796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53F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869EB">
            <w:pPr>
              <w:jc w:val="center"/>
            </w:pPr>
          </w:p>
        </w:tc>
      </w:tr>
      <w:tr w14:paraId="45495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59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27D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E22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D86C">
            <w:pPr>
              <w:jc w:val="center"/>
            </w:pPr>
            <w:r>
              <w:rPr>
                <w:rFonts w:ascii="宋体" w:hAnsi="宋体" w:eastAsia="宋体"/>
                <w:sz w:val="16"/>
              </w:rPr>
              <w:t>工会经费开支标准合理性（%）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A0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B1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B7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20DC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C0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D9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E8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95C8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CCB46">
            <w:pPr>
              <w:jc w:val="center"/>
            </w:pPr>
          </w:p>
        </w:tc>
      </w:tr>
      <w:tr w14:paraId="64585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010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73E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484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1150">
            <w:pPr>
              <w:jc w:val="center"/>
            </w:pPr>
            <w:r>
              <w:rPr>
                <w:rFonts w:ascii="宋体" w:hAnsi="宋体" w:eastAsia="宋体"/>
                <w:sz w:val="16"/>
              </w:rPr>
              <w:t>党费收入开支的合理性（%）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01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D2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81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3F2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29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58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4387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70D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0423A">
            <w:pPr>
              <w:jc w:val="center"/>
            </w:pPr>
          </w:p>
        </w:tc>
      </w:tr>
      <w:tr w14:paraId="377ADD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A29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E1D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80B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295A">
            <w:pPr>
              <w:jc w:val="center"/>
            </w:pPr>
            <w:r>
              <w:rPr>
                <w:rFonts w:ascii="宋体" w:hAnsi="宋体" w:eastAsia="宋体"/>
                <w:sz w:val="16"/>
              </w:rPr>
              <w:t>伙食费资金拨付及时率（%）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EBC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FA5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DD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82FB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CD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18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BF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9BC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E83FF">
            <w:pPr>
              <w:jc w:val="center"/>
            </w:pPr>
          </w:p>
        </w:tc>
      </w:tr>
      <w:tr w14:paraId="4E3D5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965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38B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59F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0A1B2">
            <w:pPr>
              <w:jc w:val="center"/>
            </w:pPr>
            <w:r>
              <w:rPr>
                <w:rFonts w:ascii="宋体" w:hAnsi="宋体" w:eastAsia="宋体"/>
                <w:sz w:val="16"/>
              </w:rPr>
              <w:t>工会经费支出及时率（%）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59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8D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31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E9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0EF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38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5EA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BBC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4D79F">
            <w:pPr>
              <w:jc w:val="center"/>
            </w:pPr>
          </w:p>
        </w:tc>
      </w:tr>
      <w:tr w14:paraId="5F4369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D82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D74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E5B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8B16">
            <w:pPr>
              <w:jc w:val="center"/>
            </w:pPr>
            <w:r>
              <w:rPr>
                <w:rFonts w:ascii="宋体" w:hAnsi="宋体" w:eastAsia="宋体"/>
                <w:sz w:val="16"/>
              </w:rPr>
              <w:t>党费支出及时率（%）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43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45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18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8FD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8F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E4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7B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16B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0F56F">
            <w:pPr>
              <w:jc w:val="center"/>
            </w:pPr>
          </w:p>
        </w:tc>
      </w:tr>
      <w:tr w14:paraId="7417F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898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FD3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E044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0FEA">
            <w:pPr>
              <w:jc w:val="center"/>
            </w:pPr>
            <w:r>
              <w:rPr>
                <w:rFonts w:ascii="宋体" w:hAnsi="宋体" w:eastAsia="宋体"/>
                <w:sz w:val="16"/>
              </w:rPr>
              <w:t>食堂采购蔬菜副食品费用（万元）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3E62">
            <w:pPr>
              <w:jc w:val="center"/>
            </w:pPr>
            <w:r>
              <w:rPr>
                <w:rFonts w:ascii="宋体" w:hAnsi="宋体" w:eastAsia="宋体"/>
                <w:sz w:val="16"/>
              </w:rPr>
              <w:t>&lt;=23.57万元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AD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614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EB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F2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CA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9AFB">
            <w:pPr>
              <w:jc w:val="center"/>
            </w:pPr>
            <w:r>
              <w:rPr>
                <w:rFonts w:ascii="宋体" w:hAnsi="宋体" w:eastAsia="宋体"/>
                <w:sz w:val="16"/>
              </w:rPr>
              <w:t>=23.57万元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2D5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57EC1">
            <w:pPr>
              <w:jc w:val="center"/>
            </w:pPr>
          </w:p>
        </w:tc>
      </w:tr>
      <w:tr w14:paraId="40BC6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266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4F2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D33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9A31">
            <w:pPr>
              <w:jc w:val="center"/>
            </w:pPr>
            <w:r>
              <w:rPr>
                <w:rFonts w:ascii="宋体" w:hAnsi="宋体" w:eastAsia="宋体"/>
                <w:sz w:val="16"/>
              </w:rPr>
              <w:t>工会慰问费用（万元）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5341">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A6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11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A00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E8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617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E59C2">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579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B8F9A">
            <w:pPr>
              <w:jc w:val="center"/>
            </w:pPr>
          </w:p>
        </w:tc>
      </w:tr>
      <w:tr w14:paraId="200905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72F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FD5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99A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15242">
            <w:pPr>
              <w:jc w:val="center"/>
            </w:pPr>
            <w:r>
              <w:rPr>
                <w:rFonts w:ascii="宋体" w:hAnsi="宋体" w:eastAsia="宋体"/>
                <w:sz w:val="16"/>
              </w:rPr>
              <w:t>党建经费（万元）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5868">
            <w:pPr>
              <w:jc w:val="center"/>
            </w:pPr>
            <w:r>
              <w:rPr>
                <w:rFonts w:ascii="宋体" w:hAnsi="宋体" w:eastAsia="宋体"/>
                <w:sz w:val="16"/>
              </w:rPr>
              <w:t>&lt;=3万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51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F60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15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32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BE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9FB4">
            <w:pPr>
              <w:jc w:val="center"/>
            </w:pPr>
            <w:r>
              <w:rPr>
                <w:rFonts w:ascii="宋体" w:hAnsi="宋体" w:eastAsia="宋体"/>
                <w:sz w:val="16"/>
              </w:rPr>
              <w:t>=3万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514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84CCF">
            <w:pPr>
              <w:jc w:val="center"/>
            </w:pPr>
          </w:p>
        </w:tc>
      </w:tr>
      <w:tr w14:paraId="787404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41A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71E8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A22F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89E5E">
            <w:pPr>
              <w:jc w:val="center"/>
            </w:pPr>
            <w:r>
              <w:rPr>
                <w:rFonts w:ascii="宋体" w:hAnsi="宋体" w:eastAsia="宋体"/>
                <w:sz w:val="16"/>
              </w:rPr>
              <w:t>支付伙食费对单位产生的效益（%）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606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114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4B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5E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E8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1F9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763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6B1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B88BF">
            <w:pPr>
              <w:jc w:val="center"/>
            </w:pPr>
          </w:p>
        </w:tc>
      </w:tr>
      <w:tr w14:paraId="2C5B60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621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E57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EC3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B6C69">
            <w:pPr>
              <w:jc w:val="center"/>
            </w:pPr>
            <w:r>
              <w:rPr>
                <w:rFonts w:ascii="宋体" w:hAnsi="宋体" w:eastAsia="宋体"/>
                <w:sz w:val="16"/>
              </w:rPr>
              <w:t>支付工会经费后对社会产生的效益（%）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A2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B1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AB0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C8A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FE5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BB9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D1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597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80064">
            <w:pPr>
              <w:jc w:val="center"/>
            </w:pPr>
          </w:p>
        </w:tc>
      </w:tr>
      <w:tr w14:paraId="5F7B59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244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DD6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4C7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DAA1">
            <w:pPr>
              <w:jc w:val="center"/>
            </w:pPr>
            <w:r>
              <w:rPr>
                <w:rFonts w:ascii="宋体" w:hAnsi="宋体" w:eastAsia="宋体"/>
                <w:sz w:val="16"/>
              </w:rPr>
              <w:t>党费收缴效益（%）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76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3E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11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9A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6B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6E2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93D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15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618CE">
            <w:pPr>
              <w:jc w:val="center"/>
            </w:pPr>
          </w:p>
        </w:tc>
      </w:tr>
      <w:tr w14:paraId="627BB4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59C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CA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C5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E998">
            <w:pPr>
              <w:jc w:val="center"/>
            </w:pPr>
            <w:r>
              <w:rPr>
                <w:rFonts w:ascii="宋体" w:hAnsi="宋体" w:eastAsia="宋体"/>
                <w:sz w:val="16"/>
              </w:rPr>
              <w:t>改善职工满意度（%）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1F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7A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4EE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20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113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51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9C4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8D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E43A7">
            <w:pPr>
              <w:jc w:val="center"/>
            </w:pPr>
          </w:p>
        </w:tc>
      </w:tr>
      <w:tr w14:paraId="3C9A54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B7B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C44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51F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C5356B">
            <w:pPr>
              <w:jc w:val="center"/>
            </w:pPr>
            <w:r>
              <w:rPr>
                <w:rFonts w:ascii="宋体" w:hAnsi="宋体" w:eastAsia="宋体"/>
                <w:sz w:val="16"/>
              </w:rPr>
              <w:t>100分</w:t>
            </w:r>
          </w:p>
        </w:tc>
      </w:tr>
    </w:tbl>
    <w:p w14:paraId="01F8196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5245716">
        <w:tblPrEx>
          <w:tblCellMar>
            <w:top w:w="0" w:type="dxa"/>
            <w:left w:w="108" w:type="dxa"/>
            <w:bottom w:w="0" w:type="dxa"/>
            <w:right w:w="108" w:type="dxa"/>
          </w:tblCellMar>
        </w:tblPrEx>
        <w:tc>
          <w:tcPr>
            <w:tcW w:w="8848" w:type="dxa"/>
            <w:gridSpan w:val="14"/>
            <w:vAlign w:val="center"/>
          </w:tcPr>
          <w:p w14:paraId="5E233272">
            <w:pPr>
              <w:jc w:val="center"/>
            </w:pPr>
            <w:r>
              <w:rPr>
                <w:rFonts w:ascii="宋体" w:hAnsi="宋体" w:eastAsia="宋体"/>
                <w:sz w:val="24"/>
              </w:rPr>
              <w:t>项目支出绩效自评表</w:t>
            </w:r>
          </w:p>
        </w:tc>
      </w:tr>
      <w:tr w14:paraId="17813C8F">
        <w:tblPrEx>
          <w:tblCellMar>
            <w:top w:w="0" w:type="dxa"/>
            <w:left w:w="108" w:type="dxa"/>
            <w:bottom w:w="0" w:type="dxa"/>
            <w:right w:w="108" w:type="dxa"/>
          </w:tblCellMar>
        </w:tblPrEx>
        <w:tc>
          <w:tcPr>
            <w:tcW w:w="8848" w:type="dxa"/>
            <w:gridSpan w:val="14"/>
            <w:vAlign w:val="center"/>
          </w:tcPr>
          <w:p w14:paraId="3B670EC9">
            <w:pPr>
              <w:jc w:val="center"/>
            </w:pPr>
            <w:r>
              <w:rPr>
                <w:rFonts w:ascii="宋体" w:hAnsi="宋体" w:eastAsia="宋体"/>
                <w:sz w:val="24"/>
              </w:rPr>
              <w:t>(2024年度)</w:t>
            </w:r>
          </w:p>
        </w:tc>
      </w:tr>
      <w:tr w14:paraId="431180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167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2EBB41">
            <w:pPr>
              <w:jc w:val="center"/>
            </w:pPr>
            <w:r>
              <w:rPr>
                <w:rFonts w:ascii="宋体" w:hAnsi="宋体" w:eastAsia="宋体"/>
                <w:sz w:val="16"/>
              </w:rPr>
              <w:t>吐尔尕特口岸管委会吊装移位仓储费项目</w:t>
            </w:r>
          </w:p>
        </w:tc>
      </w:tr>
      <w:tr w14:paraId="19F481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DBD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AAB08D">
            <w:pPr>
              <w:jc w:val="center"/>
            </w:pPr>
            <w:r>
              <w:rPr>
                <w:rFonts w:ascii="宋体" w:hAnsi="宋体" w:eastAsia="宋体"/>
                <w:sz w:val="16"/>
              </w:rPr>
              <w:t>克孜勒苏柯尔克孜自治州吐尔尕特口岸管理委员会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63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153D25">
            <w:pPr>
              <w:jc w:val="center"/>
            </w:pPr>
            <w:r>
              <w:rPr>
                <w:rFonts w:ascii="宋体" w:hAnsi="宋体" w:eastAsia="宋体"/>
                <w:sz w:val="16"/>
              </w:rPr>
              <w:t>克孜勒苏柯尔克孜自治州吐尔尕特口岸管理委员会</w:t>
            </w:r>
          </w:p>
        </w:tc>
      </w:tr>
      <w:tr w14:paraId="334D01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230E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8E3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6C8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09F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86B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C197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97F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57DC">
            <w:pPr>
              <w:jc w:val="center"/>
            </w:pPr>
            <w:r>
              <w:rPr>
                <w:rFonts w:ascii="宋体" w:hAnsi="宋体" w:eastAsia="宋体"/>
                <w:sz w:val="16"/>
              </w:rPr>
              <w:t>得分</w:t>
            </w:r>
          </w:p>
        </w:tc>
      </w:tr>
      <w:tr w14:paraId="4A2E5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26D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88B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D65C1">
            <w:pPr>
              <w:jc w:val="center"/>
            </w:pPr>
            <w:r>
              <w:rPr>
                <w:rFonts w:ascii="宋体" w:hAnsi="宋体" w:eastAsia="宋体"/>
                <w:sz w:val="16"/>
              </w:rPr>
              <w:t>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444E7">
            <w:pPr>
              <w:jc w:val="center"/>
            </w:pPr>
            <w:r>
              <w:rPr>
                <w:rFonts w:ascii="宋体" w:hAnsi="宋体" w:eastAsia="宋体"/>
                <w:sz w:val="16"/>
              </w:rPr>
              <w:t>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153FE">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D32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71947">
            <w:pPr>
              <w:jc w:val="center"/>
            </w:pPr>
            <w:r>
              <w:rPr>
                <w:rFonts w:ascii="宋体" w:hAnsi="宋体" w:eastAsia="宋体"/>
                <w:sz w:val="16"/>
              </w:rPr>
              <w:t>92.3%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1889">
            <w:pPr>
              <w:jc w:val="center"/>
            </w:pPr>
            <w:r>
              <w:rPr>
                <w:rFonts w:ascii="宋体" w:hAnsi="宋体" w:eastAsia="宋体"/>
                <w:sz w:val="16"/>
              </w:rPr>
              <w:t>8.08分</w:t>
            </w:r>
          </w:p>
        </w:tc>
      </w:tr>
      <w:tr w14:paraId="4637F5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F90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59E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A95B3">
            <w:pPr>
              <w:jc w:val="center"/>
            </w:pPr>
            <w:r>
              <w:rPr>
                <w:rFonts w:ascii="宋体" w:hAnsi="宋体" w:eastAsia="宋体"/>
                <w:sz w:val="16"/>
              </w:rPr>
              <w:t>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0B36A">
            <w:pPr>
              <w:jc w:val="center"/>
            </w:pPr>
            <w:r>
              <w:rPr>
                <w:rFonts w:ascii="宋体" w:hAnsi="宋体" w:eastAsia="宋体"/>
                <w:sz w:val="16"/>
              </w:rPr>
              <w:t>0.52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03B0C">
            <w:pPr>
              <w:jc w:val="center"/>
            </w:pPr>
            <w:r>
              <w:rPr>
                <w:rFonts w:ascii="宋体" w:hAnsi="宋体" w:eastAsia="宋体"/>
                <w:sz w:val="16"/>
              </w:rPr>
              <w:t>0.48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C20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EAC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E63E">
            <w:pPr>
              <w:jc w:val="center"/>
            </w:pPr>
            <w:r>
              <w:rPr>
                <w:rFonts w:ascii="宋体" w:hAnsi="宋体" w:eastAsia="宋体"/>
                <w:sz w:val="16"/>
              </w:rPr>
              <w:t>—</w:t>
            </w:r>
          </w:p>
        </w:tc>
      </w:tr>
      <w:tr w14:paraId="62447D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A4B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18D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00F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5C5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197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BFA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C39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74F28">
            <w:pPr>
              <w:jc w:val="center"/>
            </w:pPr>
            <w:r>
              <w:rPr>
                <w:rFonts w:ascii="宋体" w:hAnsi="宋体" w:eastAsia="宋体"/>
                <w:sz w:val="16"/>
              </w:rPr>
              <w:t>—</w:t>
            </w:r>
          </w:p>
        </w:tc>
      </w:tr>
      <w:tr w14:paraId="7BEF2C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3D1B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C0187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4D8C48">
            <w:pPr>
              <w:jc w:val="center"/>
            </w:pPr>
            <w:r>
              <w:rPr>
                <w:rFonts w:ascii="宋体" w:hAnsi="宋体" w:eastAsia="宋体"/>
                <w:sz w:val="16"/>
              </w:rPr>
              <w:t>实际完成情况</w:t>
            </w:r>
          </w:p>
        </w:tc>
      </w:tr>
      <w:tr w14:paraId="76368B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9CA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7D858C">
            <w:pPr>
              <w:jc w:val="both"/>
            </w:pPr>
            <w:r>
              <w:rPr>
                <w:rFonts w:ascii="宋体" w:hAnsi="宋体" w:eastAsia="宋体"/>
                <w:sz w:val="16"/>
              </w:rPr>
              <w:t>该项目为本年度追加企业补助资金，是州财政下拨资金，2024年下达资金0.52万元，是外贸企业吊装移位仓储费补助资金，通过该项目的实施，吐尔尕特口岸出境查验没有问题的外贸企业的吊装移位仓储费用补助。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DD9986">
            <w:pPr>
              <w:jc w:val="both"/>
            </w:pPr>
            <w:r>
              <w:rPr>
                <w:rFonts w:ascii="宋体" w:hAnsi="宋体" w:eastAsia="宋体"/>
                <w:sz w:val="16"/>
              </w:rPr>
              <w:t>截至2024年12月31日，已完成：吊装移位费支付给企业个数1个。通过实施该项目为保障口岸的正常运行、保障口岸正常通关和其他日常工作提供保障。</w:t>
            </w:r>
          </w:p>
        </w:tc>
      </w:tr>
      <w:tr w14:paraId="1E467C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F718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CA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ED6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1B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CA9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2F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EBA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17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AF9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791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E64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4AF6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98E33">
            <w:pPr>
              <w:jc w:val="center"/>
            </w:pPr>
            <w:r>
              <w:rPr>
                <w:rFonts w:ascii="宋体" w:hAnsi="宋体" w:eastAsia="宋体"/>
                <w:sz w:val="16"/>
              </w:rPr>
              <w:t>偏差原因分析及改进措施</w:t>
            </w:r>
          </w:p>
        </w:tc>
      </w:tr>
      <w:tr w14:paraId="569AFF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6A7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B194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07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6378">
            <w:pPr>
              <w:jc w:val="center"/>
            </w:pPr>
            <w:r>
              <w:rPr>
                <w:rFonts w:ascii="宋体" w:hAnsi="宋体" w:eastAsia="宋体"/>
                <w:sz w:val="16"/>
              </w:rPr>
              <w:t>吊装移位费支付给企业个数（个）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494F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EF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F5A5">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54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AC8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71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EC0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41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2D69B">
            <w:pPr>
              <w:jc w:val="center"/>
            </w:pPr>
          </w:p>
        </w:tc>
      </w:tr>
      <w:tr w14:paraId="6FDF7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F23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6D0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15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ADDE">
            <w:pPr>
              <w:jc w:val="center"/>
            </w:pPr>
            <w:r>
              <w:rPr>
                <w:rFonts w:ascii="宋体" w:hAnsi="宋体" w:eastAsia="宋体"/>
                <w:sz w:val="16"/>
              </w:rPr>
              <w:t>吊装移位仓储费支出合理合规（%）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072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B5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151D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83CA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20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89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B96C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91A3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2D3FC">
            <w:pPr>
              <w:jc w:val="center"/>
            </w:pPr>
          </w:p>
        </w:tc>
      </w:tr>
      <w:tr w14:paraId="396A6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1BF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E3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8C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914C">
            <w:pPr>
              <w:jc w:val="center"/>
            </w:pPr>
            <w:r>
              <w:rPr>
                <w:rFonts w:ascii="宋体" w:hAnsi="宋体" w:eastAsia="宋体"/>
                <w:sz w:val="16"/>
              </w:rPr>
              <w:t>吊装移位仓储费拨付及时性（%）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80C0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8E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A232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267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684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EE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439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181C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BA837">
            <w:pPr>
              <w:jc w:val="center"/>
            </w:pPr>
          </w:p>
        </w:tc>
      </w:tr>
      <w:tr w14:paraId="3BC2B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C68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E1BC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6A9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2E5A">
            <w:pPr>
              <w:jc w:val="center"/>
            </w:pPr>
            <w:r>
              <w:rPr>
                <w:rFonts w:ascii="宋体" w:hAnsi="宋体" w:eastAsia="宋体"/>
                <w:sz w:val="16"/>
              </w:rPr>
              <w:t>拨付企业吊装移位仓储费（万元）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7A129">
            <w:pPr>
              <w:jc w:val="center"/>
            </w:pPr>
            <w:r>
              <w:rPr>
                <w:rFonts w:ascii="宋体" w:hAnsi="宋体" w:eastAsia="宋体"/>
                <w:sz w:val="16"/>
              </w:rPr>
              <w:t>&lt;=0.52万元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1B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3A64">
            <w:pPr>
              <w:jc w:val="center"/>
            </w:pPr>
            <w:r>
              <w:rPr>
                <w:rFonts w:ascii="宋体" w:hAnsi="宋体" w:eastAsia="宋体"/>
                <w:sz w:val="16"/>
              </w:rPr>
              <w:t>4.96万元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66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BB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C05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C82B">
            <w:pPr>
              <w:jc w:val="center"/>
            </w:pPr>
            <w:r>
              <w:rPr>
                <w:rFonts w:ascii="宋体" w:hAnsi="宋体" w:eastAsia="宋体"/>
                <w:sz w:val="16"/>
              </w:rPr>
              <w:t>=0.48万元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3C64F">
            <w:pPr>
              <w:jc w:val="center"/>
            </w:pPr>
            <w:r>
              <w:rPr>
                <w:rFonts w:ascii="宋体" w:hAnsi="宋体" w:eastAsia="宋体"/>
                <w:sz w:val="16"/>
              </w:rPr>
              <w:t>8.08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1DF2A">
            <w:pPr>
              <w:jc w:val="center"/>
            </w:pPr>
            <w:r>
              <w:rPr>
                <w:rFonts w:ascii="宋体" w:hAnsi="宋体" w:eastAsia="宋体"/>
                <w:sz w:val="16"/>
              </w:rPr>
              <w:t>偏差原因：企业最低一次</w:t>
            </w:r>
            <w:r>
              <w:rPr>
                <w:rFonts w:hint="eastAsia" w:ascii="宋体" w:hAnsi="宋体"/>
                <w:sz w:val="16"/>
                <w:lang w:eastAsia="zh-CN"/>
              </w:rPr>
              <w:t>补助</w:t>
            </w:r>
            <w:r>
              <w:rPr>
                <w:rFonts w:ascii="宋体" w:hAnsi="宋体" w:eastAsia="宋体"/>
                <w:sz w:val="16"/>
              </w:rPr>
              <w:t>金额800元，剩余400元无法向企业进行补助，所以年底将收回此金额。改进措施：加强预算，做好支出细化。</w:t>
            </w:r>
          </w:p>
        </w:tc>
      </w:tr>
      <w:tr w14:paraId="655064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B51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613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912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8437">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5943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D5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3C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B5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205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41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62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EE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4524D">
            <w:pPr>
              <w:jc w:val="center"/>
            </w:pPr>
          </w:p>
        </w:tc>
      </w:tr>
      <w:tr w14:paraId="2A827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7E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E3A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AA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22A4">
            <w:pPr>
              <w:jc w:val="center"/>
            </w:pPr>
            <w:r>
              <w:rPr>
                <w:rFonts w:ascii="宋体" w:hAnsi="宋体" w:eastAsia="宋体"/>
                <w:sz w:val="16"/>
              </w:rPr>
              <w:t>支付吊装移位仓储费产生效益（%）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499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77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8BA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A6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5A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7E4A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EE3C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620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2AFDB">
            <w:pPr>
              <w:jc w:val="center"/>
            </w:pPr>
          </w:p>
        </w:tc>
      </w:tr>
      <w:tr w14:paraId="2CF66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7ED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7F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3A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B21A">
            <w:pPr>
              <w:jc w:val="center"/>
            </w:pPr>
            <w:r>
              <w:rPr>
                <w:rFonts w:ascii="宋体" w:hAnsi="宋体" w:eastAsia="宋体"/>
                <w:sz w:val="16"/>
              </w:rPr>
              <w:t>吊装移位仓储费群众满意率（%）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08CF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06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DF8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02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9F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4C4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8858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664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5B894">
            <w:pPr>
              <w:jc w:val="center"/>
            </w:pPr>
          </w:p>
        </w:tc>
      </w:tr>
      <w:tr w14:paraId="6E5720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3EF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0741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D18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15FA9D">
            <w:pPr>
              <w:jc w:val="center"/>
            </w:pPr>
            <w:r>
              <w:rPr>
                <w:rFonts w:ascii="宋体" w:hAnsi="宋体" w:eastAsia="宋体"/>
                <w:sz w:val="16"/>
              </w:rPr>
              <w:t>96.16分</w:t>
            </w:r>
          </w:p>
        </w:tc>
      </w:tr>
    </w:tbl>
    <w:p w14:paraId="7F8D135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3DEAFB04">
        <w:tblPrEx>
          <w:tblCellMar>
            <w:top w:w="0" w:type="dxa"/>
            <w:left w:w="108" w:type="dxa"/>
            <w:bottom w:w="0" w:type="dxa"/>
            <w:right w:w="108" w:type="dxa"/>
          </w:tblCellMar>
        </w:tblPrEx>
        <w:tc>
          <w:tcPr>
            <w:tcW w:w="8848" w:type="dxa"/>
            <w:gridSpan w:val="14"/>
            <w:vAlign w:val="center"/>
          </w:tcPr>
          <w:p w14:paraId="7D461126">
            <w:pPr>
              <w:jc w:val="center"/>
            </w:pPr>
            <w:r>
              <w:rPr>
                <w:rFonts w:ascii="宋体" w:hAnsi="宋体" w:eastAsia="宋体"/>
                <w:sz w:val="24"/>
              </w:rPr>
              <w:t>项目支出绩效自评表</w:t>
            </w:r>
          </w:p>
        </w:tc>
      </w:tr>
      <w:tr w14:paraId="3F16145C">
        <w:tblPrEx>
          <w:tblCellMar>
            <w:top w:w="0" w:type="dxa"/>
            <w:left w:w="108" w:type="dxa"/>
            <w:bottom w:w="0" w:type="dxa"/>
            <w:right w:w="108" w:type="dxa"/>
          </w:tblCellMar>
        </w:tblPrEx>
        <w:tc>
          <w:tcPr>
            <w:tcW w:w="8848" w:type="dxa"/>
            <w:gridSpan w:val="14"/>
            <w:vAlign w:val="center"/>
          </w:tcPr>
          <w:p w14:paraId="63FF41DA">
            <w:pPr>
              <w:jc w:val="center"/>
            </w:pPr>
            <w:r>
              <w:rPr>
                <w:rFonts w:ascii="宋体" w:hAnsi="宋体" w:eastAsia="宋体"/>
                <w:sz w:val="24"/>
              </w:rPr>
              <w:t>(2024年度)</w:t>
            </w:r>
          </w:p>
        </w:tc>
      </w:tr>
      <w:tr w14:paraId="210BD8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ED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6D4596">
            <w:pPr>
              <w:jc w:val="center"/>
            </w:pPr>
            <w:r>
              <w:rPr>
                <w:rFonts w:ascii="宋体" w:hAnsi="宋体" w:eastAsia="宋体"/>
                <w:sz w:val="16"/>
              </w:rPr>
              <w:t>吐尔尕特口岸运转经费及伙食费</w:t>
            </w:r>
          </w:p>
        </w:tc>
      </w:tr>
      <w:tr w14:paraId="54DBF2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57D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8CEE31">
            <w:pPr>
              <w:jc w:val="center"/>
            </w:pPr>
            <w:r>
              <w:rPr>
                <w:rFonts w:ascii="宋体" w:hAnsi="宋体" w:eastAsia="宋体"/>
                <w:sz w:val="16"/>
              </w:rPr>
              <w:t>克孜勒苏柯尔克孜自治州吐尔尕特口岸管理委员会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F6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B2F325">
            <w:pPr>
              <w:jc w:val="center"/>
            </w:pPr>
            <w:r>
              <w:rPr>
                <w:rFonts w:ascii="宋体" w:hAnsi="宋体" w:eastAsia="宋体"/>
                <w:sz w:val="16"/>
              </w:rPr>
              <w:t>克孜勒苏柯尔克孜自治州吐尔尕特口岸管理委员会</w:t>
            </w:r>
          </w:p>
        </w:tc>
      </w:tr>
      <w:tr w14:paraId="16FC9A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E01F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B02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C54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3FB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E22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AB8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E07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44F3">
            <w:pPr>
              <w:jc w:val="center"/>
            </w:pPr>
            <w:r>
              <w:rPr>
                <w:rFonts w:ascii="宋体" w:hAnsi="宋体" w:eastAsia="宋体"/>
                <w:sz w:val="16"/>
              </w:rPr>
              <w:t>得分</w:t>
            </w:r>
          </w:p>
        </w:tc>
      </w:tr>
      <w:tr w14:paraId="6D9F3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4C0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772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91F0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9B0E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25EA3">
            <w:pPr>
              <w:jc w:val="center"/>
            </w:pPr>
            <w:r>
              <w:rPr>
                <w:rFonts w:ascii="宋体" w:hAnsi="宋体" w:eastAsia="宋体"/>
                <w:sz w:val="16"/>
              </w:rPr>
              <w:t>88.93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A34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7B0D7">
            <w:pPr>
              <w:jc w:val="center"/>
            </w:pPr>
            <w:r>
              <w:rPr>
                <w:rFonts w:ascii="宋体" w:hAnsi="宋体" w:eastAsia="宋体"/>
                <w:sz w:val="16"/>
              </w:rPr>
              <w:t>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0D81">
            <w:pPr>
              <w:jc w:val="center"/>
            </w:pPr>
            <w:r>
              <w:rPr>
                <w:rFonts w:ascii="宋体" w:hAnsi="宋体" w:eastAsia="宋体"/>
                <w:sz w:val="16"/>
              </w:rPr>
              <w:t>7.23分</w:t>
            </w:r>
          </w:p>
        </w:tc>
      </w:tr>
      <w:tr w14:paraId="2B395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FAA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506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60B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94D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AAF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02A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8CD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507C9">
            <w:pPr>
              <w:jc w:val="center"/>
            </w:pPr>
            <w:r>
              <w:rPr>
                <w:rFonts w:ascii="宋体" w:hAnsi="宋体" w:eastAsia="宋体"/>
                <w:sz w:val="16"/>
              </w:rPr>
              <w:t>—</w:t>
            </w:r>
          </w:p>
        </w:tc>
      </w:tr>
      <w:tr w14:paraId="07E4E5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B47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FEA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D3C50">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042A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241C1">
            <w:pPr>
              <w:jc w:val="center"/>
            </w:pPr>
            <w:r>
              <w:rPr>
                <w:rFonts w:ascii="宋体" w:hAnsi="宋体" w:eastAsia="宋体"/>
                <w:sz w:val="16"/>
              </w:rPr>
              <w:t>88.93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6F7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06B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357FC">
            <w:pPr>
              <w:jc w:val="center"/>
            </w:pPr>
            <w:r>
              <w:rPr>
                <w:rFonts w:ascii="宋体" w:hAnsi="宋体" w:eastAsia="宋体"/>
                <w:sz w:val="16"/>
              </w:rPr>
              <w:t>—</w:t>
            </w:r>
          </w:p>
        </w:tc>
      </w:tr>
      <w:tr w14:paraId="14F7BA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1BF3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DB55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8459CC">
            <w:pPr>
              <w:jc w:val="center"/>
            </w:pPr>
            <w:r>
              <w:rPr>
                <w:rFonts w:ascii="宋体" w:hAnsi="宋体" w:eastAsia="宋体"/>
                <w:sz w:val="16"/>
              </w:rPr>
              <w:t>实际完成情况</w:t>
            </w:r>
          </w:p>
        </w:tc>
      </w:tr>
      <w:tr w14:paraId="13B1A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98A4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C6739E">
            <w:pPr>
              <w:jc w:val="both"/>
            </w:pPr>
            <w:r>
              <w:rPr>
                <w:rFonts w:ascii="宋体" w:hAnsi="宋体" w:eastAsia="宋体"/>
                <w:sz w:val="16"/>
              </w:rPr>
              <w:t>坚持以习近平新时代中国特色社会主义思想为指导，深入学习贯彻党的二十大精神，完整准确贯彻新时代党的治疆方略，牢牢扭住社会稳定和长治久安总目标，坚持稳中求进工作总基调，完整、准确、全面贯彻新发展理念，积极服务和融入新发展格局，按照积极的财政政策要加力提效，注重精准、更可持续要求，全面落实各项减税降费政策，积极培植财源税源，依法依规组织财政收入；牢固树立过紧日子思想，严格财政支出管理，加强预算绩效管理，优化财政支出结构，持续</w:t>
            </w:r>
            <w:r>
              <w:rPr>
                <w:rFonts w:hint="eastAsia" w:ascii="宋体" w:hAnsi="宋体"/>
                <w:sz w:val="16"/>
                <w:lang w:eastAsia="zh-CN"/>
              </w:rPr>
              <w:t>减少</w:t>
            </w:r>
            <w:r>
              <w:rPr>
                <w:rFonts w:ascii="宋体" w:hAnsi="宋体" w:eastAsia="宋体"/>
                <w:sz w:val="16"/>
              </w:rPr>
              <w:t>非刚性、非重点和一般性支出；坚持有保有压，集中可用财力，全力保障基层“三保”支出，坚决做好自治区和自治州党委确定的重大战略、重要任务、重点改革的财力保障；严守地方政府债务管理红线，确保财政运行平稳可持续，为推进吐尔尕特口岸经济社会高质量发展作出积极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7D6C05">
            <w:pPr>
              <w:jc w:val="both"/>
            </w:pPr>
            <w:r>
              <w:rPr>
                <w:rFonts w:ascii="宋体" w:hAnsi="宋体" w:eastAsia="宋体"/>
                <w:sz w:val="16"/>
              </w:rPr>
              <w:t>截至2024年12月31日，已完成：口岸公共设施维护维修4次 ;食堂采购蔬菜副食品4次。通过实施该项目为保障口岸的正常运行、保障口岸正常通关和其他日常工作提供保障。</w:t>
            </w:r>
          </w:p>
        </w:tc>
      </w:tr>
      <w:tr w14:paraId="6EFD17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9E18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941F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A66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77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D43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9C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F26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453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3B9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EE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0DD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E68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D9C00">
            <w:pPr>
              <w:jc w:val="center"/>
            </w:pPr>
            <w:r>
              <w:rPr>
                <w:rFonts w:ascii="宋体" w:hAnsi="宋体" w:eastAsia="宋体"/>
                <w:sz w:val="16"/>
              </w:rPr>
              <w:t>偏差原因分析及改进措施</w:t>
            </w:r>
          </w:p>
        </w:tc>
      </w:tr>
      <w:tr w14:paraId="6F8076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ED97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9660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7C4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61DF2">
            <w:pPr>
              <w:jc w:val="center"/>
            </w:pPr>
            <w:r>
              <w:rPr>
                <w:rFonts w:ascii="宋体" w:hAnsi="宋体" w:eastAsia="宋体"/>
                <w:sz w:val="16"/>
              </w:rPr>
              <w:t>口岸公共设施维护维修（次）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7A2AB">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3AC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2B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8D1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D9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EF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337C">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13D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C1F95">
            <w:pPr>
              <w:jc w:val="center"/>
            </w:pPr>
          </w:p>
        </w:tc>
      </w:tr>
      <w:tr w14:paraId="156A0A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268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D81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B7D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086F">
            <w:pPr>
              <w:jc w:val="center"/>
            </w:pPr>
            <w:r>
              <w:rPr>
                <w:rFonts w:ascii="宋体" w:hAnsi="宋体" w:eastAsia="宋体"/>
                <w:sz w:val="16"/>
              </w:rPr>
              <w:t>食堂采购蔬菜副食品（次）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DCE5">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CA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962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0521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2F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66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D8F2">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8B79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D55AD">
            <w:pPr>
              <w:jc w:val="center"/>
            </w:pPr>
          </w:p>
        </w:tc>
      </w:tr>
      <w:tr w14:paraId="02BAE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668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AF5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422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4C3F">
            <w:pPr>
              <w:jc w:val="center"/>
            </w:pPr>
            <w:r>
              <w:rPr>
                <w:rFonts w:ascii="宋体" w:hAnsi="宋体" w:eastAsia="宋体"/>
                <w:sz w:val="16"/>
              </w:rPr>
              <w:t>口岸维修公共设施开支合理合规性（%）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16A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53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8D9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41F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DB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30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B9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AE0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A2068">
            <w:pPr>
              <w:jc w:val="center"/>
            </w:pPr>
          </w:p>
        </w:tc>
      </w:tr>
      <w:tr w14:paraId="48DC7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6A0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3FC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F5A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8837">
            <w:pPr>
              <w:jc w:val="center"/>
            </w:pPr>
            <w:r>
              <w:rPr>
                <w:rFonts w:ascii="宋体" w:hAnsi="宋体" w:eastAsia="宋体"/>
                <w:sz w:val="16"/>
              </w:rPr>
              <w:t>单位食堂采购蔬菜副食品合理合规性（%）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653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58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02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AA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9B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988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D66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2F5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3B2A7">
            <w:pPr>
              <w:jc w:val="center"/>
            </w:pPr>
          </w:p>
        </w:tc>
      </w:tr>
      <w:tr w14:paraId="2908D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3F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110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270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12D2">
            <w:pPr>
              <w:jc w:val="center"/>
            </w:pPr>
            <w:r>
              <w:rPr>
                <w:rFonts w:ascii="宋体" w:hAnsi="宋体" w:eastAsia="宋体"/>
                <w:sz w:val="16"/>
              </w:rPr>
              <w:t>维修维护拨付的及时率（%）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BC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91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B2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A9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36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C4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EA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BCD4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28C77">
            <w:pPr>
              <w:jc w:val="center"/>
            </w:pPr>
          </w:p>
        </w:tc>
      </w:tr>
      <w:tr w14:paraId="4B2824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41D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B3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BA9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D797">
            <w:pPr>
              <w:jc w:val="center"/>
            </w:pPr>
            <w:r>
              <w:rPr>
                <w:rFonts w:ascii="宋体" w:hAnsi="宋体" w:eastAsia="宋体"/>
                <w:sz w:val="16"/>
              </w:rPr>
              <w:t>食堂采购蔬菜副食品的及时率（%）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C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AC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54F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1D3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48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D6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8A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15F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688D5">
            <w:pPr>
              <w:jc w:val="center"/>
            </w:pPr>
          </w:p>
        </w:tc>
      </w:tr>
      <w:tr w14:paraId="3BB475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DE3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8B9B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D18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428F">
            <w:pPr>
              <w:jc w:val="center"/>
            </w:pPr>
            <w:r>
              <w:rPr>
                <w:rFonts w:ascii="宋体" w:hAnsi="宋体" w:eastAsia="宋体"/>
                <w:sz w:val="16"/>
              </w:rPr>
              <w:t>口岸运转经费（万元）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1EFC">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B67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CD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87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6A6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E93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F9E8">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A4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E2348">
            <w:pPr>
              <w:jc w:val="center"/>
            </w:pPr>
          </w:p>
        </w:tc>
      </w:tr>
      <w:tr w14:paraId="4A12A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174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2EC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3DE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3004">
            <w:pPr>
              <w:jc w:val="center"/>
            </w:pPr>
            <w:r>
              <w:rPr>
                <w:rFonts w:ascii="宋体" w:hAnsi="宋体" w:eastAsia="宋体"/>
                <w:sz w:val="16"/>
              </w:rPr>
              <w:t>单位伙食费（万元）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FB17">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4EE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94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82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D0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67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767F">
            <w:pPr>
              <w:jc w:val="center"/>
            </w:pPr>
            <w:r>
              <w:rPr>
                <w:rFonts w:ascii="宋体" w:hAnsi="宋体" w:eastAsia="宋体"/>
                <w:sz w:val="16"/>
              </w:rPr>
              <w:t>=38.93万元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B20A">
            <w:pPr>
              <w:jc w:val="center"/>
            </w:pPr>
            <w:r>
              <w:rPr>
                <w:rFonts w:ascii="宋体" w:hAnsi="宋体" w:eastAsia="宋体"/>
                <w:sz w:val="16"/>
              </w:rPr>
              <w:t>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B35F7">
            <w:pPr>
              <w:jc w:val="center"/>
            </w:pPr>
            <w:r>
              <w:rPr>
                <w:rFonts w:ascii="宋体" w:hAnsi="宋体" w:eastAsia="宋体"/>
                <w:sz w:val="16"/>
              </w:rPr>
              <w:t>偏差原因：预计其他资金单位伙食个人补助较高和实际收支存在一定差距。改进措施：加强预算管理，做好预算收支。</w:t>
            </w:r>
          </w:p>
        </w:tc>
      </w:tr>
      <w:tr w14:paraId="6360B9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D2D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F493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57B4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962E">
            <w:pPr>
              <w:jc w:val="center"/>
            </w:pPr>
            <w:r>
              <w:rPr>
                <w:rFonts w:ascii="宋体" w:hAnsi="宋体" w:eastAsia="宋体"/>
                <w:sz w:val="16"/>
              </w:rPr>
              <w:t>口岸公共设施维修维护产生效益（%）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6F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5DB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8B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8F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1F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9C4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AE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BA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A32DE">
            <w:pPr>
              <w:jc w:val="center"/>
            </w:pPr>
          </w:p>
        </w:tc>
      </w:tr>
      <w:tr w14:paraId="12568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36E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F7D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1D0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BFA7">
            <w:pPr>
              <w:jc w:val="center"/>
            </w:pPr>
            <w:r>
              <w:rPr>
                <w:rFonts w:ascii="宋体" w:hAnsi="宋体" w:eastAsia="宋体"/>
                <w:sz w:val="16"/>
              </w:rPr>
              <w:t>食堂采购蔬菜副食品产生的效益（%）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65E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3E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7E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4C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76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F18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97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ED9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92A3D">
            <w:pPr>
              <w:jc w:val="center"/>
            </w:pPr>
          </w:p>
        </w:tc>
      </w:tr>
      <w:tr w14:paraId="49B77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874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47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A5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80B6">
            <w:pPr>
              <w:jc w:val="center"/>
            </w:pPr>
            <w:r>
              <w:rPr>
                <w:rFonts w:ascii="宋体" w:hAnsi="宋体" w:eastAsia="宋体"/>
                <w:sz w:val="16"/>
              </w:rPr>
              <w:t>口岸运转经费和单位伙食费支出满意度（%）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37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75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6C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8C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BD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69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6469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CE7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FD86D">
            <w:pPr>
              <w:jc w:val="center"/>
            </w:pPr>
          </w:p>
        </w:tc>
      </w:tr>
      <w:tr w14:paraId="79E6B3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063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3E39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714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8233BB">
            <w:pPr>
              <w:jc w:val="center"/>
            </w:pPr>
            <w:r>
              <w:rPr>
                <w:rFonts w:ascii="宋体" w:hAnsi="宋体" w:eastAsia="宋体"/>
                <w:sz w:val="16"/>
              </w:rPr>
              <w:t>91.69分</w:t>
            </w:r>
          </w:p>
        </w:tc>
      </w:tr>
    </w:tbl>
    <w:p w14:paraId="5E185E2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7166711">
        <w:tblPrEx>
          <w:tblCellMar>
            <w:top w:w="0" w:type="dxa"/>
            <w:left w:w="108" w:type="dxa"/>
            <w:bottom w:w="0" w:type="dxa"/>
            <w:right w:w="108" w:type="dxa"/>
          </w:tblCellMar>
        </w:tblPrEx>
        <w:tc>
          <w:tcPr>
            <w:tcW w:w="8848" w:type="dxa"/>
            <w:gridSpan w:val="14"/>
            <w:vAlign w:val="center"/>
          </w:tcPr>
          <w:p w14:paraId="1FE118B3">
            <w:pPr>
              <w:jc w:val="center"/>
            </w:pPr>
            <w:r>
              <w:rPr>
                <w:rFonts w:ascii="宋体" w:hAnsi="宋体" w:eastAsia="宋体"/>
                <w:sz w:val="24"/>
              </w:rPr>
              <w:t>项目支出绩效自评表</w:t>
            </w:r>
          </w:p>
        </w:tc>
      </w:tr>
      <w:tr w14:paraId="71F1AE19">
        <w:tblPrEx>
          <w:tblCellMar>
            <w:top w:w="0" w:type="dxa"/>
            <w:left w:w="108" w:type="dxa"/>
            <w:bottom w:w="0" w:type="dxa"/>
            <w:right w:w="108" w:type="dxa"/>
          </w:tblCellMar>
        </w:tblPrEx>
        <w:tc>
          <w:tcPr>
            <w:tcW w:w="8848" w:type="dxa"/>
            <w:gridSpan w:val="14"/>
            <w:vAlign w:val="center"/>
          </w:tcPr>
          <w:p w14:paraId="0BA63C0F">
            <w:pPr>
              <w:jc w:val="center"/>
            </w:pPr>
            <w:r>
              <w:rPr>
                <w:rFonts w:ascii="宋体" w:hAnsi="宋体" w:eastAsia="宋体"/>
                <w:sz w:val="24"/>
              </w:rPr>
              <w:t>(2024年度)</w:t>
            </w:r>
          </w:p>
        </w:tc>
      </w:tr>
      <w:tr w14:paraId="39929B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08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64EA74">
            <w:pPr>
              <w:jc w:val="center"/>
            </w:pPr>
            <w:r>
              <w:rPr>
                <w:rFonts w:ascii="宋体" w:hAnsi="宋体" w:eastAsia="宋体"/>
                <w:sz w:val="16"/>
              </w:rPr>
              <w:t>群众工作经费项目</w:t>
            </w:r>
          </w:p>
        </w:tc>
      </w:tr>
      <w:tr w14:paraId="794F32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F1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4A1579">
            <w:pPr>
              <w:jc w:val="center"/>
            </w:pPr>
            <w:r>
              <w:rPr>
                <w:rFonts w:ascii="宋体" w:hAnsi="宋体" w:eastAsia="宋体"/>
                <w:sz w:val="16"/>
              </w:rPr>
              <w:t>克孜勒苏柯尔克孜自治州吐尔尕特口岸管理委员会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FC7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3424BF">
            <w:pPr>
              <w:jc w:val="center"/>
            </w:pPr>
            <w:r>
              <w:rPr>
                <w:rFonts w:ascii="宋体" w:hAnsi="宋体" w:eastAsia="宋体"/>
                <w:sz w:val="16"/>
              </w:rPr>
              <w:t>克孜勒苏柯尔克孜自治州吐尔尕特口岸管理委员会</w:t>
            </w:r>
          </w:p>
        </w:tc>
      </w:tr>
      <w:tr w14:paraId="54812C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7869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F25B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12D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219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F9EE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D2C0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360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59756">
            <w:pPr>
              <w:jc w:val="center"/>
            </w:pPr>
            <w:r>
              <w:rPr>
                <w:rFonts w:ascii="宋体" w:hAnsi="宋体" w:eastAsia="宋体"/>
                <w:sz w:val="16"/>
              </w:rPr>
              <w:t>得分</w:t>
            </w:r>
          </w:p>
        </w:tc>
      </w:tr>
      <w:tr w14:paraId="6C76F0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FF6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9EC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CAEE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7AED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9C09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328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EA95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C8794">
            <w:pPr>
              <w:jc w:val="center"/>
            </w:pPr>
            <w:r>
              <w:rPr>
                <w:rFonts w:ascii="宋体" w:hAnsi="宋体" w:eastAsia="宋体"/>
                <w:sz w:val="16"/>
              </w:rPr>
              <w:t>10.00分</w:t>
            </w:r>
          </w:p>
        </w:tc>
      </w:tr>
      <w:tr w14:paraId="074AAB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D1D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0DF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657E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587C6">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B44B0">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447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2E6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D804C">
            <w:pPr>
              <w:jc w:val="center"/>
            </w:pPr>
            <w:r>
              <w:rPr>
                <w:rFonts w:ascii="宋体" w:hAnsi="宋体" w:eastAsia="宋体"/>
                <w:sz w:val="16"/>
              </w:rPr>
              <w:t>—</w:t>
            </w:r>
          </w:p>
        </w:tc>
      </w:tr>
      <w:tr w14:paraId="60043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1A9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17B9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859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218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FE3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DD9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166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A62C">
            <w:pPr>
              <w:jc w:val="center"/>
            </w:pPr>
            <w:r>
              <w:rPr>
                <w:rFonts w:ascii="宋体" w:hAnsi="宋体" w:eastAsia="宋体"/>
                <w:sz w:val="16"/>
              </w:rPr>
              <w:t>—</w:t>
            </w:r>
          </w:p>
        </w:tc>
      </w:tr>
      <w:tr w14:paraId="52CF1A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7181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409CD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6C25D1">
            <w:pPr>
              <w:jc w:val="center"/>
            </w:pPr>
            <w:r>
              <w:rPr>
                <w:rFonts w:ascii="宋体" w:hAnsi="宋体" w:eastAsia="宋体"/>
                <w:sz w:val="16"/>
              </w:rPr>
              <w:t>实际完成情况</w:t>
            </w:r>
          </w:p>
        </w:tc>
      </w:tr>
      <w:tr w14:paraId="48D95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205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AD777B">
            <w:pPr>
              <w:jc w:val="both"/>
            </w:pPr>
            <w:r>
              <w:rPr>
                <w:rFonts w:ascii="宋体" w:hAnsi="宋体" w:eastAsia="宋体"/>
                <w:sz w:val="16"/>
              </w:rPr>
              <w:t>该项目资金用于宣传开展群众文体活动5次，宣传开展文体活动购买活动用品5次，主要补充村级组织工作经费,积极组织开展各类活动。通过该项目的实施，解决生产生活中的实际困难，加强民族团结，增进民族互信，突出现代文化引领，落实民生建设任务，增加农牧民收入，关心关爱困难群众，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EACBC6">
            <w:pPr>
              <w:jc w:val="both"/>
            </w:pPr>
            <w:r>
              <w:rPr>
                <w:rFonts w:ascii="宋体" w:hAnsi="宋体" w:eastAsia="宋体"/>
                <w:sz w:val="16"/>
              </w:rPr>
              <w:t>截至2024年12月31日，已完成：宣传开展群众文体活动5次、宣传开展文体活动购买活动5次。通过该项目的实施，解决生产生活中的实际困难，加强民族团结，增进民族互信，突出现代文化引领，落实民生建设任务，增加农牧民收入，关心关爱困难群众，实现维护社会稳定和长治久安总目标。</w:t>
            </w:r>
          </w:p>
        </w:tc>
      </w:tr>
      <w:tr w14:paraId="6CEC61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3178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92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A94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295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EBE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33A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6E2A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4F3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F464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FB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7AB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B1B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BB1D4">
            <w:pPr>
              <w:jc w:val="center"/>
            </w:pPr>
            <w:r>
              <w:rPr>
                <w:rFonts w:ascii="宋体" w:hAnsi="宋体" w:eastAsia="宋体"/>
                <w:sz w:val="16"/>
              </w:rPr>
              <w:t>偏差原因分析及改进措施</w:t>
            </w:r>
          </w:p>
        </w:tc>
      </w:tr>
      <w:tr w14:paraId="7F7FE2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D1C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AA3C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265E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71C07">
            <w:pPr>
              <w:jc w:val="center"/>
            </w:pPr>
            <w:r>
              <w:rPr>
                <w:rFonts w:ascii="宋体" w:hAnsi="宋体" w:eastAsia="宋体"/>
                <w:sz w:val="16"/>
              </w:rPr>
              <w:t>宣传开展群众文体活动（次）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BBA0">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F3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6F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3F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E8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AB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409B">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A6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F622D">
            <w:pPr>
              <w:jc w:val="center"/>
            </w:pPr>
          </w:p>
        </w:tc>
      </w:tr>
      <w:tr w14:paraId="4ECAC1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53B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9BC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D9E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CC1A">
            <w:pPr>
              <w:jc w:val="center"/>
            </w:pPr>
            <w:r>
              <w:rPr>
                <w:rFonts w:ascii="宋体" w:hAnsi="宋体" w:eastAsia="宋体"/>
                <w:sz w:val="16"/>
              </w:rPr>
              <w:t>宣传开展文体活动购买活动用品（次）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49839">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30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6E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A0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57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3D2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0E85">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5DA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0C6A7">
            <w:pPr>
              <w:jc w:val="center"/>
            </w:pPr>
          </w:p>
        </w:tc>
      </w:tr>
      <w:tr w14:paraId="773F10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32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F49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1AC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F50A2">
            <w:pPr>
              <w:jc w:val="center"/>
            </w:pPr>
            <w:r>
              <w:rPr>
                <w:rFonts w:ascii="宋体" w:hAnsi="宋体" w:eastAsia="宋体"/>
                <w:sz w:val="16"/>
              </w:rPr>
              <w:t>宣传开展群众文体活动覆盖率（%）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43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15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47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95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FE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84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57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DA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EE752">
            <w:pPr>
              <w:jc w:val="center"/>
            </w:pPr>
          </w:p>
        </w:tc>
      </w:tr>
      <w:tr w14:paraId="0DE1CE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F26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C3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A16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0AA1">
            <w:pPr>
              <w:jc w:val="center"/>
            </w:pPr>
            <w:r>
              <w:rPr>
                <w:rFonts w:ascii="宋体" w:hAnsi="宋体" w:eastAsia="宋体"/>
                <w:sz w:val="16"/>
              </w:rPr>
              <w:t>宣传开展文体活动购买活动验收合格率（%）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5C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8B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989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B7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98C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AD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91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DB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40B39">
            <w:pPr>
              <w:jc w:val="center"/>
            </w:pPr>
          </w:p>
        </w:tc>
      </w:tr>
      <w:tr w14:paraId="09F2D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1DF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B48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691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3BE7">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B56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DA6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B10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73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71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B1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D20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4D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06BAD">
            <w:pPr>
              <w:jc w:val="center"/>
            </w:pPr>
          </w:p>
        </w:tc>
      </w:tr>
      <w:tr w14:paraId="0B9BF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C3C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932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F6D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E3C7">
            <w:pPr>
              <w:jc w:val="center"/>
            </w:pPr>
            <w:r>
              <w:rPr>
                <w:rFonts w:ascii="宋体" w:hAnsi="宋体" w:eastAsia="宋体"/>
                <w:sz w:val="16"/>
              </w:rPr>
              <w:t>宣传开展文体活动完成率（%）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75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E8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B5F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A3B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220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10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3FD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9FF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DEDA0">
            <w:pPr>
              <w:jc w:val="center"/>
            </w:pPr>
          </w:p>
        </w:tc>
      </w:tr>
      <w:tr w14:paraId="7FA6C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AA4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DAA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89A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6C59">
            <w:pPr>
              <w:jc w:val="center"/>
            </w:pPr>
            <w:r>
              <w:rPr>
                <w:rFonts w:ascii="宋体" w:hAnsi="宋体" w:eastAsia="宋体"/>
                <w:sz w:val="16"/>
              </w:rPr>
              <w:t>宣传开展文体活动经费（万元）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22A08">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D0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57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E1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99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21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11C07">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B2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C77B0">
            <w:pPr>
              <w:jc w:val="center"/>
            </w:pPr>
          </w:p>
        </w:tc>
      </w:tr>
      <w:tr w14:paraId="096BF1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2C3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F0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6B4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6C5A">
            <w:pPr>
              <w:jc w:val="center"/>
            </w:pPr>
            <w:r>
              <w:rPr>
                <w:rFonts w:ascii="宋体" w:hAnsi="宋体" w:eastAsia="宋体"/>
                <w:sz w:val="16"/>
              </w:rPr>
              <w:t>宣传开展文体活动购买活动用品经费（万元）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ACAE">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52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29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42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10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47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551E1">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D04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4A72F">
            <w:pPr>
              <w:jc w:val="center"/>
            </w:pPr>
          </w:p>
        </w:tc>
      </w:tr>
      <w:tr w14:paraId="1E5C6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19A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3B84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EF9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0155">
            <w:pPr>
              <w:jc w:val="center"/>
            </w:pPr>
            <w:r>
              <w:rPr>
                <w:rFonts w:ascii="宋体" w:hAnsi="宋体" w:eastAsia="宋体"/>
                <w:sz w:val="16"/>
              </w:rPr>
              <w:t>农牧民的幸福感和归属感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7FC89">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E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E6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39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FA8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C35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F93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D1D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B9DA0">
            <w:pPr>
              <w:jc w:val="center"/>
            </w:pPr>
          </w:p>
        </w:tc>
      </w:tr>
      <w:tr w14:paraId="29634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E6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A89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58B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AD75">
            <w:pPr>
              <w:jc w:val="center"/>
            </w:pPr>
            <w:r>
              <w:rPr>
                <w:rFonts w:ascii="宋体" w:hAnsi="宋体" w:eastAsia="宋体"/>
                <w:sz w:val="16"/>
              </w:rPr>
              <w:t>落实民生建设任务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C2AE4">
            <w:pPr>
              <w:jc w:val="center"/>
            </w:pPr>
            <w:r>
              <w:rPr>
                <w:rFonts w:ascii="宋体" w:hAnsi="宋体" w:eastAsia="宋体"/>
                <w:sz w:val="16"/>
              </w:rPr>
              <w:t>全力落实保障基本民生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C0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16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98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80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621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CA2D2">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C9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4B305">
            <w:pPr>
              <w:jc w:val="center"/>
            </w:pPr>
          </w:p>
        </w:tc>
      </w:tr>
      <w:tr w14:paraId="0CB3B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D8C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DA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771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CB83">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68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60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B3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B6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696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6B1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F4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F8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81E8C">
            <w:pPr>
              <w:jc w:val="center"/>
            </w:pPr>
          </w:p>
        </w:tc>
      </w:tr>
      <w:tr w14:paraId="4D7268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5D7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F388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B87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BC3359">
            <w:pPr>
              <w:jc w:val="center"/>
            </w:pPr>
            <w:r>
              <w:rPr>
                <w:rFonts w:ascii="宋体" w:hAnsi="宋体" w:eastAsia="宋体"/>
                <w:sz w:val="16"/>
              </w:rPr>
              <w:t>100分</w:t>
            </w:r>
          </w:p>
        </w:tc>
      </w:tr>
    </w:tbl>
    <w:p w14:paraId="181A72E8">
      <w:r>
        <w:br w:type="page"/>
      </w:r>
    </w:p>
    <w:p w14:paraId="1269D2E1">
      <w:pPr>
        <w:spacing w:line="640" w:lineRule="exact"/>
        <w:ind w:firstLine="640"/>
        <w:jc w:val="both"/>
        <w:outlineLvl w:val="2"/>
      </w:pPr>
      <w:r>
        <w:rPr>
          <w:rFonts w:ascii="黑体" w:hAnsi="黑体" w:eastAsia="黑体"/>
          <w:sz w:val="32"/>
        </w:rPr>
        <w:t>十二、其他需说明的事项</w:t>
      </w:r>
    </w:p>
    <w:p w14:paraId="2E1B4AA6">
      <w:pPr>
        <w:spacing w:line="580" w:lineRule="exact"/>
        <w:ind w:firstLine="640"/>
        <w:jc w:val="both"/>
      </w:pPr>
      <w:r>
        <w:rPr>
          <w:rFonts w:ascii="仿宋_GB2312" w:hAnsi="仿宋_GB2312" w:eastAsia="仿宋_GB2312"/>
          <w:b w:val="0"/>
          <w:sz w:val="32"/>
        </w:rPr>
        <w:t>本单位无其他需说明的事项。</w:t>
      </w:r>
    </w:p>
    <w:p w14:paraId="743374ED">
      <w:r>
        <w:br w:type="page"/>
      </w:r>
    </w:p>
    <w:p w14:paraId="273EE70E">
      <w:pPr>
        <w:spacing w:line="240" w:lineRule="auto"/>
        <w:jc w:val="center"/>
        <w:outlineLvl w:val="1"/>
      </w:pPr>
      <w:r>
        <w:rPr>
          <w:rFonts w:ascii="黑体" w:hAnsi="黑体" w:eastAsia="黑体"/>
          <w:sz w:val="32"/>
        </w:rPr>
        <w:t>第三部分 专业名词解释</w:t>
      </w:r>
    </w:p>
    <w:p w14:paraId="51B4142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2AB5F8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58131D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4B6202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C5C048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077D6D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6704F6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98A468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C7BAC0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603290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D449C9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7C11EA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5D78D2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3938D0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59FA8A7">
      <w:r>
        <w:br w:type="page"/>
      </w:r>
    </w:p>
    <w:p w14:paraId="3DDF44B1">
      <w:pPr>
        <w:spacing w:line="240" w:lineRule="auto"/>
        <w:jc w:val="center"/>
        <w:outlineLvl w:val="1"/>
      </w:pPr>
      <w:r>
        <w:rPr>
          <w:rFonts w:ascii="黑体" w:hAnsi="黑体" w:eastAsia="黑体"/>
          <w:sz w:val="32"/>
        </w:rPr>
        <w:t>第四部分 部门决算报表（见附表）</w:t>
      </w:r>
    </w:p>
    <w:p w14:paraId="47EAB252">
      <w:pPr>
        <w:spacing w:line="240" w:lineRule="auto"/>
        <w:ind w:firstLine="640"/>
        <w:jc w:val="both"/>
      </w:pPr>
      <w:r>
        <w:rPr>
          <w:rFonts w:ascii="仿宋_GB2312" w:hAnsi="仿宋_GB2312" w:eastAsia="仿宋_GB2312"/>
          <w:b w:val="0"/>
          <w:sz w:val="32"/>
        </w:rPr>
        <w:t>一、《收入支出决算总表》</w:t>
      </w:r>
    </w:p>
    <w:p w14:paraId="07533515">
      <w:pPr>
        <w:spacing w:line="240" w:lineRule="auto"/>
        <w:ind w:firstLine="640"/>
        <w:jc w:val="both"/>
      </w:pPr>
      <w:r>
        <w:rPr>
          <w:rFonts w:ascii="仿宋_GB2312" w:hAnsi="仿宋_GB2312" w:eastAsia="仿宋_GB2312"/>
          <w:b w:val="0"/>
          <w:sz w:val="32"/>
        </w:rPr>
        <w:t>二、《收入决算表》</w:t>
      </w:r>
    </w:p>
    <w:p w14:paraId="63607D75">
      <w:pPr>
        <w:spacing w:line="240" w:lineRule="auto"/>
        <w:ind w:firstLine="640"/>
        <w:jc w:val="both"/>
      </w:pPr>
      <w:r>
        <w:rPr>
          <w:rFonts w:ascii="仿宋_GB2312" w:hAnsi="仿宋_GB2312" w:eastAsia="仿宋_GB2312"/>
          <w:b w:val="0"/>
          <w:sz w:val="32"/>
        </w:rPr>
        <w:t>三、《支出决算表》</w:t>
      </w:r>
    </w:p>
    <w:p w14:paraId="3999E182">
      <w:pPr>
        <w:spacing w:line="240" w:lineRule="auto"/>
        <w:ind w:firstLine="640"/>
        <w:jc w:val="both"/>
      </w:pPr>
      <w:r>
        <w:rPr>
          <w:rFonts w:ascii="仿宋_GB2312" w:hAnsi="仿宋_GB2312" w:eastAsia="仿宋_GB2312"/>
          <w:b w:val="0"/>
          <w:sz w:val="32"/>
        </w:rPr>
        <w:t>四、《财政拨款收入支出决算总表》</w:t>
      </w:r>
    </w:p>
    <w:p w14:paraId="77789E78">
      <w:pPr>
        <w:spacing w:line="240" w:lineRule="auto"/>
        <w:ind w:firstLine="640"/>
        <w:jc w:val="both"/>
      </w:pPr>
      <w:r>
        <w:rPr>
          <w:rFonts w:ascii="仿宋_GB2312" w:hAnsi="仿宋_GB2312" w:eastAsia="仿宋_GB2312"/>
          <w:b w:val="0"/>
          <w:sz w:val="32"/>
        </w:rPr>
        <w:t>五、《一般公共预算财政拨款支出决算表》</w:t>
      </w:r>
    </w:p>
    <w:p w14:paraId="353507FB">
      <w:pPr>
        <w:spacing w:line="240" w:lineRule="auto"/>
        <w:ind w:firstLine="640"/>
        <w:jc w:val="both"/>
      </w:pPr>
      <w:r>
        <w:rPr>
          <w:rFonts w:ascii="仿宋_GB2312" w:hAnsi="仿宋_GB2312" w:eastAsia="仿宋_GB2312"/>
          <w:b w:val="0"/>
          <w:sz w:val="32"/>
        </w:rPr>
        <w:t>六、《一般公共预算财政拨款基本支出决算表》</w:t>
      </w:r>
    </w:p>
    <w:p w14:paraId="2C5F99C8">
      <w:pPr>
        <w:spacing w:line="240" w:lineRule="auto"/>
        <w:ind w:firstLine="640"/>
        <w:jc w:val="both"/>
      </w:pPr>
      <w:r>
        <w:rPr>
          <w:rFonts w:ascii="仿宋_GB2312" w:hAnsi="仿宋_GB2312" w:eastAsia="仿宋_GB2312"/>
          <w:b w:val="0"/>
          <w:sz w:val="32"/>
        </w:rPr>
        <w:t>七、《政府性基金预算财政拨款收入支出决算表》</w:t>
      </w:r>
    </w:p>
    <w:p w14:paraId="4A74B893">
      <w:pPr>
        <w:spacing w:line="240" w:lineRule="auto"/>
        <w:ind w:firstLine="640"/>
        <w:jc w:val="both"/>
      </w:pPr>
      <w:r>
        <w:rPr>
          <w:rFonts w:ascii="仿宋_GB2312" w:hAnsi="仿宋_GB2312" w:eastAsia="仿宋_GB2312"/>
          <w:b w:val="0"/>
          <w:sz w:val="32"/>
        </w:rPr>
        <w:t>八、《国有资本经营预算财政拨款收入支出决算表》</w:t>
      </w:r>
    </w:p>
    <w:p w14:paraId="5B173B00">
      <w:pPr>
        <w:spacing w:line="240" w:lineRule="auto"/>
        <w:ind w:firstLine="640"/>
        <w:jc w:val="both"/>
      </w:pPr>
      <w:r>
        <w:rPr>
          <w:rFonts w:ascii="仿宋_GB2312" w:hAnsi="仿宋_GB2312" w:eastAsia="仿宋_GB2312"/>
          <w:b w:val="0"/>
          <w:sz w:val="32"/>
        </w:rPr>
        <w:t>九、《财政拨款“三公”经费支出决算表》</w:t>
      </w:r>
    </w:p>
    <w:p w14:paraId="59CB9BD3">
      <w:pPr>
        <w:spacing w:line="240" w:lineRule="auto"/>
        <w:ind w:firstLine="640"/>
        <w:jc w:val="both"/>
      </w:pPr>
    </w:p>
    <w:p w14:paraId="27268930">
      <w:pPr>
        <w:spacing w:line="240" w:lineRule="auto"/>
        <w:ind w:firstLine="640"/>
        <w:jc w:val="both"/>
      </w:pPr>
    </w:p>
    <w:p w14:paraId="5E03051B">
      <w:pPr>
        <w:spacing w:line="240" w:lineRule="auto"/>
        <w:ind w:firstLine="640"/>
        <w:jc w:val="both"/>
      </w:pPr>
    </w:p>
    <w:p w14:paraId="7B4AB7AB">
      <w:pPr>
        <w:spacing w:line="240" w:lineRule="auto"/>
        <w:ind w:firstLine="640"/>
        <w:jc w:val="both"/>
      </w:pPr>
    </w:p>
    <w:p w14:paraId="1B96C3C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1D7EBFB-653A-488D-B530-19D577A8374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embedRegular r:id="rId2" w:fontKey="{29F67391-C271-42EA-BC8D-0F53E9B17301}"/>
  </w:font>
  <w:font w:name="仿宋_GB2312">
    <w:panose1 w:val="02010609030101010101"/>
    <w:charset w:val="86"/>
    <w:family w:val="auto"/>
    <w:pitch w:val="default"/>
    <w:sig w:usb0="00000001" w:usb1="080E0000" w:usb2="00000000" w:usb3="00000000" w:csb0="00040000" w:csb1="00000000"/>
    <w:embedRegular r:id="rId3" w:fontKey="{C8A864A0-E33B-4DBF-B2EE-992F93C452F3}"/>
  </w:font>
  <w:font w:name="楷体_GB2312">
    <w:panose1 w:val="02010609030101010101"/>
    <w:charset w:val="86"/>
    <w:family w:val="auto"/>
    <w:pitch w:val="default"/>
    <w:sig w:usb0="00000001" w:usb1="080E0000" w:usb2="00000000" w:usb3="00000000" w:csb0="00040000" w:csb1="00000000"/>
    <w:embedRegular r:id="rId4" w:fontKey="{9204877C-BE83-44BE-BFE4-C25DE724008F}"/>
  </w:font>
  <w:font w:name="WPSEMBED1">
    <w:panose1 w:val="02010609030101010101"/>
    <w:charset w:val="86"/>
    <w:family w:val="auto"/>
    <w:pitch w:val="default"/>
    <w:sig w:usb0="00000001" w:usb1="080E0000" w:usb2="00000000" w:usb3="00000000" w:csb0="00040000" w:csb1="00000000"/>
  </w:font>
  <w:font w:name="WPSEMBED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530982"/>
    <w:rsid w:val="06792773"/>
    <w:rsid w:val="0702155B"/>
    <w:rsid w:val="09A729D8"/>
    <w:rsid w:val="0A3C58E8"/>
    <w:rsid w:val="0A7B4867"/>
    <w:rsid w:val="0B8C3ECC"/>
    <w:rsid w:val="0C3613A3"/>
    <w:rsid w:val="0C7227A7"/>
    <w:rsid w:val="0DCA6EF7"/>
    <w:rsid w:val="0E4B1576"/>
    <w:rsid w:val="0EA04331"/>
    <w:rsid w:val="0F9811B3"/>
    <w:rsid w:val="11925681"/>
    <w:rsid w:val="11E15093"/>
    <w:rsid w:val="120E0809"/>
    <w:rsid w:val="19071D6C"/>
    <w:rsid w:val="19B5554D"/>
    <w:rsid w:val="1B8F2D19"/>
    <w:rsid w:val="1C317E4F"/>
    <w:rsid w:val="1C472464"/>
    <w:rsid w:val="1CC932F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7767CF"/>
    <w:rsid w:val="5FA17648"/>
    <w:rsid w:val="5FD268BC"/>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6102</Words>
  <Characters>7030</Characters>
  <Lines>0</Lines>
  <Paragraphs>0</Paragraphs>
  <TotalTime>4</TotalTime>
  <ScaleCrop>false</ScaleCrop>
  <LinksUpToDate>false</LinksUpToDate>
  <CharactersWithSpaces>7038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盛夏之末√</cp:lastModifiedBy>
  <cp:lastPrinted>2024-07-22T11:58:00Z</cp:lastPrinted>
  <dcterms:modified xsi:type="dcterms:W3CDTF">2025-11-24T05:21:15Z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eyJoZGlkIjoiZjFmZWIzNDg2MmIzZjExOTIzMmViNTBmYTMwYTk0ZWYiLCJ1c2VySWQiOiI0MzIyODY2NzMifQ==</vt:lpwstr>
  </property>
</Properties>
</file>