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C2BD009">
      <w:r>
        <w:br w:type="page"/>
      </w:r>
    </w:p>
    <w:p w14:paraId="5C299686">
      <w:pPr>
        <w:spacing w:line="640" w:lineRule="exact"/>
        <w:jc w:val="center"/>
        <w:outlineLvl w:val="1"/>
      </w:pPr>
      <w:r>
        <w:rPr>
          <w:rFonts w:ascii="黑体" w:hAnsi="黑体" w:eastAsia="黑体"/>
          <w:sz w:val="32"/>
        </w:rPr>
        <w:t>第一部分 单位概况</w:t>
      </w:r>
    </w:p>
    <w:p w14:paraId="0C628A06">
      <w:pPr>
        <w:spacing w:line="640" w:lineRule="exact"/>
        <w:ind w:firstLine="640"/>
        <w:jc w:val="both"/>
        <w:outlineLvl w:val="2"/>
      </w:pPr>
      <w:r>
        <w:rPr>
          <w:rFonts w:ascii="黑体" w:hAnsi="黑体" w:eastAsia="黑体"/>
          <w:sz w:val="32"/>
        </w:rPr>
        <w:t>一、主要职能</w:t>
      </w:r>
    </w:p>
    <w:p w14:paraId="3952C828">
      <w:pPr>
        <w:spacing w:line="580" w:lineRule="exact"/>
        <w:ind w:firstLine="640"/>
        <w:jc w:val="both"/>
      </w:pPr>
      <w:r>
        <w:rPr>
          <w:rFonts w:ascii="仿宋_GB2312" w:hAnsi="仿宋_GB2312" w:eastAsia="仿宋_GB2312"/>
          <w:sz w:val="32"/>
        </w:rPr>
        <w:t>（1）对于叛国案、分裂国家案以及严重破坏国家的政策、法律、政令统一实施的重大犯罪案件，行使检察权。</w:t>
      </w:r>
    </w:p>
    <w:p w14:paraId="0D2F2D69">
      <w:pPr>
        <w:spacing w:line="580" w:lineRule="exact"/>
        <w:ind w:firstLine="640"/>
        <w:jc w:val="both"/>
      </w:pPr>
      <w:r>
        <w:rPr>
          <w:rFonts w:ascii="仿宋_GB2312" w:hAnsi="仿宋_GB2312" w:eastAsia="仿宋_GB2312"/>
          <w:sz w:val="32"/>
        </w:rPr>
        <w:t>（2）对于直接受理的国家工作人员利用职权实施的犯罪案件，进行侦查。</w:t>
      </w:r>
    </w:p>
    <w:p w14:paraId="24AFCAB9">
      <w:pPr>
        <w:spacing w:line="580" w:lineRule="exact"/>
        <w:ind w:firstLine="640"/>
        <w:jc w:val="both"/>
      </w:pPr>
      <w:r>
        <w:rPr>
          <w:rFonts w:ascii="仿宋_GB2312" w:hAnsi="仿宋_GB2312" w:eastAsia="仿宋_GB2312"/>
          <w:sz w:val="32"/>
        </w:rPr>
        <w:t>（3）</w:t>
      </w:r>
      <w:r>
        <w:rPr>
          <w:rFonts w:hint="eastAsia" w:ascii="仿宋_GB2312" w:hAnsi="仿宋_GB2312" w:eastAsia="仿宋_GB2312"/>
          <w:sz w:val="32"/>
          <w:lang w:eastAsia="zh-CN"/>
        </w:rPr>
        <w:t>对</w:t>
      </w:r>
      <w:r>
        <w:rPr>
          <w:rFonts w:ascii="仿宋_GB2312" w:hAnsi="仿宋_GB2312" w:eastAsia="仿宋_GB2312"/>
          <w:sz w:val="32"/>
        </w:rPr>
        <w:t>公安机关、国家安全机关等侦查机关侦查的案件进行审查，决定是否逮捕、起诉或者不起诉。并对侦查机关的侦查活动是否合法实行监督。</w:t>
      </w:r>
    </w:p>
    <w:p w14:paraId="0BDAF609">
      <w:pPr>
        <w:spacing w:line="580" w:lineRule="exact"/>
        <w:ind w:firstLine="640"/>
        <w:jc w:val="both"/>
      </w:pPr>
      <w:r>
        <w:rPr>
          <w:rFonts w:ascii="仿宋_GB2312" w:hAnsi="仿宋_GB2312" w:eastAsia="仿宋_GB2312"/>
          <w:sz w:val="32"/>
        </w:rPr>
        <w:t>（4）对于刑事案件提起公诉，支持公诉；对于人民法院的刑事判决、裁定是否正确和审判活动是否合法实行监督。</w:t>
      </w:r>
    </w:p>
    <w:p w14:paraId="7BAFD13D">
      <w:pPr>
        <w:spacing w:line="580" w:lineRule="exact"/>
        <w:ind w:firstLine="640"/>
        <w:jc w:val="both"/>
      </w:pPr>
      <w:r>
        <w:rPr>
          <w:rFonts w:ascii="仿宋_GB2312" w:hAnsi="仿宋_GB2312" w:eastAsia="仿宋_GB2312"/>
          <w:sz w:val="32"/>
        </w:rPr>
        <w:t>（5）对于监狱、看守所等执行机关执行刑罚的活动是否合法实行监督。</w:t>
      </w:r>
    </w:p>
    <w:p w14:paraId="3C3B8888">
      <w:pPr>
        <w:spacing w:line="580" w:lineRule="exact"/>
        <w:ind w:firstLine="640"/>
        <w:jc w:val="both"/>
      </w:pPr>
      <w:r>
        <w:rPr>
          <w:rFonts w:ascii="仿宋_GB2312" w:hAnsi="仿宋_GB2312" w:eastAsia="仿宋_GB2312"/>
          <w:sz w:val="32"/>
        </w:rPr>
        <w:t>（6）</w:t>
      </w:r>
      <w:r>
        <w:rPr>
          <w:rFonts w:hint="eastAsia" w:ascii="仿宋_GB2312" w:hAnsi="仿宋_GB2312" w:eastAsia="仿宋_GB2312"/>
          <w:sz w:val="32"/>
          <w:lang w:eastAsia="zh-CN"/>
        </w:rPr>
        <w:t>对</w:t>
      </w:r>
      <w:r>
        <w:rPr>
          <w:rFonts w:ascii="仿宋_GB2312" w:hAnsi="仿宋_GB2312" w:eastAsia="仿宋_GB2312"/>
          <w:sz w:val="32"/>
        </w:rPr>
        <w:t>人民法院的民事审判活动实行法律监督，对人民法院已经发生效力的判决、裁定，发现违反法律、法规规定的，依法提出抗诉。</w:t>
      </w:r>
    </w:p>
    <w:p w14:paraId="582D7E78">
      <w:pPr>
        <w:spacing w:line="580" w:lineRule="exact"/>
        <w:ind w:firstLine="640"/>
        <w:jc w:val="both"/>
      </w:pPr>
      <w:r>
        <w:rPr>
          <w:rFonts w:ascii="仿宋_GB2312" w:hAnsi="仿宋_GB2312" w:eastAsia="仿宋_GB2312"/>
          <w:sz w:val="32"/>
        </w:rPr>
        <w:t>（7）</w:t>
      </w:r>
      <w:r>
        <w:rPr>
          <w:rFonts w:hint="eastAsia" w:ascii="仿宋_GB2312" w:hAnsi="仿宋_GB2312" w:eastAsia="仿宋_GB2312"/>
          <w:sz w:val="32"/>
          <w:lang w:eastAsia="zh-CN"/>
        </w:rPr>
        <w:t>对</w:t>
      </w:r>
      <w:r>
        <w:rPr>
          <w:rFonts w:ascii="仿宋_GB2312" w:hAnsi="仿宋_GB2312" w:eastAsia="仿宋_GB2312"/>
          <w:sz w:val="32"/>
        </w:rPr>
        <w:t>行政诉讼实行法律监督。对人民法院已经发生效力的判决、裁定发现违反法律、法规规定的，依法提出抗诉。</w:t>
      </w:r>
    </w:p>
    <w:p w14:paraId="16F8F02D">
      <w:pPr>
        <w:spacing w:line="640" w:lineRule="exact"/>
        <w:ind w:firstLine="640"/>
        <w:jc w:val="both"/>
        <w:outlineLvl w:val="2"/>
      </w:pPr>
      <w:r>
        <w:rPr>
          <w:rFonts w:ascii="黑体" w:hAnsi="黑体" w:eastAsia="黑体"/>
          <w:sz w:val="32"/>
        </w:rPr>
        <w:t>二、机构设置及人员情况</w:t>
      </w:r>
    </w:p>
    <w:p w14:paraId="29F150EE">
      <w:pPr>
        <w:spacing w:line="580" w:lineRule="exact"/>
        <w:ind w:firstLine="640"/>
        <w:jc w:val="both"/>
      </w:pPr>
      <w:r>
        <w:rPr>
          <w:rFonts w:ascii="仿宋_GB2312" w:hAnsi="仿宋_GB2312" w:eastAsia="仿宋_GB2312"/>
          <w:sz w:val="32"/>
        </w:rPr>
        <w:t>阿图什市人民检察院2024年度，实有人数79人，其中：在职人员56人，减少1人；离休人员0人，增加0人；退休人员23人,增加3人。</w:t>
      </w:r>
    </w:p>
    <w:p w14:paraId="6A12FF20">
      <w:pPr>
        <w:spacing w:line="580" w:lineRule="exact"/>
        <w:ind w:firstLine="640"/>
        <w:jc w:val="both"/>
      </w:pPr>
      <w:r>
        <w:rPr>
          <w:rFonts w:ascii="仿宋_GB2312" w:hAnsi="仿宋_GB2312" w:eastAsia="仿宋_GB2312"/>
          <w:sz w:val="32"/>
        </w:rPr>
        <w:t>阿图什市人民检察院无下属预算单位，下设5个科室，分别是：办公室、政治部、第一检察部、第二检察部、第三检察部。</w:t>
      </w:r>
    </w:p>
    <w:p w14:paraId="16B82F9E">
      <w:r>
        <w:br w:type="page"/>
      </w:r>
    </w:p>
    <w:p w14:paraId="603EA90F">
      <w:pPr>
        <w:spacing w:line="240" w:lineRule="auto"/>
        <w:jc w:val="center"/>
        <w:outlineLvl w:val="1"/>
      </w:pPr>
      <w:r>
        <w:rPr>
          <w:rFonts w:ascii="黑体" w:hAnsi="黑体" w:eastAsia="黑体"/>
          <w:sz w:val="32"/>
        </w:rPr>
        <w:t>第二部分 部门决算情况说明</w:t>
      </w:r>
    </w:p>
    <w:p w14:paraId="4C95EC98">
      <w:pPr>
        <w:spacing w:line="640" w:lineRule="exact"/>
        <w:ind w:firstLine="640"/>
        <w:jc w:val="both"/>
        <w:outlineLvl w:val="2"/>
      </w:pPr>
      <w:r>
        <w:rPr>
          <w:rFonts w:ascii="黑体" w:hAnsi="黑体" w:eastAsia="黑体"/>
          <w:sz w:val="32"/>
        </w:rPr>
        <w:t>一、收入支出决算总体情况说明</w:t>
      </w:r>
    </w:p>
    <w:p w14:paraId="2D54EFEB">
      <w:pPr>
        <w:spacing w:line="580" w:lineRule="exact"/>
        <w:ind w:firstLine="640"/>
        <w:jc w:val="both"/>
      </w:pPr>
      <w:r>
        <w:rPr>
          <w:rFonts w:ascii="仿宋_GB2312" w:hAnsi="仿宋_GB2312" w:eastAsia="仿宋_GB2312"/>
          <w:b/>
          <w:sz w:val="32"/>
        </w:rPr>
        <w:t>2024年度收入总计1,576.33万元，</w:t>
      </w:r>
      <w:r>
        <w:rPr>
          <w:rFonts w:ascii="仿宋_GB2312" w:hAnsi="仿宋_GB2312" w:eastAsia="仿宋_GB2312"/>
          <w:b w:val="0"/>
          <w:sz w:val="32"/>
        </w:rPr>
        <w:t>其中：本年收入合计1,374.08万元，使用非财政拨款结余（含专用结余）0.00万元，年初结转和结余202.25万元。</w:t>
      </w:r>
    </w:p>
    <w:p w14:paraId="7DFB8D7E">
      <w:pPr>
        <w:spacing w:line="580" w:lineRule="exact"/>
        <w:ind w:firstLine="640"/>
        <w:jc w:val="both"/>
      </w:pPr>
      <w:r>
        <w:rPr>
          <w:rFonts w:ascii="仿宋_GB2312" w:hAnsi="仿宋_GB2312" w:eastAsia="仿宋_GB2312"/>
          <w:b/>
          <w:sz w:val="32"/>
        </w:rPr>
        <w:t>2024年度支出总计1,576.33万元，</w:t>
      </w:r>
      <w:r>
        <w:rPr>
          <w:rFonts w:ascii="仿宋_GB2312" w:hAnsi="仿宋_GB2312" w:eastAsia="仿宋_GB2312"/>
          <w:b w:val="0"/>
          <w:sz w:val="32"/>
        </w:rPr>
        <w:t>其中：本年支出合计1,444.73万元，结余分配0.00万元，年末结转和结余131.60万元。</w:t>
      </w:r>
    </w:p>
    <w:p w14:paraId="5671CBBD">
      <w:pPr>
        <w:spacing w:line="580" w:lineRule="exact"/>
        <w:ind w:firstLine="640"/>
        <w:jc w:val="both"/>
      </w:pPr>
      <w:r>
        <w:rPr>
          <w:rFonts w:ascii="仿宋_GB2312" w:hAnsi="仿宋_GB2312" w:eastAsia="仿宋_GB2312"/>
          <w:b w:val="0"/>
          <w:sz w:val="32"/>
        </w:rPr>
        <w:t>收入支出总体与上年相比，减少127.05万元，下降7.46%，主要原因是：本年在职人员减少，故人员经费减少；2024年专项业务经费较上年减少。</w:t>
      </w:r>
    </w:p>
    <w:p w14:paraId="6CAA4C7B">
      <w:pPr>
        <w:spacing w:line="640" w:lineRule="exact"/>
        <w:ind w:firstLine="640"/>
        <w:jc w:val="both"/>
        <w:outlineLvl w:val="2"/>
      </w:pPr>
      <w:r>
        <w:rPr>
          <w:rFonts w:ascii="黑体" w:hAnsi="黑体" w:eastAsia="黑体"/>
          <w:sz w:val="32"/>
        </w:rPr>
        <w:t>二、收入决算情况说明</w:t>
      </w:r>
    </w:p>
    <w:p w14:paraId="3C6CE4B2">
      <w:pPr>
        <w:spacing w:line="580" w:lineRule="exact"/>
        <w:ind w:firstLine="640"/>
        <w:jc w:val="both"/>
      </w:pPr>
      <w:r>
        <w:rPr>
          <w:rFonts w:ascii="仿宋_GB2312" w:hAnsi="仿宋_GB2312" w:eastAsia="仿宋_GB2312"/>
          <w:b/>
          <w:sz w:val="32"/>
        </w:rPr>
        <w:t>本年收入1,374.08万元，</w:t>
      </w:r>
      <w:r>
        <w:rPr>
          <w:rFonts w:ascii="仿宋_GB2312" w:hAnsi="仿宋_GB2312" w:eastAsia="仿宋_GB2312"/>
          <w:b w:val="0"/>
          <w:sz w:val="32"/>
        </w:rPr>
        <w:t>其中：财政拨款收入1,355.91万元，占98.68%；上级补助收入0.00万元，占0.00%；事业收入0.00万元，占0.00%；经营收入0.00万元，占0.00%；附属单位上缴收入0.00万元，占0.00%；其他收入18.17万元，占1.32%。</w:t>
      </w:r>
    </w:p>
    <w:p w14:paraId="77E0F6BA">
      <w:pPr>
        <w:spacing w:line="640" w:lineRule="exact"/>
        <w:ind w:firstLine="640"/>
        <w:jc w:val="both"/>
        <w:outlineLvl w:val="2"/>
      </w:pPr>
      <w:r>
        <w:rPr>
          <w:rFonts w:ascii="黑体" w:hAnsi="黑体" w:eastAsia="黑体"/>
          <w:sz w:val="32"/>
        </w:rPr>
        <w:t>三、支出决算情况说明</w:t>
      </w:r>
    </w:p>
    <w:p w14:paraId="6061EAF6">
      <w:pPr>
        <w:spacing w:line="580" w:lineRule="exact"/>
        <w:ind w:firstLine="640"/>
        <w:jc w:val="both"/>
      </w:pPr>
      <w:r>
        <w:rPr>
          <w:rFonts w:ascii="仿宋_GB2312" w:hAnsi="仿宋_GB2312" w:eastAsia="仿宋_GB2312"/>
          <w:b/>
          <w:sz w:val="32"/>
        </w:rPr>
        <w:t>本年支出1,444.73万元，</w:t>
      </w:r>
      <w:r>
        <w:rPr>
          <w:rFonts w:ascii="仿宋_GB2312" w:hAnsi="仿宋_GB2312" w:eastAsia="仿宋_GB2312"/>
          <w:b w:val="0"/>
          <w:sz w:val="32"/>
        </w:rPr>
        <w:t>其中：基本支出1,099.48万元，占76.10%；项目支出345.25万元，占23.90%；上缴上级支出0.00万元，占0.00%；经营支出0.00万元，占0.00%；对附属单位补助支出0.00万元，占0.00%。</w:t>
      </w:r>
    </w:p>
    <w:p w14:paraId="37E32879">
      <w:pPr>
        <w:spacing w:line="640" w:lineRule="exact"/>
        <w:ind w:firstLine="640"/>
        <w:jc w:val="both"/>
        <w:outlineLvl w:val="2"/>
      </w:pPr>
      <w:r>
        <w:rPr>
          <w:rFonts w:ascii="黑体" w:hAnsi="黑体" w:eastAsia="黑体"/>
          <w:sz w:val="32"/>
        </w:rPr>
        <w:t>四、财政拨款收入支出决算总体情况说明</w:t>
      </w:r>
    </w:p>
    <w:p w14:paraId="73360410">
      <w:pPr>
        <w:spacing w:line="580" w:lineRule="exact"/>
        <w:ind w:firstLine="640"/>
        <w:jc w:val="both"/>
      </w:pPr>
      <w:r>
        <w:rPr>
          <w:rFonts w:ascii="仿宋_GB2312" w:hAnsi="仿宋_GB2312" w:eastAsia="仿宋_GB2312"/>
          <w:b/>
          <w:sz w:val="32"/>
        </w:rPr>
        <w:t>2024年度财政拨款收入总计1,378.46万元，</w:t>
      </w:r>
      <w:r>
        <w:rPr>
          <w:rFonts w:ascii="仿宋_GB2312" w:hAnsi="仿宋_GB2312" w:eastAsia="仿宋_GB2312"/>
          <w:b w:val="0"/>
          <w:sz w:val="32"/>
        </w:rPr>
        <w:t>其中：年初财政拨款结转和结余22.55万元，本年财政拨款收入1,355.91万元。</w:t>
      </w:r>
      <w:r>
        <w:rPr>
          <w:rFonts w:ascii="仿宋_GB2312" w:hAnsi="仿宋_GB2312" w:eastAsia="仿宋_GB2312"/>
          <w:b/>
          <w:sz w:val="32"/>
        </w:rPr>
        <w:t>财政拨款支出总计1,378.46万元，</w:t>
      </w:r>
      <w:r>
        <w:rPr>
          <w:rFonts w:ascii="仿宋_GB2312" w:hAnsi="仿宋_GB2312" w:eastAsia="仿宋_GB2312"/>
          <w:b w:val="0"/>
          <w:sz w:val="32"/>
        </w:rPr>
        <w:t>其中：年末财政拨款结转和结余14.32万元，本年财政拨款支出1,364.14万元。</w:t>
      </w:r>
    </w:p>
    <w:p w14:paraId="154DC11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减少109.71万元，下降7.37%，主要原因是：本年在职人员减少，故人员经费减少；2024年专项业务经费较上年减少。</w:t>
      </w:r>
      <w:r>
        <w:rPr>
          <w:rFonts w:ascii="仿宋_GB2312" w:hAnsi="仿宋_GB2312" w:eastAsia="仿宋_GB2312"/>
          <w:b/>
          <w:sz w:val="32"/>
        </w:rPr>
        <w:t>与年初预算相比，</w:t>
      </w:r>
      <w:r>
        <w:rPr>
          <w:rFonts w:ascii="仿宋_GB2312" w:hAnsi="仿宋_GB2312" w:eastAsia="仿宋_GB2312"/>
          <w:b w:val="0"/>
          <w:sz w:val="32"/>
        </w:rPr>
        <w:t>年初预算数1,321.76万元，决算数1,378.46万元，预决算差异率4.29%，主要原因是：本年在职人员工资调薪，社保基数调整等相关人员经费增加，年中追加人员经费。</w:t>
      </w:r>
    </w:p>
    <w:p w14:paraId="710A5613">
      <w:pPr>
        <w:spacing w:line="640" w:lineRule="exact"/>
        <w:ind w:firstLine="640"/>
        <w:jc w:val="both"/>
        <w:outlineLvl w:val="2"/>
      </w:pPr>
      <w:r>
        <w:rPr>
          <w:rFonts w:ascii="黑体" w:hAnsi="黑体" w:eastAsia="黑体"/>
          <w:sz w:val="32"/>
        </w:rPr>
        <w:t>五、一般公共预算财政拨款支出决算情况说明</w:t>
      </w:r>
    </w:p>
    <w:p w14:paraId="5798C454">
      <w:pPr>
        <w:spacing w:line="640" w:lineRule="exact"/>
        <w:ind w:firstLine="640"/>
        <w:jc w:val="both"/>
        <w:outlineLvl w:val="3"/>
      </w:pPr>
      <w:r>
        <w:rPr>
          <w:rFonts w:ascii="楷体_GB2312" w:hAnsi="楷体_GB2312" w:eastAsia="楷体_GB2312"/>
          <w:b/>
          <w:sz w:val="32"/>
        </w:rPr>
        <w:t>（一）一般公共预算财政拨款支出决算总体情况</w:t>
      </w:r>
    </w:p>
    <w:p w14:paraId="2DBB9056">
      <w:pPr>
        <w:spacing w:line="580" w:lineRule="exact"/>
        <w:ind w:firstLine="640"/>
        <w:jc w:val="both"/>
      </w:pPr>
      <w:r>
        <w:rPr>
          <w:rFonts w:ascii="仿宋_GB2312" w:hAnsi="仿宋_GB2312" w:eastAsia="仿宋_GB2312"/>
          <w:b/>
          <w:sz w:val="32"/>
        </w:rPr>
        <w:t>2024年度一般公共预算财政拨款支出1,364.14万元，</w:t>
      </w:r>
      <w:r>
        <w:rPr>
          <w:rFonts w:ascii="仿宋_GB2312" w:hAnsi="仿宋_GB2312" w:eastAsia="仿宋_GB2312"/>
          <w:b w:val="0"/>
          <w:sz w:val="32"/>
        </w:rPr>
        <w:t>占本年支出合计的94.42%。</w:t>
      </w:r>
      <w:r>
        <w:rPr>
          <w:rFonts w:ascii="仿宋_GB2312" w:hAnsi="仿宋_GB2312" w:eastAsia="仿宋_GB2312"/>
          <w:b/>
          <w:sz w:val="32"/>
        </w:rPr>
        <w:t>与上年相比，</w:t>
      </w:r>
      <w:r>
        <w:rPr>
          <w:rFonts w:ascii="仿宋_GB2312" w:hAnsi="仿宋_GB2312" w:eastAsia="仿宋_GB2312"/>
          <w:b w:val="0"/>
          <w:sz w:val="32"/>
        </w:rPr>
        <w:t>减少100.76万元，下降6.88%，主要原因是：本年在职人员减少，故人员经费减少；2024年专项业务经费较上年减少。</w:t>
      </w:r>
      <w:r>
        <w:rPr>
          <w:rFonts w:ascii="仿宋_GB2312" w:hAnsi="仿宋_GB2312" w:eastAsia="仿宋_GB2312"/>
          <w:b/>
          <w:sz w:val="32"/>
        </w:rPr>
        <w:t>与年初预算相比,</w:t>
      </w:r>
      <w:r>
        <w:rPr>
          <w:rFonts w:ascii="仿宋_GB2312" w:hAnsi="仿宋_GB2312" w:eastAsia="仿宋_GB2312"/>
          <w:b w:val="0"/>
          <w:sz w:val="32"/>
        </w:rPr>
        <w:t>年初预算数1,321.76万元，决算数1,364.14万元，预决算差异率3.21%，主要原因是：本年在职人员工资调薪，社保基数调整等相关人员经费增加，年中追加人员经费。</w:t>
      </w:r>
    </w:p>
    <w:p w14:paraId="0A76DF22">
      <w:pPr>
        <w:spacing w:line="640" w:lineRule="exact"/>
        <w:ind w:firstLine="640"/>
        <w:jc w:val="both"/>
        <w:outlineLvl w:val="3"/>
      </w:pPr>
      <w:r>
        <w:rPr>
          <w:rFonts w:ascii="楷体_GB2312" w:hAnsi="楷体_GB2312" w:eastAsia="楷体_GB2312"/>
          <w:b/>
          <w:sz w:val="32"/>
        </w:rPr>
        <w:t>（二）一般公共预算财政拨款支出决算结构情况</w:t>
      </w:r>
    </w:p>
    <w:p w14:paraId="0848214C">
      <w:pPr>
        <w:spacing w:line="580" w:lineRule="exact"/>
        <w:ind w:firstLine="640"/>
        <w:jc w:val="both"/>
      </w:pPr>
      <w:r>
        <w:rPr>
          <w:rFonts w:ascii="仿宋_GB2312" w:hAnsi="仿宋_GB2312" w:eastAsia="仿宋_GB2312"/>
          <w:b w:val="0"/>
          <w:sz w:val="32"/>
        </w:rPr>
        <w:t>1.一般公共服务支出(类)25.51万元,占1.87%。</w:t>
      </w:r>
    </w:p>
    <w:p w14:paraId="054330C0">
      <w:pPr>
        <w:spacing w:line="580" w:lineRule="exact"/>
        <w:ind w:firstLine="640"/>
        <w:jc w:val="both"/>
      </w:pPr>
      <w:r>
        <w:rPr>
          <w:rFonts w:ascii="仿宋_GB2312" w:hAnsi="仿宋_GB2312" w:eastAsia="仿宋_GB2312"/>
          <w:b w:val="0"/>
          <w:sz w:val="32"/>
        </w:rPr>
        <w:t>2.公共安全支出(类)1,197.09万元,占87.75%。</w:t>
      </w:r>
    </w:p>
    <w:p w14:paraId="66D20D8D">
      <w:pPr>
        <w:spacing w:line="580" w:lineRule="exact"/>
        <w:ind w:firstLine="640"/>
        <w:jc w:val="both"/>
      </w:pPr>
      <w:r>
        <w:rPr>
          <w:rFonts w:ascii="仿宋_GB2312" w:hAnsi="仿宋_GB2312" w:eastAsia="仿宋_GB2312"/>
          <w:b w:val="0"/>
          <w:sz w:val="32"/>
        </w:rPr>
        <w:t>3.社会保障和就业支出(类)141.53万元,占10.38%。</w:t>
      </w:r>
    </w:p>
    <w:p w14:paraId="0C93F20F">
      <w:pPr>
        <w:spacing w:line="640" w:lineRule="exact"/>
        <w:ind w:firstLine="640"/>
        <w:jc w:val="both"/>
        <w:outlineLvl w:val="3"/>
      </w:pPr>
      <w:r>
        <w:rPr>
          <w:rFonts w:ascii="楷体_GB2312" w:hAnsi="楷体_GB2312" w:eastAsia="楷体_GB2312"/>
          <w:b/>
          <w:sz w:val="32"/>
        </w:rPr>
        <w:t>（三）一般公共预算财政拨款支出决算具体情况</w:t>
      </w:r>
    </w:p>
    <w:p w14:paraId="50178493">
      <w:pPr>
        <w:spacing w:line="580" w:lineRule="exact"/>
        <w:ind w:firstLine="640"/>
        <w:jc w:val="both"/>
      </w:pPr>
      <w:r>
        <w:rPr>
          <w:rFonts w:ascii="仿宋_GB2312" w:hAnsi="仿宋_GB2312" w:eastAsia="仿宋_GB2312"/>
          <w:b w:val="0"/>
          <w:sz w:val="32"/>
        </w:rPr>
        <w:t>1.一般公共服务支出(类)组织事务(款)其他组织事务支出(项):支出决算数为25.51万元，比上年决算增加8.43万元，增长49.36%,主要原因是：2024年工作队助力村集体经济、为民办实事经费增加，支出增加。</w:t>
      </w:r>
    </w:p>
    <w:p w14:paraId="68D3EEBC">
      <w:pPr>
        <w:spacing w:line="580" w:lineRule="exact"/>
        <w:ind w:firstLine="640"/>
        <w:jc w:val="both"/>
      </w:pPr>
      <w:r>
        <w:rPr>
          <w:rFonts w:ascii="仿宋_GB2312" w:hAnsi="仿宋_GB2312" w:eastAsia="仿宋_GB2312"/>
          <w:b w:val="0"/>
          <w:sz w:val="32"/>
        </w:rPr>
        <w:t>2.公共安全支出(类)检察(款)行政运行(项):支出决算数为782.69万元，比上年决算增加2.87万元，增长0.37%,主要原因是：人员工资调增，相关人员经费支出增加。</w:t>
      </w:r>
    </w:p>
    <w:p w14:paraId="21903E7E">
      <w:pPr>
        <w:spacing w:line="580" w:lineRule="exact"/>
        <w:ind w:firstLine="640"/>
        <w:jc w:val="both"/>
      </w:pPr>
      <w:r>
        <w:rPr>
          <w:rFonts w:ascii="仿宋_GB2312" w:hAnsi="仿宋_GB2312" w:eastAsia="仿宋_GB2312"/>
          <w:b w:val="0"/>
          <w:sz w:val="32"/>
        </w:rPr>
        <w:t>3.公共安全支出(类)检察(款)一般行政管理事务(项):支出决算数为32.75万元，比上年决算减少63.05万元，下降65.81%,主要原因是：较上年减少专项工作经费。</w:t>
      </w:r>
    </w:p>
    <w:p w14:paraId="1EC1011E">
      <w:pPr>
        <w:spacing w:line="580" w:lineRule="exact"/>
        <w:ind w:firstLine="640"/>
        <w:jc w:val="both"/>
      </w:pPr>
      <w:r>
        <w:rPr>
          <w:rFonts w:ascii="仿宋_GB2312" w:hAnsi="仿宋_GB2312" w:eastAsia="仿宋_GB2312"/>
          <w:b w:val="0"/>
          <w:sz w:val="32"/>
        </w:rPr>
        <w:t>4.公共安全支出(类)检察(款)事业运行(项):支出决算数为144.40万元，比上年决算增加5.17万元，增长3.71%,主要原因是：本年在职人员工资调增，导致相关人员经费较上年有所增加。</w:t>
      </w:r>
    </w:p>
    <w:p w14:paraId="151DA723">
      <w:pPr>
        <w:spacing w:line="580" w:lineRule="exact"/>
        <w:ind w:firstLine="640"/>
        <w:jc w:val="both"/>
      </w:pPr>
      <w:r>
        <w:rPr>
          <w:rFonts w:ascii="仿宋_GB2312" w:hAnsi="仿宋_GB2312" w:eastAsia="仿宋_GB2312"/>
          <w:b w:val="0"/>
          <w:sz w:val="32"/>
        </w:rPr>
        <w:t>5.公共安全支出(类)检察(款)其他检察支出(项):支出决算数为237.25万元，比上年决算减少71.62万元，下降23.19%,主要原因是：本年转移支付业务经费较上年减少，支出减少。</w:t>
      </w:r>
    </w:p>
    <w:p w14:paraId="0293AEAD">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6.社会保障和就业支出(类)行政事业单位养老支出(款)行政单位离退休(项):支出决算数为33.01万元，比上年决算增加6.70万元，增长25.47%,主要原因是：本年退休人员增加，退休费支出增加。</w:t>
      </w:r>
    </w:p>
    <w:p w14:paraId="420A43B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101.10万元，比上年决算增加7.22万元，增长7.69%,主要原因是：本年在职人员工资基数调增，养老缴费基数上涨，相应支出增加。</w:t>
      </w:r>
    </w:p>
    <w:p w14:paraId="04CF9A54">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8.社会保障和就业支出(类)行政事业单位养老支出(款)机关事业单位职业年金缴费支出(项):支出决算数为7.42万元，比上年决算增加3.52万元，增长90.26%,主要原因是：本年新增退休人员，职业年金缴费支出增加。</w:t>
      </w:r>
    </w:p>
    <w:p w14:paraId="41286129">
      <w:pPr>
        <w:spacing w:line="640" w:lineRule="exact"/>
        <w:ind w:firstLine="640"/>
        <w:jc w:val="both"/>
        <w:outlineLvl w:val="2"/>
      </w:pPr>
      <w:r>
        <w:rPr>
          <w:rFonts w:ascii="黑体" w:hAnsi="黑体" w:eastAsia="黑体"/>
          <w:sz w:val="32"/>
        </w:rPr>
        <w:t>六、一般公共预算财政拨款基本支出决算情况说明</w:t>
      </w:r>
    </w:p>
    <w:p w14:paraId="093D3D10">
      <w:pPr>
        <w:spacing w:line="580" w:lineRule="exact"/>
        <w:ind w:firstLine="640"/>
        <w:jc w:val="both"/>
      </w:pPr>
      <w:r>
        <w:rPr>
          <w:rFonts w:ascii="仿宋_GB2312" w:hAnsi="仿宋_GB2312" w:eastAsia="仿宋_GB2312"/>
          <w:b w:val="0"/>
          <w:sz w:val="32"/>
        </w:rPr>
        <w:t>2024年度一般公共预算财政拨款基本支出1,068.63万元，其中：</w:t>
      </w:r>
      <w:r>
        <w:rPr>
          <w:rFonts w:ascii="仿宋_GB2312" w:hAnsi="仿宋_GB2312" w:eastAsia="仿宋_GB2312"/>
          <w:b/>
          <w:sz w:val="32"/>
        </w:rPr>
        <w:t>人员经费1,024.63万元，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0C54ACB8">
      <w:pPr>
        <w:spacing w:line="580" w:lineRule="exact"/>
        <w:ind w:firstLine="640"/>
        <w:jc w:val="both"/>
      </w:pPr>
      <w:r>
        <w:rPr>
          <w:rFonts w:ascii="仿宋_GB2312" w:hAnsi="仿宋_GB2312" w:eastAsia="仿宋_GB2312"/>
          <w:b/>
          <w:sz w:val="32"/>
        </w:rPr>
        <w:t>公用经费44.00万元，</w:t>
      </w:r>
      <w:r>
        <w:rPr>
          <w:rFonts w:ascii="仿宋_GB2312" w:hAnsi="仿宋_GB2312" w:eastAsia="仿宋_GB2312"/>
          <w:b w:val="0"/>
          <w:sz w:val="32"/>
        </w:rPr>
        <w:t>包括：办公费、印刷费、水费、电费、取暖费、维修（护）费、工会经费、福利费、其他商品和服务支出。</w:t>
      </w:r>
    </w:p>
    <w:p w14:paraId="468AFDAB">
      <w:pPr>
        <w:spacing w:line="640" w:lineRule="exact"/>
        <w:ind w:firstLine="640"/>
        <w:jc w:val="both"/>
        <w:outlineLvl w:val="2"/>
      </w:pPr>
      <w:r>
        <w:rPr>
          <w:rFonts w:ascii="黑体" w:hAnsi="黑体" w:eastAsia="黑体"/>
          <w:sz w:val="32"/>
        </w:rPr>
        <w:t>七、政府性基金预算财政拨款收入支出决算情况说明</w:t>
      </w:r>
    </w:p>
    <w:p w14:paraId="4D56685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F919548">
      <w:pPr>
        <w:spacing w:line="640" w:lineRule="exact"/>
        <w:ind w:firstLine="640"/>
        <w:jc w:val="both"/>
        <w:outlineLvl w:val="2"/>
      </w:pPr>
      <w:r>
        <w:rPr>
          <w:rFonts w:ascii="黑体" w:hAnsi="黑体" w:eastAsia="黑体"/>
          <w:sz w:val="32"/>
        </w:rPr>
        <w:t>八、国有资本经营预算财政拨款收入支出决算情况说明</w:t>
      </w:r>
    </w:p>
    <w:p w14:paraId="2DA33D7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D826F7">
      <w:pPr>
        <w:spacing w:line="640" w:lineRule="exact"/>
        <w:ind w:firstLine="640"/>
        <w:jc w:val="both"/>
        <w:outlineLvl w:val="2"/>
      </w:pPr>
      <w:r>
        <w:rPr>
          <w:rFonts w:ascii="黑体" w:hAnsi="黑体" w:eastAsia="黑体"/>
          <w:sz w:val="32"/>
        </w:rPr>
        <w:t>九、财政拨款“三公”经费支出决算情况说明</w:t>
      </w:r>
    </w:p>
    <w:p w14:paraId="23DB4956">
      <w:pPr>
        <w:spacing w:line="580" w:lineRule="exact"/>
        <w:ind w:firstLine="640"/>
        <w:jc w:val="both"/>
      </w:pPr>
      <w:r>
        <w:rPr>
          <w:rFonts w:ascii="仿宋_GB2312" w:hAnsi="仿宋_GB2312" w:eastAsia="仿宋_GB2312"/>
          <w:b/>
          <w:sz w:val="32"/>
        </w:rPr>
        <w:t>2024年度财政拨款“三公”经费支出22.48万元，</w:t>
      </w:r>
      <w:r>
        <w:rPr>
          <w:rFonts w:ascii="仿宋_GB2312" w:hAnsi="仿宋_GB2312" w:eastAsia="仿宋_GB2312"/>
          <w:b w:val="0"/>
          <w:sz w:val="32"/>
        </w:rPr>
        <w:t>比上年减少16.02万元，下降41.61%，主要原因是：本年车辆购置较上年减少，经费支出减少。其中：因公出国（境）费支出0.00万元，占0.00%，比上年增加0.00万元，增长0.00%，主要原因是：2023年与2024年均未安排因公出国（境）费支出。公务用车购置及运行维护费支出22.48万元，占100.00%，比上年减少16.02万元，下降41.61%，主要原因是：本年车辆购置较上年减少，经费支出减少。公务接待费支出0.00万元，占0.00%，比上年增加0.00万元，增长0.00%，主要原因是：2023年与2024年均未安排公务接待费支出。</w:t>
      </w:r>
    </w:p>
    <w:p w14:paraId="1CBDCC88">
      <w:pPr>
        <w:spacing w:line="580" w:lineRule="exact"/>
        <w:ind w:firstLine="640"/>
        <w:jc w:val="both"/>
      </w:pPr>
      <w:r>
        <w:rPr>
          <w:rFonts w:ascii="仿宋_GB2312" w:hAnsi="仿宋_GB2312" w:eastAsia="仿宋_GB2312"/>
          <w:b/>
          <w:sz w:val="32"/>
        </w:rPr>
        <w:t>具体情况如下：</w:t>
      </w:r>
    </w:p>
    <w:p w14:paraId="33122F4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1B9734C">
      <w:pPr>
        <w:spacing w:line="580" w:lineRule="exact"/>
        <w:ind w:firstLine="640"/>
        <w:jc w:val="both"/>
      </w:pPr>
      <w:r>
        <w:rPr>
          <w:rFonts w:ascii="仿宋_GB2312" w:hAnsi="仿宋_GB2312" w:eastAsia="仿宋_GB2312"/>
          <w:b w:val="0"/>
          <w:sz w:val="32"/>
        </w:rPr>
        <w:t>公务用车购置及运行维护费22.48万元，其中：公务用车购置费0.00万元，公务用车运行维护费22.48万元。公务用车运行维护费开支内容包括车辆加油费、保险费、过路费、维修费。公务用车购置数0辆，公务用车保有量9辆。国有资产占用情况中固定资产车辆9辆，与公务用车保有量差异原因是：本单位固定资产车辆与公务用车保有量一致无差异。</w:t>
      </w:r>
    </w:p>
    <w:p w14:paraId="409B54B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48789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22.48万元，决算数22.48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22.48万元，决算数22.48万元，预决算差异率0.00%，主要原因是：严格按照预算执行，预决算无差异。公务接待费全年预算数0.00万元，决算数0.00万元，预决算差异率0.00%，主要原因是：本单位无公务接待费。</w:t>
      </w:r>
    </w:p>
    <w:p w14:paraId="0104800A">
      <w:pPr>
        <w:spacing w:line="640" w:lineRule="exact"/>
        <w:ind w:firstLine="640"/>
        <w:jc w:val="both"/>
        <w:outlineLvl w:val="2"/>
      </w:pPr>
      <w:r>
        <w:rPr>
          <w:rFonts w:ascii="黑体" w:hAnsi="黑体" w:eastAsia="黑体"/>
          <w:sz w:val="32"/>
        </w:rPr>
        <w:t>十、其他重要事项的情况说明</w:t>
      </w:r>
    </w:p>
    <w:p w14:paraId="6B371451">
      <w:pPr>
        <w:spacing w:line="640" w:lineRule="exact"/>
        <w:ind w:firstLine="640"/>
        <w:jc w:val="both"/>
        <w:outlineLvl w:val="3"/>
      </w:pPr>
      <w:r>
        <w:rPr>
          <w:rFonts w:ascii="楷体_GB2312" w:hAnsi="楷体_GB2312" w:eastAsia="楷体_GB2312"/>
          <w:b/>
          <w:sz w:val="32"/>
        </w:rPr>
        <w:t>（一）机关运行经费及公用经费支出情况</w:t>
      </w:r>
    </w:p>
    <w:p w14:paraId="2890C539">
      <w:pPr>
        <w:spacing w:line="580" w:lineRule="exact"/>
        <w:ind w:firstLine="640"/>
        <w:jc w:val="both"/>
      </w:pPr>
      <w:r>
        <w:rPr>
          <w:rFonts w:ascii="仿宋_GB2312" w:hAnsi="仿宋_GB2312" w:eastAsia="仿宋_GB2312"/>
          <w:b w:val="0"/>
          <w:sz w:val="32"/>
        </w:rPr>
        <w:t>2024年度阿图什市人民检察院（行政单位和参照公务员法管理事业单位）机关运行经费支出44.00万元，比上年增加2.80万元，增长6.80%，主要原因是：本年业务量增加，机关运行经费支出增加。</w:t>
      </w:r>
    </w:p>
    <w:p w14:paraId="30096E9F">
      <w:pPr>
        <w:spacing w:line="640" w:lineRule="exact"/>
        <w:ind w:firstLine="640"/>
        <w:jc w:val="both"/>
        <w:outlineLvl w:val="3"/>
      </w:pPr>
      <w:r>
        <w:rPr>
          <w:rFonts w:ascii="楷体_GB2312" w:hAnsi="楷体_GB2312" w:eastAsia="楷体_GB2312"/>
          <w:b/>
          <w:sz w:val="32"/>
        </w:rPr>
        <w:t>（二）政府采购情况</w:t>
      </w:r>
    </w:p>
    <w:p w14:paraId="7E2727E3">
      <w:pPr>
        <w:spacing w:line="580" w:lineRule="exact"/>
        <w:ind w:firstLine="640"/>
        <w:jc w:val="both"/>
      </w:pPr>
      <w:r>
        <w:rPr>
          <w:rFonts w:ascii="仿宋_GB2312" w:hAnsi="仿宋_GB2312" w:eastAsia="仿宋_GB2312"/>
          <w:b w:val="0"/>
          <w:sz w:val="32"/>
        </w:rPr>
        <w:t>2024年度政府采购支出总额19.65万元，其中：政府采购货物支出13.22万元、政府采购工程支出3.48万元、政府采购服务支出2.95万元。</w:t>
      </w:r>
    </w:p>
    <w:p w14:paraId="2A47EC16">
      <w:pPr>
        <w:spacing w:line="580" w:lineRule="exact"/>
        <w:ind w:firstLine="640"/>
        <w:jc w:val="both"/>
      </w:pPr>
      <w:r>
        <w:rPr>
          <w:rFonts w:ascii="仿宋_GB2312" w:hAnsi="仿宋_GB2312" w:eastAsia="仿宋_GB2312"/>
          <w:b w:val="0"/>
          <w:sz w:val="32"/>
        </w:rPr>
        <w:t>授予中小企业合同金额13.45万元，占政府采购支出总额的68.45%，其中：授予小微企业合同金额13.03万元，占政府采购支出总额的66.31%。</w:t>
      </w:r>
    </w:p>
    <w:p w14:paraId="78778906">
      <w:pPr>
        <w:spacing w:line="640" w:lineRule="exact"/>
        <w:ind w:firstLine="640"/>
        <w:jc w:val="both"/>
        <w:outlineLvl w:val="3"/>
      </w:pPr>
      <w:r>
        <w:rPr>
          <w:rFonts w:ascii="楷体_GB2312" w:hAnsi="楷体_GB2312" w:eastAsia="楷体_GB2312"/>
          <w:b/>
          <w:sz w:val="32"/>
        </w:rPr>
        <w:t>（三）国有资产占用情况说明</w:t>
      </w:r>
    </w:p>
    <w:p w14:paraId="50EAB2B0">
      <w:pPr>
        <w:spacing w:line="580" w:lineRule="exact"/>
        <w:ind w:firstLine="640"/>
        <w:jc w:val="both"/>
      </w:pPr>
      <w:r>
        <w:rPr>
          <w:rFonts w:ascii="仿宋_GB2312" w:hAnsi="仿宋_GB2312" w:eastAsia="仿宋_GB2312"/>
          <w:b w:val="0"/>
          <w:sz w:val="32"/>
        </w:rPr>
        <w:t>截至2024年12月31日，房屋9,283.75平方米，价值1,636.80万元。车辆9辆，价值160.82万元，其中：副部（省）级及以上领导用车0辆、主要负责人用车0辆、机要通信用车0辆、应急保障用车0辆、执法执勤用车9辆、特种专业技术用车0辆、离退休干部服务用车0辆、其他用车0辆，其他用车主要是：本单位无其他用车。单价100万元（含）以上设备（不含车辆）0台（套）。</w:t>
      </w:r>
    </w:p>
    <w:p w14:paraId="1364085A">
      <w:pPr>
        <w:spacing w:line="640" w:lineRule="exact"/>
        <w:ind w:firstLine="640"/>
        <w:jc w:val="both"/>
        <w:outlineLvl w:val="2"/>
      </w:pPr>
      <w:r>
        <w:rPr>
          <w:rFonts w:ascii="黑体" w:hAnsi="黑体" w:eastAsia="黑体"/>
          <w:sz w:val="32"/>
        </w:rPr>
        <w:t>十一、预算绩效的情况说明</w:t>
      </w:r>
    </w:p>
    <w:p w14:paraId="73277E1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1,576.34万元，实际执行总额1,444.73万元；预算绩效评价项目2个，全年预算数278.51万元，全年执行数75.25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下一步改进措施：加强绩效评价管理制度和流程的建设，进一步深化、完善绩效管理体系，建立全过程的预算绩效管理机制，促进绩效管理工作向广度和深度延伸。高度重视，加强领导，精心组织，逐步推开，实现编制预算绩效目标全覆盖。积极开展绩效跟踪监控，及时纠偏，确保绩效目标实现。具体附整体支出绩效自评表，项目支出绩效自评表和评价报告。</w:t>
      </w:r>
    </w:p>
    <w:p w14:paraId="5639D1E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937173E">
        <w:tblPrEx>
          <w:tblCellMar>
            <w:top w:w="0" w:type="dxa"/>
            <w:left w:w="108" w:type="dxa"/>
            <w:bottom w:w="0" w:type="dxa"/>
            <w:right w:w="108" w:type="dxa"/>
          </w:tblCellMar>
        </w:tblPrEx>
        <w:tc>
          <w:tcPr>
            <w:tcW w:w="8840" w:type="dxa"/>
            <w:gridSpan w:val="8"/>
            <w:vAlign w:val="center"/>
          </w:tcPr>
          <w:p w14:paraId="61DAD8C4">
            <w:pPr>
              <w:jc w:val="center"/>
            </w:pPr>
            <w:r>
              <w:rPr>
                <w:rFonts w:ascii="宋体" w:hAnsi="宋体" w:eastAsia="宋体"/>
                <w:sz w:val="24"/>
              </w:rPr>
              <w:t>单位整体支出绩效自评表</w:t>
            </w:r>
          </w:p>
        </w:tc>
      </w:tr>
      <w:tr w14:paraId="44D3D462">
        <w:tblPrEx>
          <w:tblCellMar>
            <w:top w:w="0" w:type="dxa"/>
            <w:left w:w="108" w:type="dxa"/>
            <w:bottom w:w="0" w:type="dxa"/>
            <w:right w:w="108" w:type="dxa"/>
          </w:tblCellMar>
        </w:tblPrEx>
        <w:tc>
          <w:tcPr>
            <w:tcW w:w="8840" w:type="dxa"/>
            <w:gridSpan w:val="8"/>
            <w:vAlign w:val="center"/>
          </w:tcPr>
          <w:p w14:paraId="78DBF984">
            <w:pPr>
              <w:jc w:val="center"/>
            </w:pPr>
            <w:r>
              <w:rPr>
                <w:rFonts w:ascii="宋体" w:hAnsi="宋体" w:eastAsia="宋体"/>
                <w:sz w:val="24"/>
              </w:rPr>
              <w:t>（2024年度）</w:t>
            </w:r>
          </w:p>
        </w:tc>
      </w:tr>
      <w:tr w14:paraId="6C1CFC9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CA495">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3D6A36">
            <w:pPr>
              <w:jc w:val="center"/>
            </w:pPr>
            <w:r>
              <w:rPr>
                <w:rFonts w:ascii="宋体" w:hAnsi="宋体" w:eastAsia="宋体"/>
                <w:sz w:val="16"/>
              </w:rPr>
              <w:t>阿图什市人民检察院</w:t>
            </w:r>
          </w:p>
        </w:tc>
      </w:tr>
      <w:tr w14:paraId="6D569BF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E56E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F37D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1087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F840D">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30EFA">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57BE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FF214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84EAB3">
            <w:pPr>
              <w:jc w:val="center"/>
            </w:pPr>
            <w:r>
              <w:rPr>
                <w:rFonts w:ascii="宋体" w:hAnsi="宋体" w:eastAsia="宋体"/>
                <w:sz w:val="16"/>
              </w:rPr>
              <w:t>得分</w:t>
            </w:r>
          </w:p>
        </w:tc>
      </w:tr>
      <w:tr w14:paraId="6D200E1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107E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B379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7577F">
            <w:pPr>
              <w:jc w:val="center"/>
            </w:pPr>
            <w:r>
              <w:rPr>
                <w:rFonts w:ascii="宋体" w:hAnsi="宋体" w:eastAsia="宋体"/>
                <w:sz w:val="16"/>
              </w:rPr>
              <w:t>1,574.75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F7D03D">
            <w:pPr>
              <w:jc w:val="center"/>
            </w:pPr>
            <w:r>
              <w:rPr>
                <w:rFonts w:ascii="宋体" w:hAnsi="宋体" w:eastAsia="宋体"/>
                <w:sz w:val="16"/>
              </w:rPr>
              <w:t>1,576.34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C1D4D">
            <w:pPr>
              <w:jc w:val="center"/>
            </w:pPr>
            <w:r>
              <w:rPr>
                <w:rFonts w:ascii="宋体" w:hAnsi="宋体" w:eastAsia="宋体"/>
                <w:sz w:val="16"/>
              </w:rPr>
              <w:t>1,444.73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20B58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9A997">
            <w:pPr>
              <w:jc w:val="center"/>
            </w:pPr>
            <w:r>
              <w:rPr>
                <w:rFonts w:ascii="宋体" w:hAnsi="宋体" w:eastAsia="宋体"/>
                <w:sz w:val="16"/>
              </w:rPr>
              <w:t>91.65%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7657FB">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17</w:t>
            </w:r>
          </w:p>
        </w:tc>
      </w:tr>
      <w:tr w14:paraId="0850C3D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3D94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6B07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F94D7">
            <w:pPr>
              <w:jc w:val="center"/>
            </w:pPr>
            <w:r>
              <w:rPr>
                <w:rFonts w:ascii="宋体" w:hAnsi="宋体" w:eastAsia="宋体"/>
                <w:sz w:val="16"/>
              </w:rPr>
              <w:t>217.73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EF809">
            <w:pPr>
              <w:jc w:val="center"/>
            </w:pPr>
            <w:r>
              <w:rPr>
                <w:rFonts w:ascii="宋体" w:hAnsi="宋体" w:eastAsia="宋体"/>
                <w:sz w:val="16"/>
              </w:rPr>
              <w:t>305.50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D1750">
            <w:pPr>
              <w:jc w:val="center"/>
            </w:pPr>
            <w:r>
              <w:rPr>
                <w:rFonts w:ascii="宋体" w:hAnsi="宋体" w:eastAsia="宋体"/>
                <w:sz w:val="16"/>
              </w:rPr>
              <w:t>295.51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FBD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49EF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9630B">
            <w:pPr>
              <w:jc w:val="center"/>
            </w:pPr>
            <w:r>
              <w:rPr>
                <w:rFonts w:ascii="宋体" w:hAnsi="宋体" w:eastAsia="宋体"/>
                <w:sz w:val="16"/>
              </w:rPr>
              <w:t>—</w:t>
            </w:r>
          </w:p>
        </w:tc>
      </w:tr>
      <w:tr w14:paraId="44D4E6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C5A6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FBA0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89180">
            <w:pPr>
              <w:jc w:val="center"/>
            </w:pPr>
            <w:r>
              <w:rPr>
                <w:rFonts w:ascii="宋体" w:hAnsi="宋体" w:eastAsia="宋体"/>
                <w:sz w:val="16"/>
              </w:rPr>
              <w:t>1,104.02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DBF6E">
            <w:pPr>
              <w:jc w:val="center"/>
            </w:pPr>
            <w:r>
              <w:rPr>
                <w:rFonts w:ascii="宋体" w:hAnsi="宋体" w:eastAsia="宋体"/>
                <w:sz w:val="16"/>
              </w:rPr>
              <w:t>1,116.60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21622">
            <w:pPr>
              <w:jc w:val="center"/>
            </w:pPr>
            <w:r>
              <w:rPr>
                <w:rFonts w:ascii="宋体" w:hAnsi="宋体" w:eastAsia="宋体"/>
                <w:sz w:val="16"/>
              </w:rPr>
              <w:t>1,099.48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834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1720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00BBBD">
            <w:pPr>
              <w:jc w:val="center"/>
            </w:pPr>
            <w:r>
              <w:rPr>
                <w:rFonts w:ascii="宋体" w:hAnsi="宋体" w:eastAsia="宋体"/>
                <w:sz w:val="16"/>
              </w:rPr>
              <w:t>—</w:t>
            </w:r>
          </w:p>
        </w:tc>
      </w:tr>
      <w:tr w14:paraId="77F464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53F5D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22DA4">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3CD3E">
            <w:pPr>
              <w:jc w:val="center"/>
            </w:pPr>
            <w:r>
              <w:rPr>
                <w:rFonts w:ascii="宋体" w:hAnsi="宋体" w:eastAsia="宋体"/>
                <w:sz w:val="16"/>
              </w:rPr>
              <w:t>253.00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A4E53E">
            <w:pPr>
              <w:jc w:val="center"/>
            </w:pPr>
            <w:r>
              <w:rPr>
                <w:rFonts w:ascii="宋体" w:hAnsi="宋体" w:eastAsia="宋体"/>
                <w:sz w:val="16"/>
              </w:rPr>
              <w:t>154.24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A285A">
            <w:pPr>
              <w:jc w:val="center"/>
            </w:pPr>
            <w:r>
              <w:rPr>
                <w:rFonts w:ascii="宋体" w:hAnsi="宋体" w:eastAsia="宋体"/>
                <w:sz w:val="16"/>
              </w:rPr>
              <w:t>49.74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62B0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3079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D257F">
            <w:pPr>
              <w:jc w:val="center"/>
            </w:pPr>
            <w:r>
              <w:rPr>
                <w:rFonts w:ascii="宋体" w:hAnsi="宋体" w:eastAsia="宋体"/>
                <w:sz w:val="16"/>
              </w:rPr>
              <w:t>—</w:t>
            </w:r>
          </w:p>
        </w:tc>
      </w:tr>
      <w:tr w14:paraId="7319B11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707B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0D6EB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5F2C4F">
            <w:pPr>
              <w:jc w:val="center"/>
            </w:pPr>
            <w:r>
              <w:rPr>
                <w:rFonts w:ascii="宋体" w:hAnsi="宋体" w:eastAsia="宋体"/>
                <w:sz w:val="16"/>
              </w:rPr>
              <w:t>实际完成情况</w:t>
            </w:r>
          </w:p>
        </w:tc>
      </w:tr>
      <w:tr w14:paraId="2757B2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A2DD7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63DA6B">
            <w:pPr>
              <w:jc w:val="both"/>
            </w:pPr>
            <w:r>
              <w:rPr>
                <w:rFonts w:ascii="宋体" w:hAnsi="宋体" w:eastAsia="宋体"/>
                <w:sz w:val="16"/>
              </w:rPr>
              <w:t>贯彻落实自治区党委反恐</w:t>
            </w:r>
            <w:r>
              <w:rPr>
                <w:rFonts w:hint="eastAsia" w:ascii="宋体" w:hAnsi="宋体"/>
                <w:sz w:val="16"/>
                <w:lang w:eastAsia="zh-CN"/>
              </w:rPr>
              <w:t>WW</w:t>
            </w:r>
            <w:r>
              <w:rPr>
                <w:rFonts w:ascii="宋体" w:hAnsi="宋体" w:eastAsia="宋体"/>
                <w:sz w:val="16"/>
              </w:rPr>
              <w:t>“组合拳”工作部署，坚决精准严厉打击暴恐犯罪，持续开展各项专项斗争，充分发挥批捕、起诉等职能作用，全力维护社会稳定和长治久安，精准服务打好“三大攻坚战”，服务精准</w:t>
            </w:r>
            <w:r>
              <w:rPr>
                <w:rFonts w:hint="eastAsia" w:ascii="宋体" w:hAnsi="宋体"/>
                <w:sz w:val="16"/>
                <w:lang w:eastAsia="zh-CN"/>
              </w:rPr>
              <w:t>脱贫攻坚战</w:t>
            </w:r>
            <w:r>
              <w:rPr>
                <w:rFonts w:ascii="宋体" w:hAnsi="宋体" w:eastAsia="宋体"/>
                <w:sz w:val="16"/>
              </w:rPr>
              <w:t>，服务污染防治攻坚战，办理公益诉讼案人情未了，维护社会公共利益，做好生态环境与资源保护，食品和药品安全，开展“法治进校园”活动，提升未成年人自我保护意识和明辨是非的能力，打造“智慧检察院”，助推互联网，大数据、智能化与检察工作深度融合，加强检察人员、书记员培训，提高业务素质，能力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D2AF90">
            <w:pPr>
              <w:jc w:val="both"/>
            </w:pPr>
            <w:r>
              <w:rPr>
                <w:rFonts w:ascii="宋体" w:hAnsi="宋体" w:eastAsia="宋体"/>
                <w:sz w:val="16"/>
              </w:rPr>
              <w:t>完整准确全面贯彻新时代党的治疆方略，紧紧围绕市委中心工作，以高度的政治自觉、法治自觉、检察自觉，忠实履行宪法法律赋予的职责，各项检察工作展现新作为、取得新成效。2024年，共办理各类案件1012件，量刑建议采纳率达到80%以上。践行新时代“枫桥经验”坚持每月15日、30日派检察官到各乡（镇）街道司法所积极参与矛盾纠纷化解、提供法律咨询，全年共下派192人次。化解群众矛盾纠纷达100%，聚焦特殊群体权益保障，督促整改建设无障碍停车位、无障碍通道等110余处，诉前整改率超过85%；阿图什市人民检察院将坚持问题导向，刀刃向内，团结奋斗，努力以更大勇气解难题、开新局全面加强党的建设，以“强化党建引领 提升办案质效 推动检察工作争先创优”党建品牌为引领，不断促进党建与业务深度融合，陆续打造了“党建+长治久安”“党建+石榴籽”“党建+妇建”“党建+民心”等子品牌，让检察履职更有灵魂、更有方向、更有目标。同时，不断强化组织建设、加强党员教育管理、规范党员发展、丰富党建活动载体、坚持党员先锋岗“优中选优”“动态管理”，党员整体素质和示范引领作用不断加强。2024年7月，院党支部被市委评为先进基层党组织，1名干部被评为优秀党务工作者。</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通过以上工作的实施，保障了</w:t>
            </w:r>
            <w:r>
              <w:rPr>
                <w:rFonts w:hint="eastAsia" w:ascii="宋体" w:hAnsi="宋体"/>
                <w:sz w:val="16"/>
                <w:lang w:eastAsia="zh-CN"/>
              </w:rPr>
              <w:t>本单位</w:t>
            </w:r>
            <w:r>
              <w:rPr>
                <w:rFonts w:ascii="宋体" w:hAnsi="宋体" w:eastAsia="宋体"/>
                <w:sz w:val="16"/>
              </w:rPr>
              <w:t>56名职工的工资、福利及社保正常发放及缴纳，确保民生工作落实到位；保障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10辆公务用车的运行及维护，保障单位各项工作的正常运转，确保机构运转正常；</w:t>
            </w:r>
          </w:p>
        </w:tc>
      </w:tr>
      <w:tr w14:paraId="0B62788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EAC1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5B88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B4F6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5864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5E5D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8F2C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1A6A5">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44E2C9">
            <w:pPr>
              <w:jc w:val="center"/>
            </w:pPr>
            <w:r>
              <w:rPr>
                <w:rFonts w:ascii="宋体" w:hAnsi="宋体" w:eastAsia="宋体"/>
                <w:sz w:val="16"/>
              </w:rPr>
              <w:t>得分</w:t>
            </w:r>
          </w:p>
        </w:tc>
      </w:tr>
      <w:tr w14:paraId="0312A9A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972C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9A46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7552F">
            <w:pPr>
              <w:jc w:val="center"/>
            </w:pPr>
            <w:r>
              <w:rPr>
                <w:rFonts w:ascii="宋体" w:hAnsi="宋体" w:eastAsia="宋体"/>
                <w:sz w:val="16"/>
              </w:rPr>
              <w:t>化解群众矛盾纠纷率（%）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B261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F051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9F8F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92B7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48A6C">
            <w:pPr>
              <w:jc w:val="center"/>
            </w:pPr>
            <w:r>
              <w:rPr>
                <w:rFonts w:ascii="宋体" w:hAnsi="宋体" w:eastAsia="宋体"/>
                <w:sz w:val="16"/>
              </w:rPr>
              <w:t>30</w:t>
            </w:r>
          </w:p>
        </w:tc>
      </w:tr>
      <w:tr w14:paraId="0DEB513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BBF32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CC4A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E1C603">
            <w:pPr>
              <w:jc w:val="center"/>
            </w:pPr>
            <w:r>
              <w:rPr>
                <w:rFonts w:ascii="宋体" w:hAnsi="宋体" w:eastAsia="宋体"/>
                <w:sz w:val="16"/>
              </w:rPr>
              <w:t>公益诉讼诉前整改率（%）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4E601">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A59F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546A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2CBEA">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DD2480">
            <w:pPr>
              <w:jc w:val="center"/>
            </w:pPr>
            <w:r>
              <w:rPr>
                <w:rFonts w:ascii="宋体" w:hAnsi="宋体" w:eastAsia="宋体"/>
                <w:sz w:val="16"/>
              </w:rPr>
              <w:t>30</w:t>
            </w:r>
          </w:p>
        </w:tc>
      </w:tr>
      <w:tr w14:paraId="7054C96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FA051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55CA8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7B09E">
            <w:pPr>
              <w:jc w:val="center"/>
            </w:pPr>
            <w:r>
              <w:rPr>
                <w:rFonts w:ascii="宋体" w:hAnsi="宋体" w:eastAsia="宋体"/>
                <w:sz w:val="16"/>
              </w:rPr>
              <w:t>量刑建议采纳率（%）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A82FA">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9A4A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78A5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6CD9F">
            <w:pPr>
              <w:jc w:val="center"/>
            </w:pPr>
            <w:r>
              <w:rPr>
                <w:rFonts w:ascii="宋体" w:hAnsi="宋体" w:eastAsia="宋体"/>
                <w:sz w:val="16"/>
              </w:rPr>
              <w: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CEA91">
            <w:pPr>
              <w:jc w:val="center"/>
            </w:pPr>
            <w:r>
              <w:rPr>
                <w:rFonts w:ascii="宋体" w:hAnsi="宋体" w:eastAsia="宋体"/>
                <w:sz w:val="16"/>
              </w:rPr>
              <w:t>30</w:t>
            </w:r>
          </w:p>
        </w:tc>
      </w:tr>
    </w:tbl>
    <w:p w14:paraId="71B1E1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1BFBE07">
        <w:tblPrEx>
          <w:tblCellMar>
            <w:top w:w="0" w:type="dxa"/>
            <w:left w:w="108" w:type="dxa"/>
            <w:bottom w:w="0" w:type="dxa"/>
            <w:right w:w="108" w:type="dxa"/>
          </w:tblCellMar>
        </w:tblPrEx>
        <w:tc>
          <w:tcPr>
            <w:tcW w:w="8848" w:type="dxa"/>
            <w:gridSpan w:val="14"/>
            <w:vAlign w:val="center"/>
          </w:tcPr>
          <w:p w14:paraId="3D95F205">
            <w:pPr>
              <w:jc w:val="center"/>
            </w:pPr>
            <w:r>
              <w:rPr>
                <w:rFonts w:ascii="宋体" w:hAnsi="宋体" w:eastAsia="宋体"/>
                <w:sz w:val="24"/>
              </w:rPr>
              <w:t>项目支出绩效自评表</w:t>
            </w:r>
          </w:p>
        </w:tc>
      </w:tr>
      <w:tr w14:paraId="1CEB2C83">
        <w:tblPrEx>
          <w:tblCellMar>
            <w:top w:w="0" w:type="dxa"/>
            <w:left w:w="108" w:type="dxa"/>
            <w:bottom w:w="0" w:type="dxa"/>
            <w:right w:w="108" w:type="dxa"/>
          </w:tblCellMar>
        </w:tblPrEx>
        <w:tc>
          <w:tcPr>
            <w:tcW w:w="8848" w:type="dxa"/>
            <w:gridSpan w:val="14"/>
            <w:vAlign w:val="center"/>
          </w:tcPr>
          <w:p w14:paraId="579CE569">
            <w:pPr>
              <w:jc w:val="center"/>
            </w:pPr>
            <w:r>
              <w:rPr>
                <w:rFonts w:ascii="宋体" w:hAnsi="宋体" w:eastAsia="宋体"/>
                <w:sz w:val="24"/>
              </w:rPr>
              <w:t>(2024年度)</w:t>
            </w:r>
          </w:p>
        </w:tc>
      </w:tr>
      <w:tr w14:paraId="50BE4C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D0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314445">
            <w:pPr>
              <w:jc w:val="center"/>
            </w:pPr>
            <w:r>
              <w:rPr>
                <w:rFonts w:ascii="宋体" w:hAnsi="宋体" w:eastAsia="宋体"/>
                <w:sz w:val="16"/>
              </w:rPr>
              <w:t>2024年其他资金结余</w:t>
            </w:r>
          </w:p>
        </w:tc>
      </w:tr>
      <w:tr w14:paraId="5D94AB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FF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7F804">
            <w:pPr>
              <w:jc w:val="center"/>
            </w:pPr>
            <w:r>
              <w:rPr>
                <w:rFonts w:ascii="宋体" w:hAnsi="宋体" w:eastAsia="宋体"/>
                <w:sz w:val="16"/>
              </w:rPr>
              <w:t>克州人民检察院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6E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431ABF">
            <w:pPr>
              <w:jc w:val="center"/>
            </w:pPr>
            <w:r>
              <w:rPr>
                <w:rFonts w:ascii="宋体" w:hAnsi="宋体" w:eastAsia="宋体"/>
                <w:sz w:val="16"/>
              </w:rPr>
              <w:t>阿图什市人民检察院</w:t>
            </w:r>
          </w:p>
        </w:tc>
      </w:tr>
      <w:tr w14:paraId="7019D8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826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85A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558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ACB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FA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408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F76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07BE">
            <w:pPr>
              <w:jc w:val="center"/>
            </w:pPr>
            <w:r>
              <w:rPr>
                <w:rFonts w:ascii="宋体" w:hAnsi="宋体" w:eastAsia="宋体"/>
                <w:sz w:val="16"/>
              </w:rPr>
              <w:t>得分</w:t>
            </w:r>
          </w:p>
        </w:tc>
      </w:tr>
      <w:tr w14:paraId="5F781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2EC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EAB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AB21E">
            <w:pPr>
              <w:jc w:val="center"/>
            </w:pPr>
            <w:r>
              <w:rPr>
                <w:rFonts w:ascii="宋体" w:hAnsi="宋体" w:eastAsia="宋体"/>
                <w:sz w:val="16"/>
              </w:rPr>
              <w:t>253.00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C5337">
            <w:pPr>
              <w:jc w:val="center"/>
            </w:pPr>
            <w:r>
              <w:rPr>
                <w:rFonts w:ascii="宋体" w:hAnsi="宋体" w:eastAsia="宋体"/>
                <w:sz w:val="16"/>
              </w:rPr>
              <w:t>253.00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6EFD5">
            <w:pPr>
              <w:jc w:val="center"/>
            </w:pPr>
            <w:r>
              <w:rPr>
                <w:rFonts w:ascii="宋体" w:hAnsi="宋体" w:eastAsia="宋体"/>
                <w:sz w:val="16"/>
              </w:rPr>
              <w:t>49.74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6C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47EA">
            <w:pPr>
              <w:jc w:val="center"/>
            </w:pPr>
            <w:r>
              <w:rPr>
                <w:rFonts w:ascii="宋体" w:hAnsi="宋体" w:eastAsia="宋体"/>
                <w:sz w:val="16"/>
              </w:rPr>
              <w:t>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8DF6">
            <w:pPr>
              <w:jc w:val="center"/>
            </w:pPr>
            <w:r>
              <w:rPr>
                <w:rFonts w:ascii="宋体" w:hAnsi="宋体" w:eastAsia="宋体"/>
                <w:sz w:val="16"/>
              </w:rPr>
              <w:t>0.00分</w:t>
            </w:r>
          </w:p>
        </w:tc>
      </w:tr>
      <w:tr w14:paraId="1E2D1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EAC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8D5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827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53B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DA2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F73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548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6D29">
            <w:pPr>
              <w:jc w:val="center"/>
            </w:pPr>
            <w:r>
              <w:rPr>
                <w:rFonts w:ascii="宋体" w:hAnsi="宋体" w:eastAsia="宋体"/>
                <w:sz w:val="16"/>
              </w:rPr>
              <w:t>—</w:t>
            </w:r>
          </w:p>
        </w:tc>
      </w:tr>
      <w:tr w14:paraId="316B1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E7D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D99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F1E5">
            <w:pPr>
              <w:jc w:val="center"/>
            </w:pPr>
            <w:r>
              <w:rPr>
                <w:rFonts w:ascii="宋体" w:hAnsi="宋体" w:eastAsia="宋体"/>
                <w:sz w:val="16"/>
              </w:rPr>
              <w:t>253.00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BDDDD">
            <w:pPr>
              <w:jc w:val="center"/>
            </w:pPr>
            <w:r>
              <w:rPr>
                <w:rFonts w:ascii="宋体" w:hAnsi="宋体" w:eastAsia="宋体"/>
                <w:sz w:val="16"/>
              </w:rPr>
              <w:t>253.00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F5E49">
            <w:pPr>
              <w:jc w:val="center"/>
            </w:pPr>
            <w:r>
              <w:rPr>
                <w:rFonts w:ascii="宋体" w:hAnsi="宋体" w:eastAsia="宋体"/>
                <w:sz w:val="16"/>
              </w:rPr>
              <w:t>49.74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805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FA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2CF6">
            <w:pPr>
              <w:jc w:val="center"/>
            </w:pPr>
            <w:r>
              <w:rPr>
                <w:rFonts w:ascii="宋体" w:hAnsi="宋体" w:eastAsia="宋体"/>
                <w:sz w:val="16"/>
              </w:rPr>
              <w:t>—</w:t>
            </w:r>
          </w:p>
        </w:tc>
      </w:tr>
      <w:tr w14:paraId="426E4C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50C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D1D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4D0350">
            <w:pPr>
              <w:jc w:val="center"/>
            </w:pPr>
            <w:r>
              <w:rPr>
                <w:rFonts w:ascii="宋体" w:hAnsi="宋体" w:eastAsia="宋体"/>
                <w:sz w:val="16"/>
              </w:rPr>
              <w:t>实际完成情况</w:t>
            </w:r>
          </w:p>
        </w:tc>
      </w:tr>
      <w:tr w14:paraId="6A024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6F3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5043C">
            <w:pPr>
              <w:jc w:val="both"/>
            </w:pPr>
            <w:r>
              <w:rPr>
                <w:rFonts w:ascii="宋体" w:hAnsi="宋体" w:eastAsia="宋体"/>
                <w:sz w:val="16"/>
              </w:rPr>
              <w:t>项目资金253万元，其中：上级补助0万元，其他资金253万元。主要用于人员培训、档案电子化项目、化解人民群众矛盾纠纷，有效提高检察院公信力。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59984">
            <w:pPr>
              <w:jc w:val="both"/>
            </w:pPr>
            <w:r>
              <w:rPr>
                <w:rFonts w:ascii="宋体" w:hAnsi="宋体" w:eastAsia="宋体"/>
                <w:sz w:val="16"/>
              </w:rPr>
              <w:t>截至2024年12月31日，已完成：人员培训次数10次，解决人民群众来电来访数量50件，档案数字化项目1个，保障日常各项工作科室5个。主要用于人员培训、档案电子化项目、</w:t>
            </w:r>
            <w:bookmarkStart w:id="0" w:name="_GoBack"/>
            <w:r>
              <w:rPr>
                <w:rFonts w:ascii="宋体" w:hAnsi="宋体" w:eastAsia="宋体"/>
                <w:sz w:val="16"/>
              </w:rPr>
              <w:t>化解</w:t>
            </w:r>
            <w:bookmarkEnd w:id="0"/>
            <w:r>
              <w:rPr>
                <w:rFonts w:ascii="宋体" w:hAnsi="宋体" w:eastAsia="宋体"/>
                <w:sz w:val="16"/>
              </w:rPr>
              <w:t>人民群众矛盾纠纷，有效提高检察院公信力</w:t>
            </w:r>
          </w:p>
        </w:tc>
      </w:tr>
      <w:tr w14:paraId="60EFB2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0D9D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47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B0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47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28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1F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50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B0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99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A8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68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9B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15A25">
            <w:pPr>
              <w:jc w:val="center"/>
            </w:pPr>
            <w:r>
              <w:rPr>
                <w:rFonts w:ascii="宋体" w:hAnsi="宋体" w:eastAsia="宋体"/>
                <w:sz w:val="16"/>
              </w:rPr>
              <w:t>偏差原因分析及改进措施</w:t>
            </w:r>
          </w:p>
        </w:tc>
      </w:tr>
      <w:tr w14:paraId="0659F4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0ED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26A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FC9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562C">
            <w:pPr>
              <w:jc w:val="center"/>
            </w:pPr>
            <w:r>
              <w:rPr>
                <w:rFonts w:ascii="宋体" w:hAnsi="宋体" w:eastAsia="宋体"/>
                <w:sz w:val="16"/>
              </w:rPr>
              <w:t>人员培训次数（次）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5DFB">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6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63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97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0A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E3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2D2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83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AC219">
            <w:pPr>
              <w:jc w:val="center"/>
            </w:pPr>
          </w:p>
        </w:tc>
      </w:tr>
      <w:tr w14:paraId="7AFB2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C7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54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E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E608">
            <w:pPr>
              <w:jc w:val="center"/>
            </w:pPr>
            <w:r>
              <w:rPr>
                <w:rFonts w:ascii="宋体" w:hAnsi="宋体" w:eastAsia="宋体"/>
                <w:sz w:val="16"/>
              </w:rPr>
              <w:t>解决人民群众来电来访数量（件）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26D9">
            <w:pPr>
              <w:jc w:val="center"/>
            </w:pPr>
            <w:r>
              <w:rPr>
                <w:rFonts w:ascii="宋体" w:hAnsi="宋体" w:eastAsia="宋体"/>
                <w:sz w:val="16"/>
              </w:rPr>
              <w:t>&gt;=50件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F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6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FF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6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9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A8F7">
            <w:pPr>
              <w:jc w:val="center"/>
            </w:pPr>
            <w:r>
              <w:rPr>
                <w:rFonts w:ascii="宋体" w:hAnsi="宋体" w:eastAsia="宋体"/>
                <w:sz w:val="16"/>
              </w:rPr>
              <w:t>=50件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2B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668A2">
            <w:pPr>
              <w:jc w:val="center"/>
            </w:pPr>
          </w:p>
        </w:tc>
      </w:tr>
      <w:tr w14:paraId="348D5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25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13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9C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E9E8">
            <w:pPr>
              <w:jc w:val="center"/>
            </w:pPr>
            <w:r>
              <w:rPr>
                <w:rFonts w:ascii="宋体" w:hAnsi="宋体" w:eastAsia="宋体"/>
                <w:sz w:val="16"/>
              </w:rPr>
              <w:t>档案数字化项目（个）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C50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3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A4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CD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3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BF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F1C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52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42928">
            <w:pPr>
              <w:jc w:val="center"/>
            </w:pPr>
          </w:p>
        </w:tc>
      </w:tr>
      <w:tr w14:paraId="503B8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D82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2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61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2E7C">
            <w:pPr>
              <w:jc w:val="center"/>
            </w:pPr>
            <w:r>
              <w:rPr>
                <w:rFonts w:ascii="宋体" w:hAnsi="宋体" w:eastAsia="宋体"/>
                <w:sz w:val="16"/>
              </w:rPr>
              <w:t>保障日常各项工作科室（个）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AF8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5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18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2D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F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5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9410">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A3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DF4E8">
            <w:pPr>
              <w:jc w:val="center"/>
            </w:pPr>
          </w:p>
        </w:tc>
      </w:tr>
      <w:tr w14:paraId="2C305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1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DA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FE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4BBF">
            <w:pPr>
              <w:jc w:val="center"/>
            </w:pPr>
            <w:r>
              <w:rPr>
                <w:rFonts w:ascii="宋体" w:hAnsi="宋体" w:eastAsia="宋体"/>
                <w:sz w:val="16"/>
              </w:rPr>
              <w:t>公益诉讼检察建议回复率（%）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89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8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AE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32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6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0B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DED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F3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E15CF">
            <w:pPr>
              <w:jc w:val="center"/>
            </w:pPr>
          </w:p>
        </w:tc>
      </w:tr>
      <w:tr w14:paraId="7DCE1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46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C5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A0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DA85">
            <w:pPr>
              <w:jc w:val="center"/>
            </w:pPr>
            <w:r>
              <w:rPr>
                <w:rFonts w:ascii="宋体" w:hAnsi="宋体" w:eastAsia="宋体"/>
                <w:sz w:val="16"/>
              </w:rPr>
              <w:t>解决人民群众来电来访及时率（%）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81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7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8A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04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0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E2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591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187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466EE">
            <w:pPr>
              <w:jc w:val="center"/>
            </w:pPr>
          </w:p>
        </w:tc>
      </w:tr>
      <w:tr w14:paraId="6D3C6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DA2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D65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119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BB21">
            <w:pPr>
              <w:jc w:val="center"/>
            </w:pPr>
            <w:r>
              <w:rPr>
                <w:rFonts w:ascii="宋体" w:hAnsi="宋体" w:eastAsia="宋体"/>
                <w:sz w:val="16"/>
              </w:rPr>
              <w:t>人员培训经费（万元）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399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99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55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15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3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18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01B0">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BCB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42F16">
            <w:pPr>
              <w:jc w:val="center"/>
            </w:pPr>
            <w:r>
              <w:rPr>
                <w:rFonts w:ascii="宋体" w:hAnsi="宋体" w:eastAsia="宋体"/>
                <w:sz w:val="16"/>
              </w:rPr>
              <w:t>偏差原因：人员培训经费从零余额中支出，极少数由其他资金补充，相应支出较少。改进措施：合理编制预算，提高支出率。</w:t>
            </w:r>
          </w:p>
        </w:tc>
      </w:tr>
      <w:tr w14:paraId="6AC93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3C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B0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0F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F228">
            <w:pPr>
              <w:jc w:val="center"/>
            </w:pPr>
            <w:r>
              <w:rPr>
                <w:rFonts w:ascii="宋体" w:hAnsi="宋体" w:eastAsia="宋体"/>
                <w:sz w:val="16"/>
              </w:rPr>
              <w:t>档案数字化经费（万元）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9860">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76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E9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9B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B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7D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803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1D2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05014">
            <w:pPr>
              <w:jc w:val="center"/>
            </w:pPr>
            <w:r>
              <w:rPr>
                <w:rFonts w:ascii="宋体" w:hAnsi="宋体" w:eastAsia="宋体"/>
                <w:sz w:val="16"/>
              </w:rPr>
              <w:t>偏差原因：档案建设项目当年未在其他资金户中支出。改进措施：合理编制预算，提高支出率。</w:t>
            </w:r>
          </w:p>
        </w:tc>
      </w:tr>
      <w:tr w14:paraId="4C6C6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CD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07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0A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53DF5">
            <w:pPr>
              <w:jc w:val="center"/>
            </w:pPr>
            <w:r>
              <w:rPr>
                <w:rFonts w:ascii="宋体" w:hAnsi="宋体" w:eastAsia="宋体"/>
                <w:sz w:val="16"/>
              </w:rPr>
              <w:t>日常工作办公经费（万元）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435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D5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3B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35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D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58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844A">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509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3D1B">
            <w:pPr>
              <w:jc w:val="center"/>
            </w:pPr>
            <w:r>
              <w:rPr>
                <w:rFonts w:ascii="宋体" w:hAnsi="宋体" w:eastAsia="宋体"/>
                <w:sz w:val="16"/>
              </w:rPr>
              <w:t>偏差原因：办公经费本年未按预算支出。改进措施：合理编制预算，提高支出率。</w:t>
            </w:r>
          </w:p>
        </w:tc>
      </w:tr>
      <w:tr w14:paraId="1DC88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F2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89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8A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53D9">
            <w:pPr>
              <w:jc w:val="center"/>
            </w:pPr>
            <w:r>
              <w:rPr>
                <w:rFonts w:ascii="宋体" w:hAnsi="宋体" w:eastAsia="宋体"/>
                <w:sz w:val="16"/>
              </w:rPr>
              <w:t>司勤人员工资支出（万元）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0657">
            <w:pPr>
              <w:jc w:val="center"/>
            </w:pPr>
            <w:r>
              <w:rPr>
                <w:rFonts w:ascii="宋体" w:hAnsi="宋体" w:eastAsia="宋体"/>
                <w:sz w:val="16"/>
              </w:rPr>
              <w:t>&lt;=83万元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C9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36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FC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5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41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4C6A">
            <w:pPr>
              <w:jc w:val="center"/>
            </w:pPr>
            <w:r>
              <w:rPr>
                <w:rFonts w:ascii="宋体" w:hAnsi="宋体" w:eastAsia="宋体"/>
                <w:sz w:val="16"/>
              </w:rPr>
              <w:t>=46.34万元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5DF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D2677">
            <w:pPr>
              <w:jc w:val="center"/>
            </w:pPr>
            <w:r>
              <w:rPr>
                <w:rFonts w:ascii="宋体" w:hAnsi="宋体" w:eastAsia="宋体"/>
                <w:sz w:val="16"/>
              </w:rPr>
              <w:t>偏差原因：预算编制有偏差，人员经费未按预算执行。改进措施：合理编制预算，提高支出率。</w:t>
            </w:r>
          </w:p>
        </w:tc>
      </w:tr>
      <w:tr w14:paraId="7A98C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DF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52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F1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7ADB">
            <w:pPr>
              <w:jc w:val="center"/>
            </w:pPr>
            <w:r>
              <w:rPr>
                <w:rFonts w:ascii="宋体" w:hAnsi="宋体" w:eastAsia="宋体"/>
                <w:sz w:val="16"/>
              </w:rPr>
              <w:t>提升人民群众普法、守法、用法的法律意识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E90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9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4A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FE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DA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164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7CE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A6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0708C">
            <w:pPr>
              <w:jc w:val="center"/>
            </w:pPr>
            <w:r>
              <w:rPr>
                <w:rFonts w:ascii="宋体" w:hAnsi="宋体" w:eastAsia="宋体"/>
                <w:sz w:val="16"/>
              </w:rPr>
              <w:t>偏差原因：档案建设项目当年未在其他资金户中支出。改进措施：合理编制预算，提高支出率。</w:t>
            </w:r>
          </w:p>
        </w:tc>
      </w:tr>
      <w:tr w14:paraId="5D339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11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E2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4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8475">
            <w:pPr>
              <w:jc w:val="center"/>
            </w:pPr>
            <w:r>
              <w:rPr>
                <w:rFonts w:ascii="宋体" w:hAnsi="宋体" w:eastAsia="宋体"/>
                <w:sz w:val="16"/>
              </w:rPr>
              <w:t>人民群众对工作人员的满意度（%）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26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A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59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E5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8A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B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E7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DA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ACAC4">
            <w:pPr>
              <w:jc w:val="center"/>
            </w:pPr>
          </w:p>
        </w:tc>
      </w:tr>
      <w:tr w14:paraId="0C727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81A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83AF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C5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D0D2B8">
            <w:pPr>
              <w:jc w:val="center"/>
            </w:pPr>
            <w:r>
              <w:rPr>
                <w:rFonts w:ascii="宋体" w:hAnsi="宋体" w:eastAsia="宋体"/>
                <w:sz w:val="16"/>
              </w:rPr>
              <w:t>50分</w:t>
            </w:r>
          </w:p>
        </w:tc>
      </w:tr>
    </w:tbl>
    <w:p w14:paraId="3071744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C2A4881">
        <w:tblPrEx>
          <w:tblCellMar>
            <w:top w:w="0" w:type="dxa"/>
            <w:left w:w="108" w:type="dxa"/>
            <w:bottom w:w="0" w:type="dxa"/>
            <w:right w:w="108" w:type="dxa"/>
          </w:tblCellMar>
        </w:tblPrEx>
        <w:tc>
          <w:tcPr>
            <w:tcW w:w="8848" w:type="dxa"/>
            <w:gridSpan w:val="14"/>
            <w:vAlign w:val="center"/>
          </w:tcPr>
          <w:p w14:paraId="68344D71">
            <w:pPr>
              <w:jc w:val="center"/>
            </w:pPr>
            <w:r>
              <w:rPr>
                <w:rFonts w:ascii="宋体" w:hAnsi="宋体" w:eastAsia="宋体"/>
                <w:sz w:val="24"/>
              </w:rPr>
              <w:t>项目支出绩效自评表</w:t>
            </w:r>
          </w:p>
        </w:tc>
      </w:tr>
      <w:tr w14:paraId="7B3A3CBE">
        <w:tblPrEx>
          <w:tblCellMar>
            <w:top w:w="0" w:type="dxa"/>
            <w:left w:w="108" w:type="dxa"/>
            <w:bottom w:w="0" w:type="dxa"/>
            <w:right w:w="108" w:type="dxa"/>
          </w:tblCellMar>
        </w:tblPrEx>
        <w:tc>
          <w:tcPr>
            <w:tcW w:w="8848" w:type="dxa"/>
            <w:gridSpan w:val="14"/>
            <w:vAlign w:val="center"/>
          </w:tcPr>
          <w:p w14:paraId="20B5E422">
            <w:pPr>
              <w:jc w:val="center"/>
            </w:pPr>
            <w:r>
              <w:rPr>
                <w:rFonts w:ascii="宋体" w:hAnsi="宋体" w:eastAsia="宋体"/>
                <w:sz w:val="24"/>
              </w:rPr>
              <w:t>(2024年度)</w:t>
            </w:r>
          </w:p>
        </w:tc>
      </w:tr>
      <w:tr w14:paraId="613E26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E9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B8C8CE">
            <w:pPr>
              <w:jc w:val="center"/>
            </w:pPr>
            <w:r>
              <w:rPr>
                <w:rFonts w:ascii="宋体" w:hAnsi="宋体" w:eastAsia="宋体"/>
                <w:sz w:val="16"/>
              </w:rPr>
              <w:t>为民办实事经费</w:t>
            </w:r>
          </w:p>
        </w:tc>
      </w:tr>
      <w:tr w14:paraId="334C66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32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7E6E20">
            <w:pPr>
              <w:jc w:val="center"/>
            </w:pPr>
            <w:r>
              <w:rPr>
                <w:rFonts w:ascii="宋体" w:hAnsi="宋体" w:eastAsia="宋体"/>
                <w:sz w:val="16"/>
              </w:rPr>
              <w:t>克州人民检察院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AF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759A26">
            <w:pPr>
              <w:jc w:val="center"/>
            </w:pPr>
            <w:r>
              <w:rPr>
                <w:rFonts w:ascii="宋体" w:hAnsi="宋体" w:eastAsia="宋体"/>
                <w:sz w:val="16"/>
              </w:rPr>
              <w:t>阿图什市人民检察院</w:t>
            </w:r>
          </w:p>
        </w:tc>
      </w:tr>
      <w:tr w14:paraId="30F356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459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C09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D9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873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7A4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4C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6F9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25C1">
            <w:pPr>
              <w:jc w:val="center"/>
            </w:pPr>
            <w:r>
              <w:rPr>
                <w:rFonts w:ascii="宋体" w:hAnsi="宋体" w:eastAsia="宋体"/>
                <w:sz w:val="16"/>
              </w:rPr>
              <w:t>得分</w:t>
            </w:r>
          </w:p>
        </w:tc>
      </w:tr>
      <w:tr w14:paraId="02F96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23F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637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51445">
            <w:pPr>
              <w:jc w:val="center"/>
            </w:pPr>
            <w:r>
              <w:rPr>
                <w:rFonts w:ascii="宋体" w:hAnsi="宋体" w:eastAsia="宋体"/>
                <w:sz w:val="16"/>
              </w:rPr>
              <w:t>12.61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9EA83">
            <w:pPr>
              <w:jc w:val="center"/>
            </w:pPr>
            <w:r>
              <w:rPr>
                <w:rFonts w:ascii="宋体" w:hAnsi="宋体" w:eastAsia="宋体"/>
                <w:sz w:val="16"/>
              </w:rPr>
              <w:t>25.51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10108">
            <w:pPr>
              <w:jc w:val="center"/>
            </w:pPr>
            <w:r>
              <w:rPr>
                <w:rFonts w:ascii="宋体" w:hAnsi="宋体" w:eastAsia="宋体"/>
                <w:sz w:val="16"/>
              </w:rPr>
              <w:t>25.51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24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2427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3F7B">
            <w:pPr>
              <w:jc w:val="center"/>
            </w:pPr>
            <w:r>
              <w:rPr>
                <w:rFonts w:ascii="宋体" w:hAnsi="宋体" w:eastAsia="宋体"/>
                <w:sz w:val="16"/>
              </w:rPr>
              <w:t>10.00分</w:t>
            </w:r>
          </w:p>
        </w:tc>
      </w:tr>
      <w:tr w14:paraId="78926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70F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A39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B3EC3">
            <w:pPr>
              <w:jc w:val="center"/>
            </w:pPr>
            <w:r>
              <w:rPr>
                <w:rFonts w:ascii="宋体" w:hAnsi="宋体" w:eastAsia="宋体"/>
                <w:sz w:val="16"/>
              </w:rPr>
              <w:t>12.61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23C50">
            <w:pPr>
              <w:jc w:val="center"/>
            </w:pPr>
            <w:r>
              <w:rPr>
                <w:rFonts w:ascii="宋体" w:hAnsi="宋体" w:eastAsia="宋体"/>
                <w:sz w:val="16"/>
              </w:rPr>
              <w:t>25.51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8B4D5">
            <w:pPr>
              <w:jc w:val="center"/>
            </w:pPr>
            <w:r>
              <w:rPr>
                <w:rFonts w:ascii="宋体" w:hAnsi="宋体" w:eastAsia="宋体"/>
                <w:sz w:val="16"/>
              </w:rPr>
              <w:t>25.51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0A0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5A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0138">
            <w:pPr>
              <w:jc w:val="center"/>
            </w:pPr>
            <w:r>
              <w:rPr>
                <w:rFonts w:ascii="宋体" w:hAnsi="宋体" w:eastAsia="宋体"/>
                <w:sz w:val="16"/>
              </w:rPr>
              <w:t>—</w:t>
            </w:r>
          </w:p>
        </w:tc>
      </w:tr>
      <w:tr w14:paraId="4C532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ED3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B1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978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3E2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B9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E26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A1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5C26">
            <w:pPr>
              <w:jc w:val="center"/>
            </w:pPr>
            <w:r>
              <w:rPr>
                <w:rFonts w:ascii="宋体" w:hAnsi="宋体" w:eastAsia="宋体"/>
                <w:sz w:val="16"/>
              </w:rPr>
              <w:t>—</w:t>
            </w:r>
          </w:p>
        </w:tc>
      </w:tr>
      <w:tr w14:paraId="272FF8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8AD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C109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D31701">
            <w:pPr>
              <w:jc w:val="center"/>
            </w:pPr>
            <w:r>
              <w:rPr>
                <w:rFonts w:ascii="宋体" w:hAnsi="宋体" w:eastAsia="宋体"/>
                <w:sz w:val="16"/>
              </w:rPr>
              <w:t>实际完成情况</w:t>
            </w:r>
          </w:p>
        </w:tc>
      </w:tr>
      <w:tr w14:paraId="222A7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C50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70914">
            <w:pPr>
              <w:jc w:val="both"/>
            </w:pPr>
            <w:r>
              <w:rPr>
                <w:rFonts w:ascii="宋体" w:hAnsi="宋体" w:eastAsia="宋体"/>
                <w:sz w:val="16"/>
              </w:rPr>
              <w:t>项目资金25.51万元，其中：上级补助25.51万元。工作队及第一书记统筹使用，25％用于慰问访贫问苦；50％用于办实事好事维修水渠等涉农设施、扶持群众小作坊、农产品加工业发展等；25％用于开展群众文化体育或联谊活动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D1679">
            <w:pPr>
              <w:jc w:val="both"/>
            </w:pPr>
            <w:r>
              <w:rPr>
                <w:rFonts w:ascii="宋体" w:hAnsi="宋体" w:eastAsia="宋体"/>
                <w:sz w:val="16"/>
              </w:rPr>
              <w:t>截至2024年12月31日，已完成：慰问困难群众5次，宣传法律法规15次，办实事好事20件。主要用于慰问困难群众，法律法规宣传，改善村容村貌，紧盯群众反映强烈的突出问题，全面提升法律监督质效，努力让公平正义看</w:t>
            </w:r>
            <w:r>
              <w:rPr>
                <w:rFonts w:hint="eastAsia" w:ascii="宋体" w:hAnsi="宋体"/>
                <w:sz w:val="16"/>
                <w:lang w:eastAsia="zh-CN"/>
              </w:rPr>
              <w:t>得</w:t>
            </w:r>
            <w:r>
              <w:rPr>
                <w:rFonts w:ascii="宋体" w:hAnsi="宋体" w:eastAsia="宋体"/>
                <w:sz w:val="16"/>
              </w:rPr>
              <w:t>见，不断增强人民群众的获得感、幸福感、安全感。</w:t>
            </w:r>
          </w:p>
        </w:tc>
      </w:tr>
      <w:tr w14:paraId="753650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F10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94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B2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3C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C8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D4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2B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2B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A5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60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06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63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EF1E9">
            <w:pPr>
              <w:jc w:val="center"/>
            </w:pPr>
            <w:r>
              <w:rPr>
                <w:rFonts w:ascii="宋体" w:hAnsi="宋体" w:eastAsia="宋体"/>
                <w:sz w:val="16"/>
              </w:rPr>
              <w:t>偏差原因分析及改进措施</w:t>
            </w:r>
          </w:p>
        </w:tc>
      </w:tr>
      <w:tr w14:paraId="20E361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9F8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ADD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D65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B428">
            <w:pPr>
              <w:jc w:val="center"/>
            </w:pPr>
            <w:r>
              <w:rPr>
                <w:rFonts w:ascii="宋体" w:hAnsi="宋体" w:eastAsia="宋体"/>
                <w:sz w:val="16"/>
              </w:rPr>
              <w:t>慰问困难群众数量（次）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0E9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4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0B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7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1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4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F504">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AC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C7F89">
            <w:pPr>
              <w:jc w:val="center"/>
            </w:pPr>
          </w:p>
        </w:tc>
      </w:tr>
      <w:tr w14:paraId="56F47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9D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94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5D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9FDA">
            <w:pPr>
              <w:jc w:val="center"/>
            </w:pPr>
            <w:r>
              <w:rPr>
                <w:rFonts w:ascii="宋体" w:hAnsi="宋体" w:eastAsia="宋体"/>
                <w:sz w:val="16"/>
              </w:rPr>
              <w:t>宣传法律法规数量（次）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8E9A">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67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0E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4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6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11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CA50">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66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B32D9">
            <w:pPr>
              <w:jc w:val="center"/>
            </w:pPr>
          </w:p>
        </w:tc>
      </w:tr>
      <w:tr w14:paraId="1D87F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26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6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EF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EDDA">
            <w:pPr>
              <w:jc w:val="center"/>
            </w:pPr>
            <w:r>
              <w:rPr>
                <w:rFonts w:ascii="宋体" w:hAnsi="宋体" w:eastAsia="宋体"/>
                <w:sz w:val="16"/>
              </w:rPr>
              <w:t>办实事好事数量（件）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3831">
            <w:pPr>
              <w:jc w:val="center"/>
            </w:pPr>
            <w:r>
              <w:rPr>
                <w:rFonts w:ascii="宋体" w:hAnsi="宋体" w:eastAsia="宋体"/>
                <w:sz w:val="16"/>
              </w:rPr>
              <w:t>&gt;=20件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A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CD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8F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E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4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212E">
            <w:pPr>
              <w:jc w:val="center"/>
            </w:pPr>
            <w:r>
              <w:rPr>
                <w:rFonts w:ascii="宋体" w:hAnsi="宋体" w:eastAsia="宋体"/>
                <w:sz w:val="16"/>
              </w:rPr>
              <w:t>=20件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B9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896DA">
            <w:pPr>
              <w:jc w:val="center"/>
            </w:pPr>
          </w:p>
        </w:tc>
      </w:tr>
      <w:tr w14:paraId="08B59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0E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8DA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E5D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5E62">
            <w:pPr>
              <w:jc w:val="center"/>
            </w:pPr>
            <w:r>
              <w:rPr>
                <w:rFonts w:ascii="宋体" w:hAnsi="宋体" w:eastAsia="宋体"/>
                <w:sz w:val="16"/>
              </w:rPr>
              <w:t>法律法规宣讲覆盖率（%）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D54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2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41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AA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F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BC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A2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2F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545F0">
            <w:pPr>
              <w:jc w:val="center"/>
            </w:pPr>
          </w:p>
        </w:tc>
      </w:tr>
      <w:tr w14:paraId="70319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4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8B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60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0CA8">
            <w:pPr>
              <w:jc w:val="center"/>
            </w:pPr>
            <w:r>
              <w:rPr>
                <w:rFonts w:ascii="宋体" w:hAnsi="宋体" w:eastAsia="宋体"/>
                <w:sz w:val="16"/>
              </w:rPr>
              <w:t>人民群众法律知晓率（%）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8E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C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9B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DB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46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2E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C05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AD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A1DB">
            <w:pPr>
              <w:jc w:val="center"/>
            </w:pPr>
          </w:p>
        </w:tc>
      </w:tr>
      <w:tr w14:paraId="7CB6D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5F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7F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CC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3F0B">
            <w:pPr>
              <w:jc w:val="center"/>
            </w:pPr>
            <w:r>
              <w:rPr>
                <w:rFonts w:ascii="宋体" w:hAnsi="宋体" w:eastAsia="宋体"/>
                <w:sz w:val="16"/>
              </w:rPr>
              <w:t>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4CD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9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B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6F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A3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79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58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F3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FB605">
            <w:pPr>
              <w:jc w:val="center"/>
            </w:pPr>
          </w:p>
        </w:tc>
      </w:tr>
      <w:tr w14:paraId="32AAB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2C7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472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17C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C50D">
            <w:pPr>
              <w:jc w:val="center"/>
            </w:pPr>
            <w:r>
              <w:rPr>
                <w:rFonts w:ascii="宋体" w:hAnsi="宋体" w:eastAsia="宋体"/>
                <w:sz w:val="16"/>
              </w:rPr>
              <w:t>法律法规宣传经费（元）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7C6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0B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2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6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C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90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C05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C1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76F44">
            <w:pPr>
              <w:jc w:val="center"/>
            </w:pPr>
          </w:p>
        </w:tc>
      </w:tr>
      <w:tr w14:paraId="2B7D0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30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30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A3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0C4F">
            <w:pPr>
              <w:jc w:val="center"/>
            </w:pPr>
            <w:r>
              <w:rPr>
                <w:rFonts w:ascii="宋体" w:hAnsi="宋体" w:eastAsia="宋体"/>
                <w:sz w:val="16"/>
              </w:rPr>
              <w:t>慰问</w:t>
            </w:r>
            <w:r>
              <w:rPr>
                <w:rFonts w:hint="eastAsia" w:ascii="宋体" w:hAnsi="宋体"/>
                <w:sz w:val="16"/>
                <w:lang w:eastAsia="zh-CN"/>
              </w:rPr>
              <w:t>困难</w:t>
            </w:r>
            <w:r>
              <w:rPr>
                <w:rFonts w:ascii="宋体" w:hAnsi="宋体" w:eastAsia="宋体"/>
                <w:sz w:val="16"/>
              </w:rPr>
              <w:t>群众经费（万元）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B00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F3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62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C3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2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EA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000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73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C0DB">
            <w:pPr>
              <w:jc w:val="center"/>
            </w:pPr>
          </w:p>
        </w:tc>
      </w:tr>
      <w:tr w14:paraId="3087D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46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ED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B8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2554">
            <w:pPr>
              <w:jc w:val="center"/>
            </w:pPr>
            <w:r>
              <w:rPr>
                <w:rFonts w:ascii="宋体" w:hAnsi="宋体" w:eastAsia="宋体"/>
                <w:sz w:val="16"/>
              </w:rPr>
              <w:t>改善村容村貌经费（万元）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DFDC">
            <w:pPr>
              <w:jc w:val="center"/>
            </w:pPr>
            <w:r>
              <w:rPr>
                <w:rFonts w:ascii="宋体" w:hAnsi="宋体" w:eastAsia="宋体"/>
                <w:sz w:val="16"/>
              </w:rPr>
              <w:t>&lt;=17.51万元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66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28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EB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2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E6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DCE9">
            <w:pPr>
              <w:jc w:val="center"/>
            </w:pPr>
            <w:r>
              <w:rPr>
                <w:rFonts w:ascii="宋体" w:hAnsi="宋体" w:eastAsia="宋体"/>
                <w:sz w:val="16"/>
              </w:rPr>
              <w:t>=17.51万元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F0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19914">
            <w:pPr>
              <w:jc w:val="center"/>
            </w:pPr>
          </w:p>
        </w:tc>
      </w:tr>
      <w:tr w14:paraId="262E6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CB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B0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7E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244F">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050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7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2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2B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C1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60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7C4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C1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27BB">
            <w:pPr>
              <w:jc w:val="center"/>
            </w:pPr>
          </w:p>
        </w:tc>
      </w:tr>
      <w:tr w14:paraId="5BA4D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D1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32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4F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333A">
            <w:pPr>
              <w:jc w:val="center"/>
            </w:pPr>
            <w:r>
              <w:rPr>
                <w:rFonts w:ascii="宋体" w:hAnsi="宋体" w:eastAsia="宋体"/>
                <w:sz w:val="16"/>
              </w:rPr>
              <w:t>人民群众对工作人员满意度（%）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7D2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3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14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6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86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BB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A5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CE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74799">
            <w:pPr>
              <w:jc w:val="center"/>
            </w:pPr>
            <w:r>
              <w:rPr>
                <w:rFonts w:ascii="宋体" w:hAnsi="宋体" w:eastAsia="宋体"/>
                <w:sz w:val="16"/>
              </w:rPr>
              <w:t>偏差原因：未能准确合理设定目标，整改措施</w:t>
            </w:r>
            <w:r>
              <w:rPr>
                <w:rFonts w:hint="eastAsia" w:ascii="宋体" w:hAnsi="宋体"/>
                <w:sz w:val="16"/>
                <w:lang w:eastAsia="zh-CN"/>
              </w:rPr>
              <w:t>；</w:t>
            </w:r>
            <w:r>
              <w:rPr>
                <w:rFonts w:ascii="宋体" w:hAnsi="宋体" w:eastAsia="宋体"/>
                <w:sz w:val="16"/>
              </w:rPr>
              <w:t>按照实际工作，合理编制目标表。</w:t>
            </w:r>
          </w:p>
        </w:tc>
      </w:tr>
      <w:tr w14:paraId="78CA60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B5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729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284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64CA26">
            <w:pPr>
              <w:jc w:val="center"/>
            </w:pPr>
            <w:r>
              <w:rPr>
                <w:rFonts w:ascii="宋体" w:hAnsi="宋体" w:eastAsia="宋体"/>
                <w:sz w:val="16"/>
              </w:rPr>
              <w:t>100分</w:t>
            </w:r>
          </w:p>
        </w:tc>
      </w:tr>
    </w:tbl>
    <w:p w14:paraId="079F3113">
      <w:r>
        <w:br w:type="page"/>
      </w:r>
    </w:p>
    <w:p w14:paraId="214C2A3E">
      <w:pPr>
        <w:spacing w:line="640" w:lineRule="exact"/>
        <w:ind w:firstLine="640"/>
        <w:jc w:val="both"/>
        <w:outlineLvl w:val="2"/>
      </w:pPr>
      <w:r>
        <w:rPr>
          <w:rFonts w:ascii="黑体" w:hAnsi="黑体" w:eastAsia="黑体"/>
          <w:sz w:val="32"/>
        </w:rPr>
        <w:t>十二、其他需说明的事项</w:t>
      </w:r>
    </w:p>
    <w:p w14:paraId="35C18FA2">
      <w:pPr>
        <w:spacing w:line="580" w:lineRule="exact"/>
        <w:ind w:firstLine="640"/>
        <w:jc w:val="both"/>
      </w:pPr>
      <w:r>
        <w:rPr>
          <w:rFonts w:ascii="仿宋_GB2312" w:hAnsi="仿宋_GB2312" w:eastAsia="仿宋_GB2312"/>
          <w:b w:val="0"/>
          <w:sz w:val="32"/>
        </w:rPr>
        <w:t>本单位无其他需说明的事项。</w:t>
      </w:r>
    </w:p>
    <w:p w14:paraId="2C5D054D">
      <w:r>
        <w:br w:type="page"/>
      </w:r>
    </w:p>
    <w:p w14:paraId="3F172ECC">
      <w:pPr>
        <w:spacing w:line="240" w:lineRule="auto"/>
        <w:jc w:val="center"/>
        <w:outlineLvl w:val="1"/>
      </w:pPr>
      <w:r>
        <w:rPr>
          <w:rFonts w:ascii="黑体" w:hAnsi="黑体" w:eastAsia="黑体"/>
          <w:sz w:val="32"/>
        </w:rPr>
        <w:t>第三部分 专业名词解释</w:t>
      </w:r>
    </w:p>
    <w:p w14:paraId="2448DB7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59A88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CC702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040DB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AE1DE9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450362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C10519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4D47D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1F004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89D4B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0DEE6E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7497D3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ED1A22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2EAC5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9B25D6D">
      <w:r>
        <w:br w:type="page"/>
      </w:r>
    </w:p>
    <w:p w14:paraId="07FEBC6A">
      <w:pPr>
        <w:spacing w:line="240" w:lineRule="auto"/>
        <w:jc w:val="center"/>
        <w:outlineLvl w:val="1"/>
      </w:pPr>
      <w:r>
        <w:rPr>
          <w:rFonts w:ascii="黑体" w:hAnsi="黑体" w:eastAsia="黑体"/>
          <w:sz w:val="32"/>
        </w:rPr>
        <w:t>第四部分 部门决算报表（见附表）</w:t>
      </w:r>
    </w:p>
    <w:p w14:paraId="1E12EC56">
      <w:pPr>
        <w:spacing w:line="240" w:lineRule="auto"/>
        <w:ind w:firstLine="640"/>
        <w:jc w:val="both"/>
      </w:pPr>
      <w:r>
        <w:rPr>
          <w:rFonts w:ascii="仿宋_GB2312" w:hAnsi="仿宋_GB2312" w:eastAsia="仿宋_GB2312"/>
          <w:b w:val="0"/>
          <w:sz w:val="32"/>
        </w:rPr>
        <w:t>一、《收入支出决算总表》</w:t>
      </w:r>
    </w:p>
    <w:p w14:paraId="6FCC0598">
      <w:pPr>
        <w:spacing w:line="240" w:lineRule="auto"/>
        <w:ind w:firstLine="640"/>
        <w:jc w:val="both"/>
      </w:pPr>
      <w:r>
        <w:rPr>
          <w:rFonts w:ascii="仿宋_GB2312" w:hAnsi="仿宋_GB2312" w:eastAsia="仿宋_GB2312"/>
          <w:b w:val="0"/>
          <w:sz w:val="32"/>
        </w:rPr>
        <w:t>二、《收入决算表》</w:t>
      </w:r>
    </w:p>
    <w:p w14:paraId="529AEFBC">
      <w:pPr>
        <w:spacing w:line="240" w:lineRule="auto"/>
        <w:ind w:firstLine="640"/>
        <w:jc w:val="both"/>
      </w:pPr>
      <w:r>
        <w:rPr>
          <w:rFonts w:ascii="仿宋_GB2312" w:hAnsi="仿宋_GB2312" w:eastAsia="仿宋_GB2312"/>
          <w:b w:val="0"/>
          <w:sz w:val="32"/>
        </w:rPr>
        <w:t>三、《支出决算表》</w:t>
      </w:r>
    </w:p>
    <w:p w14:paraId="1AB6843C">
      <w:pPr>
        <w:spacing w:line="240" w:lineRule="auto"/>
        <w:ind w:firstLine="640"/>
        <w:jc w:val="both"/>
      </w:pPr>
      <w:r>
        <w:rPr>
          <w:rFonts w:ascii="仿宋_GB2312" w:hAnsi="仿宋_GB2312" w:eastAsia="仿宋_GB2312"/>
          <w:b w:val="0"/>
          <w:sz w:val="32"/>
        </w:rPr>
        <w:t>四、《财政拨款收入支出决算总表》</w:t>
      </w:r>
    </w:p>
    <w:p w14:paraId="718E0518">
      <w:pPr>
        <w:spacing w:line="240" w:lineRule="auto"/>
        <w:ind w:firstLine="640"/>
        <w:jc w:val="both"/>
      </w:pPr>
      <w:r>
        <w:rPr>
          <w:rFonts w:ascii="仿宋_GB2312" w:hAnsi="仿宋_GB2312" w:eastAsia="仿宋_GB2312"/>
          <w:b w:val="0"/>
          <w:sz w:val="32"/>
        </w:rPr>
        <w:t>五、《一般公共预算财政拨款支出决算表》</w:t>
      </w:r>
    </w:p>
    <w:p w14:paraId="37180AF1">
      <w:pPr>
        <w:spacing w:line="240" w:lineRule="auto"/>
        <w:ind w:firstLine="640"/>
        <w:jc w:val="both"/>
      </w:pPr>
      <w:r>
        <w:rPr>
          <w:rFonts w:ascii="仿宋_GB2312" w:hAnsi="仿宋_GB2312" w:eastAsia="仿宋_GB2312"/>
          <w:b w:val="0"/>
          <w:sz w:val="32"/>
        </w:rPr>
        <w:t>六、《一般公共预算财政拨款基本支出决算表》</w:t>
      </w:r>
    </w:p>
    <w:p w14:paraId="6E98F842">
      <w:pPr>
        <w:spacing w:line="240" w:lineRule="auto"/>
        <w:ind w:firstLine="640"/>
        <w:jc w:val="both"/>
      </w:pPr>
      <w:r>
        <w:rPr>
          <w:rFonts w:ascii="仿宋_GB2312" w:hAnsi="仿宋_GB2312" w:eastAsia="仿宋_GB2312"/>
          <w:b w:val="0"/>
          <w:sz w:val="32"/>
        </w:rPr>
        <w:t>七、《政府性基金预算财政拨款收入支出决算表》</w:t>
      </w:r>
    </w:p>
    <w:p w14:paraId="55A81316">
      <w:pPr>
        <w:spacing w:line="240" w:lineRule="auto"/>
        <w:ind w:firstLine="640"/>
        <w:jc w:val="both"/>
      </w:pPr>
      <w:r>
        <w:rPr>
          <w:rFonts w:ascii="仿宋_GB2312" w:hAnsi="仿宋_GB2312" w:eastAsia="仿宋_GB2312"/>
          <w:b w:val="0"/>
          <w:sz w:val="32"/>
        </w:rPr>
        <w:t>八、《国有资本经营预算财政拨款收入支出决算表》</w:t>
      </w:r>
    </w:p>
    <w:p w14:paraId="72B5E8DF">
      <w:pPr>
        <w:spacing w:line="240" w:lineRule="auto"/>
        <w:ind w:firstLine="640"/>
        <w:jc w:val="both"/>
      </w:pPr>
      <w:r>
        <w:rPr>
          <w:rFonts w:ascii="仿宋_GB2312" w:hAnsi="仿宋_GB2312" w:eastAsia="仿宋_GB2312"/>
          <w:b w:val="0"/>
          <w:sz w:val="32"/>
        </w:rPr>
        <w:t>九、《财政拨款“三公”经费支出决算表》</w:t>
      </w:r>
    </w:p>
    <w:p w14:paraId="47ACEE37">
      <w:pPr>
        <w:spacing w:line="240" w:lineRule="auto"/>
        <w:ind w:firstLine="640"/>
        <w:jc w:val="both"/>
      </w:pPr>
    </w:p>
    <w:p w14:paraId="3B551109">
      <w:pPr>
        <w:spacing w:line="240" w:lineRule="auto"/>
        <w:ind w:firstLine="640"/>
        <w:jc w:val="both"/>
      </w:pPr>
    </w:p>
    <w:p w14:paraId="0D11196E">
      <w:pPr>
        <w:spacing w:line="240" w:lineRule="auto"/>
        <w:ind w:firstLine="640"/>
        <w:jc w:val="both"/>
      </w:pPr>
    </w:p>
    <w:p w14:paraId="003EE2AE">
      <w:pPr>
        <w:spacing w:line="240" w:lineRule="auto"/>
        <w:ind w:firstLine="640"/>
        <w:jc w:val="both"/>
      </w:pPr>
    </w:p>
    <w:p w14:paraId="25C4877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766452"/>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0C1DD2"/>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5647</Words>
  <Characters>6512</Characters>
  <Lines>0</Lines>
  <Paragraphs>0</Paragraphs>
  <TotalTime>12</TotalTime>
  <ScaleCrop>false</ScaleCrop>
  <LinksUpToDate>false</LinksUpToDate>
  <CharactersWithSpaces>6524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2025-09-02T04:57:45Z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