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克孜勒苏柯尔克孜自治州国土空间规划研究中心2024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81B44D2">
      <w:r>
        <w:br w:type="page"/>
      </w:r>
    </w:p>
    <w:p w14:paraId="633FC594">
      <w:pPr>
        <w:spacing w:line="640" w:lineRule="exact"/>
        <w:jc w:val="center"/>
        <w:outlineLvl w:val="1"/>
      </w:pPr>
      <w:r>
        <w:rPr>
          <w:rFonts w:ascii="黑体" w:hAnsi="黑体" w:eastAsia="黑体"/>
          <w:sz w:val="32"/>
        </w:rPr>
        <w:t>第一部分 单位概况</w:t>
      </w:r>
    </w:p>
    <w:p w14:paraId="7E371EB7">
      <w:pPr>
        <w:spacing w:line="640" w:lineRule="exact"/>
        <w:ind w:firstLine="640"/>
        <w:jc w:val="both"/>
        <w:outlineLvl w:val="2"/>
      </w:pPr>
      <w:r>
        <w:rPr>
          <w:rFonts w:ascii="黑体" w:hAnsi="黑体" w:eastAsia="黑体"/>
          <w:sz w:val="32"/>
        </w:rPr>
        <w:t>一、主要职能</w:t>
      </w:r>
    </w:p>
    <w:p w14:paraId="6FF79F17">
      <w:pPr>
        <w:spacing w:line="580" w:lineRule="exact"/>
        <w:ind w:firstLine="640"/>
        <w:jc w:val="both"/>
      </w:pPr>
      <w:r>
        <w:rPr>
          <w:rFonts w:ascii="仿宋_GB2312" w:hAnsi="仿宋_GB2312" w:eastAsia="仿宋_GB2312"/>
          <w:sz w:val="32"/>
        </w:rPr>
        <w:t>承担自然资源管理工作提供技术支</w:t>
      </w:r>
      <w:r>
        <w:rPr>
          <w:rFonts w:hint="eastAsia" w:ascii="仿宋_GB2312" w:hAnsi="仿宋_GB2312" w:eastAsia="仿宋_GB2312"/>
          <w:sz w:val="32"/>
          <w:lang w:eastAsia="zh-CN"/>
        </w:rPr>
        <w:t>撑和</w:t>
      </w:r>
      <w:r>
        <w:rPr>
          <w:rFonts w:ascii="仿宋_GB2312" w:hAnsi="仿宋_GB2312" w:eastAsia="仿宋_GB2312"/>
          <w:sz w:val="32"/>
        </w:rPr>
        <w:t>服务保障；承担国土空间规划论证、研究工作；负责城乡土地资源现状调查评价和动态监测、地籍测量和调查技术工作；承担基础测绘数据保管、更新维护与应用等各项技术保障等工作。</w:t>
      </w:r>
    </w:p>
    <w:p w14:paraId="4E4568B5">
      <w:pPr>
        <w:spacing w:line="640" w:lineRule="exact"/>
        <w:ind w:firstLine="640"/>
        <w:jc w:val="both"/>
        <w:outlineLvl w:val="2"/>
      </w:pPr>
      <w:r>
        <w:rPr>
          <w:rFonts w:ascii="黑体" w:hAnsi="黑体" w:eastAsia="黑体"/>
          <w:sz w:val="32"/>
        </w:rPr>
        <w:t>二、机构设置及人员情况</w:t>
      </w:r>
    </w:p>
    <w:p w14:paraId="740E0847">
      <w:pPr>
        <w:spacing w:line="580" w:lineRule="exact"/>
        <w:ind w:firstLine="640"/>
        <w:jc w:val="both"/>
      </w:pPr>
      <w:r>
        <w:rPr>
          <w:rFonts w:ascii="仿宋_GB2312" w:hAnsi="仿宋_GB2312" w:eastAsia="仿宋_GB2312"/>
          <w:sz w:val="32"/>
        </w:rPr>
        <w:t>克孜勒苏柯尔克孜自治州国土空间规划研究中心2024年度，实有人数51人，其中：在职人员28人，增加0人；离休人员0人，增加0人；退休人员23人</w:t>
      </w:r>
      <w:bookmarkStart w:id="0" w:name="_GoBack"/>
      <w:r>
        <w:rPr>
          <w:rFonts w:ascii="仿宋_GB2312" w:hAnsi="仿宋_GB2312" w:eastAsia="仿宋_GB2312"/>
          <w:sz w:val="32"/>
        </w:rPr>
        <w:t>,</w:t>
      </w:r>
      <w:bookmarkEnd w:id="0"/>
      <w:r>
        <w:rPr>
          <w:rFonts w:ascii="仿宋_GB2312" w:hAnsi="仿宋_GB2312" w:eastAsia="仿宋_GB2312"/>
          <w:sz w:val="32"/>
        </w:rPr>
        <w:t>增加0人。</w:t>
      </w:r>
    </w:p>
    <w:p w14:paraId="66D928E4">
      <w:pPr>
        <w:spacing w:line="580" w:lineRule="exact"/>
        <w:ind w:firstLine="640"/>
        <w:jc w:val="both"/>
      </w:pPr>
      <w:r>
        <w:rPr>
          <w:rFonts w:ascii="仿宋_GB2312" w:hAnsi="仿宋_GB2312" w:eastAsia="仿宋_GB2312"/>
          <w:sz w:val="32"/>
        </w:rPr>
        <w:t>克孜勒苏柯尔克孜自治州国土空间规划研究中心无下属预算单位，下设5个科室，分别是：办公室、地理信息室、确权调查室、国土空间规划室、质检室。</w:t>
      </w:r>
    </w:p>
    <w:p w14:paraId="6DEF390F">
      <w:r>
        <w:br w:type="page"/>
      </w:r>
    </w:p>
    <w:p w14:paraId="266F0608">
      <w:pPr>
        <w:spacing w:line="240" w:lineRule="auto"/>
        <w:jc w:val="center"/>
        <w:outlineLvl w:val="1"/>
      </w:pPr>
      <w:r>
        <w:rPr>
          <w:rFonts w:ascii="黑体" w:hAnsi="黑体" w:eastAsia="黑体"/>
          <w:sz w:val="32"/>
        </w:rPr>
        <w:t>第二部分 部门决算情况说明</w:t>
      </w:r>
    </w:p>
    <w:p w14:paraId="217EBDB9">
      <w:pPr>
        <w:spacing w:line="640" w:lineRule="exact"/>
        <w:ind w:firstLine="640"/>
        <w:jc w:val="both"/>
        <w:outlineLvl w:val="2"/>
      </w:pPr>
      <w:r>
        <w:rPr>
          <w:rFonts w:ascii="黑体" w:hAnsi="黑体" w:eastAsia="黑体"/>
          <w:sz w:val="32"/>
        </w:rPr>
        <w:t>一、收入支出决算总体情况说明</w:t>
      </w:r>
    </w:p>
    <w:p w14:paraId="05BE3293">
      <w:pPr>
        <w:spacing w:line="580" w:lineRule="exact"/>
        <w:ind w:firstLine="640"/>
        <w:jc w:val="both"/>
      </w:pPr>
      <w:r>
        <w:rPr>
          <w:rFonts w:ascii="仿宋_GB2312" w:hAnsi="仿宋_GB2312" w:eastAsia="仿宋_GB2312"/>
          <w:b/>
          <w:sz w:val="32"/>
        </w:rPr>
        <w:t>2024年度收入总计650.76万元，</w:t>
      </w:r>
      <w:r>
        <w:rPr>
          <w:rFonts w:ascii="仿宋_GB2312" w:hAnsi="仿宋_GB2312" w:eastAsia="仿宋_GB2312"/>
          <w:b w:val="0"/>
          <w:sz w:val="32"/>
        </w:rPr>
        <w:t>其中：本年收入合计582.07万元，使用非财政拨款结余（含专用结余）0.00万元，年初结转和结余68.69万元。</w:t>
      </w:r>
    </w:p>
    <w:p w14:paraId="54067B1C">
      <w:pPr>
        <w:spacing w:line="580" w:lineRule="exact"/>
        <w:ind w:firstLine="640"/>
        <w:jc w:val="both"/>
      </w:pPr>
      <w:r>
        <w:rPr>
          <w:rFonts w:ascii="仿宋_GB2312" w:hAnsi="仿宋_GB2312" w:eastAsia="仿宋_GB2312"/>
          <w:b/>
          <w:sz w:val="32"/>
        </w:rPr>
        <w:t>2024年度支出总计650.76万元，</w:t>
      </w:r>
      <w:r>
        <w:rPr>
          <w:rFonts w:ascii="仿宋_GB2312" w:hAnsi="仿宋_GB2312" w:eastAsia="仿宋_GB2312"/>
          <w:b w:val="0"/>
          <w:sz w:val="32"/>
        </w:rPr>
        <w:t>其中：本年支出合计582.23万元，结余分配0.00万元，年末结转和结余68.53万元。</w:t>
      </w:r>
    </w:p>
    <w:p w14:paraId="19270451">
      <w:pPr>
        <w:spacing w:line="580" w:lineRule="exact"/>
        <w:ind w:firstLine="640"/>
        <w:jc w:val="both"/>
      </w:pPr>
      <w:r>
        <w:rPr>
          <w:rFonts w:ascii="仿宋_GB2312" w:hAnsi="仿宋_GB2312" w:eastAsia="仿宋_GB2312"/>
          <w:b w:val="0"/>
          <w:sz w:val="32"/>
        </w:rPr>
        <w:t>收入支出总体与上年相比，增加35.88万元，增长5.84%，主要原因是：本年在职人员工资调增，社保、公积金基数调增，人员经费增加；本年国土规划工作经费</w:t>
      </w:r>
      <w:r>
        <w:rPr>
          <w:rFonts w:hint="eastAsia" w:ascii="仿宋_GB2312" w:hAnsi="仿宋_GB2312" w:eastAsia="仿宋_GB2312"/>
          <w:b w:val="0"/>
          <w:sz w:val="32"/>
          <w:lang w:val="en-US" w:eastAsia="zh-CN"/>
        </w:rPr>
        <w:t>较</w:t>
      </w:r>
      <w:r>
        <w:rPr>
          <w:rFonts w:ascii="仿宋_GB2312" w:hAnsi="仿宋_GB2312" w:eastAsia="仿宋_GB2312"/>
          <w:b w:val="0"/>
          <w:sz w:val="32"/>
        </w:rPr>
        <w:t>上年</w:t>
      </w:r>
      <w:r>
        <w:rPr>
          <w:rFonts w:hint="eastAsia" w:ascii="仿宋_GB2312" w:hAnsi="仿宋_GB2312" w:eastAsia="仿宋_GB2312"/>
          <w:b w:val="0"/>
          <w:sz w:val="32"/>
          <w:lang w:val="en-US" w:eastAsia="zh-CN"/>
        </w:rPr>
        <w:t>增加</w:t>
      </w:r>
      <w:r>
        <w:rPr>
          <w:rFonts w:ascii="仿宋_GB2312" w:hAnsi="仿宋_GB2312" w:eastAsia="仿宋_GB2312"/>
          <w:b w:val="0"/>
          <w:sz w:val="32"/>
        </w:rPr>
        <w:t>。</w:t>
      </w:r>
    </w:p>
    <w:p w14:paraId="1C8E6D72">
      <w:pPr>
        <w:spacing w:line="640" w:lineRule="exact"/>
        <w:ind w:firstLine="640"/>
        <w:jc w:val="both"/>
        <w:outlineLvl w:val="2"/>
      </w:pPr>
      <w:r>
        <w:rPr>
          <w:rFonts w:ascii="黑体" w:hAnsi="黑体" w:eastAsia="黑体"/>
          <w:sz w:val="32"/>
        </w:rPr>
        <w:t>二、收入决算情况说明</w:t>
      </w:r>
    </w:p>
    <w:p w14:paraId="5BC24070">
      <w:pPr>
        <w:spacing w:line="580" w:lineRule="exact"/>
        <w:ind w:firstLine="640"/>
        <w:jc w:val="both"/>
      </w:pPr>
      <w:r>
        <w:rPr>
          <w:rFonts w:ascii="仿宋_GB2312" w:hAnsi="仿宋_GB2312" w:eastAsia="仿宋_GB2312"/>
          <w:b/>
          <w:sz w:val="32"/>
        </w:rPr>
        <w:t>本年收入582.07万元，</w:t>
      </w:r>
      <w:r>
        <w:rPr>
          <w:rFonts w:ascii="仿宋_GB2312" w:hAnsi="仿宋_GB2312" w:eastAsia="仿宋_GB2312"/>
          <w:b w:val="0"/>
          <w:sz w:val="32"/>
        </w:rPr>
        <w:t>其中：财政拨款收入582.01万元，占99.99%；上级补助收入0.00万元，占0.00%；事业收入0.00万元，占0.00%；经营收入0.00万元，占0.00%；附属单位上缴收入0.00万元，占0.00%；其他收入0.06万元，占0.01%。</w:t>
      </w:r>
    </w:p>
    <w:p w14:paraId="4A2F79E4">
      <w:pPr>
        <w:spacing w:line="640" w:lineRule="exact"/>
        <w:ind w:firstLine="640"/>
        <w:jc w:val="both"/>
        <w:outlineLvl w:val="2"/>
      </w:pPr>
      <w:r>
        <w:rPr>
          <w:rFonts w:ascii="黑体" w:hAnsi="黑体" w:eastAsia="黑体"/>
          <w:sz w:val="32"/>
        </w:rPr>
        <w:t>三、支出决算情况说明</w:t>
      </w:r>
    </w:p>
    <w:p w14:paraId="4B3C02A9">
      <w:pPr>
        <w:spacing w:line="580" w:lineRule="exact"/>
        <w:ind w:firstLine="640"/>
        <w:jc w:val="both"/>
      </w:pPr>
      <w:r>
        <w:rPr>
          <w:rFonts w:ascii="仿宋_GB2312" w:hAnsi="仿宋_GB2312" w:eastAsia="仿宋_GB2312"/>
          <w:b/>
          <w:sz w:val="32"/>
        </w:rPr>
        <w:t>本年支出582.23万元，</w:t>
      </w:r>
      <w:r>
        <w:rPr>
          <w:rFonts w:ascii="仿宋_GB2312" w:hAnsi="仿宋_GB2312" w:eastAsia="仿宋_GB2312"/>
          <w:b w:val="0"/>
          <w:sz w:val="32"/>
        </w:rPr>
        <w:t>其中：基本支出546.63万元，占93.89%；项目支出35.60万元，占6.11%；上缴上级支出0.00万元，占0.00%；经营支出0.00万元，占0.00%；对附属单位补助支出0.00万元，占0.00%。</w:t>
      </w:r>
    </w:p>
    <w:p w14:paraId="48726F4A">
      <w:pPr>
        <w:spacing w:line="640" w:lineRule="exact"/>
        <w:ind w:firstLine="640"/>
        <w:jc w:val="both"/>
        <w:outlineLvl w:val="2"/>
      </w:pPr>
      <w:r>
        <w:rPr>
          <w:rFonts w:ascii="黑体" w:hAnsi="黑体" w:eastAsia="黑体"/>
          <w:sz w:val="32"/>
        </w:rPr>
        <w:t>四、财政拨款收入支出决算总体情况说明</w:t>
      </w:r>
    </w:p>
    <w:p w14:paraId="45BC5F10">
      <w:pPr>
        <w:spacing w:line="580" w:lineRule="exact"/>
        <w:ind w:firstLine="640"/>
        <w:jc w:val="both"/>
      </w:pPr>
      <w:r>
        <w:rPr>
          <w:rFonts w:ascii="仿宋_GB2312" w:hAnsi="仿宋_GB2312" w:eastAsia="仿宋_GB2312"/>
          <w:b/>
          <w:sz w:val="32"/>
        </w:rPr>
        <w:t>2024年度财政拨款收入总计582.01万元，</w:t>
      </w:r>
      <w:r>
        <w:rPr>
          <w:rFonts w:ascii="仿宋_GB2312" w:hAnsi="仿宋_GB2312" w:eastAsia="仿宋_GB2312"/>
          <w:b w:val="0"/>
          <w:sz w:val="32"/>
        </w:rPr>
        <w:t>其中：年初财政拨款结转和结余0.00万元，本年财政拨款收入582.01万元。</w:t>
      </w:r>
      <w:r>
        <w:rPr>
          <w:rFonts w:ascii="仿宋_GB2312" w:hAnsi="仿宋_GB2312" w:eastAsia="仿宋_GB2312"/>
          <w:b/>
          <w:sz w:val="32"/>
        </w:rPr>
        <w:t>财政拨款支出总计582.01万元，</w:t>
      </w:r>
      <w:r>
        <w:rPr>
          <w:rFonts w:ascii="仿宋_GB2312" w:hAnsi="仿宋_GB2312" w:eastAsia="仿宋_GB2312"/>
          <w:b w:val="0"/>
          <w:sz w:val="32"/>
        </w:rPr>
        <w:t>其中：年末财政拨款结转和结余0.00万元，本年财政拨款支出582.01万元。</w:t>
      </w:r>
    </w:p>
    <w:p w14:paraId="12AAD704">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增加36.01万元，增长6.60%，主要原因是：本年在职人员工资调增，社保、公积金基数调增，人员经费增加；本年国土规划工作经费</w:t>
      </w:r>
      <w:r>
        <w:rPr>
          <w:rFonts w:hint="eastAsia" w:ascii="仿宋_GB2312" w:hAnsi="仿宋_GB2312" w:eastAsia="仿宋_GB2312"/>
          <w:b w:val="0"/>
          <w:sz w:val="32"/>
          <w:lang w:val="en-US" w:eastAsia="zh-CN"/>
        </w:rPr>
        <w:t>较</w:t>
      </w:r>
      <w:r>
        <w:rPr>
          <w:rFonts w:ascii="仿宋_GB2312" w:hAnsi="仿宋_GB2312" w:eastAsia="仿宋_GB2312"/>
          <w:b w:val="0"/>
          <w:sz w:val="32"/>
        </w:rPr>
        <w:t>上年</w:t>
      </w:r>
      <w:r>
        <w:rPr>
          <w:rFonts w:hint="eastAsia" w:ascii="仿宋_GB2312" w:hAnsi="仿宋_GB2312" w:eastAsia="仿宋_GB2312"/>
          <w:b w:val="0"/>
          <w:sz w:val="32"/>
          <w:lang w:val="en-US" w:eastAsia="zh-CN"/>
        </w:rPr>
        <w:t>增加</w:t>
      </w:r>
      <w:r>
        <w:rPr>
          <w:rFonts w:ascii="仿宋_GB2312" w:hAnsi="仿宋_GB2312" w:eastAsia="仿宋_GB2312"/>
          <w:b w:val="0"/>
          <w:sz w:val="32"/>
        </w:rPr>
        <w:t>。</w:t>
      </w:r>
      <w:r>
        <w:rPr>
          <w:rFonts w:ascii="仿宋_GB2312" w:hAnsi="仿宋_GB2312" w:eastAsia="仿宋_GB2312"/>
          <w:b/>
          <w:sz w:val="32"/>
        </w:rPr>
        <w:t>与年初预算相比，</w:t>
      </w:r>
      <w:r>
        <w:rPr>
          <w:rFonts w:ascii="仿宋_GB2312" w:hAnsi="仿宋_GB2312" w:eastAsia="仿宋_GB2312"/>
          <w:b w:val="0"/>
          <w:sz w:val="32"/>
        </w:rPr>
        <w:t>年初预算数572.86万元，决算数582.01万元，预决算差异率1.60%，主要原因是：年中追加人员工资、社保、公积金基数调增部分资金，导致预决算差异。</w:t>
      </w:r>
    </w:p>
    <w:p w14:paraId="007DCAFC">
      <w:pPr>
        <w:spacing w:line="640" w:lineRule="exact"/>
        <w:ind w:firstLine="640"/>
        <w:jc w:val="both"/>
        <w:outlineLvl w:val="2"/>
      </w:pPr>
      <w:r>
        <w:rPr>
          <w:rFonts w:ascii="黑体" w:hAnsi="黑体" w:eastAsia="黑体"/>
          <w:sz w:val="32"/>
        </w:rPr>
        <w:t>五、一般公共预算财政拨款支出决算情况说明</w:t>
      </w:r>
    </w:p>
    <w:p w14:paraId="22960197">
      <w:pPr>
        <w:spacing w:line="640" w:lineRule="exact"/>
        <w:ind w:firstLine="640"/>
        <w:jc w:val="both"/>
        <w:outlineLvl w:val="3"/>
      </w:pPr>
      <w:r>
        <w:rPr>
          <w:rFonts w:ascii="楷体_GB2312" w:hAnsi="楷体_GB2312" w:eastAsia="楷体_GB2312"/>
          <w:b/>
          <w:sz w:val="32"/>
        </w:rPr>
        <w:t>（一）一般公共预算财政拨款支出决算总体情况</w:t>
      </w:r>
    </w:p>
    <w:p w14:paraId="54AF7DE9">
      <w:pPr>
        <w:spacing w:line="580" w:lineRule="exact"/>
        <w:ind w:firstLine="640"/>
        <w:jc w:val="both"/>
      </w:pPr>
      <w:r>
        <w:rPr>
          <w:rFonts w:ascii="仿宋_GB2312" w:hAnsi="仿宋_GB2312" w:eastAsia="仿宋_GB2312"/>
          <w:b/>
          <w:sz w:val="32"/>
        </w:rPr>
        <w:t>2024年度一般公共预算财政拨款支出582.01万元，</w:t>
      </w:r>
      <w:r>
        <w:rPr>
          <w:rFonts w:ascii="仿宋_GB2312" w:hAnsi="仿宋_GB2312" w:eastAsia="仿宋_GB2312"/>
          <w:b w:val="0"/>
          <w:sz w:val="32"/>
        </w:rPr>
        <w:t>占本年支出合计的99.96%。</w:t>
      </w:r>
      <w:r>
        <w:rPr>
          <w:rFonts w:ascii="仿宋_GB2312" w:hAnsi="仿宋_GB2312" w:eastAsia="仿宋_GB2312"/>
          <w:b/>
          <w:sz w:val="32"/>
        </w:rPr>
        <w:t>与上年相比，</w:t>
      </w:r>
      <w:r>
        <w:rPr>
          <w:rFonts w:ascii="仿宋_GB2312" w:hAnsi="仿宋_GB2312" w:eastAsia="仿宋_GB2312"/>
          <w:b w:val="0"/>
          <w:sz w:val="32"/>
        </w:rPr>
        <w:t>增加36.01万元，增长6.60%，主要原因是：本年在职人员工资调增，社保、公积金基数调增，人员经费增加；本年国土规划工作经费</w:t>
      </w:r>
      <w:r>
        <w:rPr>
          <w:rFonts w:hint="eastAsia" w:ascii="仿宋_GB2312" w:hAnsi="仿宋_GB2312" w:eastAsia="仿宋_GB2312"/>
          <w:b w:val="0"/>
          <w:sz w:val="32"/>
          <w:lang w:val="en-US" w:eastAsia="zh-CN"/>
        </w:rPr>
        <w:t>较</w:t>
      </w:r>
      <w:r>
        <w:rPr>
          <w:rFonts w:ascii="仿宋_GB2312" w:hAnsi="仿宋_GB2312" w:eastAsia="仿宋_GB2312"/>
          <w:b w:val="0"/>
          <w:sz w:val="32"/>
        </w:rPr>
        <w:t>上年</w:t>
      </w:r>
      <w:r>
        <w:rPr>
          <w:rFonts w:hint="eastAsia" w:ascii="仿宋_GB2312" w:hAnsi="仿宋_GB2312" w:eastAsia="仿宋_GB2312"/>
          <w:b w:val="0"/>
          <w:sz w:val="32"/>
          <w:lang w:val="en-US" w:eastAsia="zh-CN"/>
        </w:rPr>
        <w:t>增加</w:t>
      </w:r>
      <w:r>
        <w:rPr>
          <w:rFonts w:ascii="仿宋_GB2312" w:hAnsi="仿宋_GB2312" w:eastAsia="仿宋_GB2312"/>
          <w:b w:val="0"/>
          <w:sz w:val="32"/>
        </w:rPr>
        <w:t>。</w:t>
      </w:r>
      <w:r>
        <w:rPr>
          <w:rFonts w:ascii="仿宋_GB2312" w:hAnsi="仿宋_GB2312" w:eastAsia="仿宋_GB2312"/>
          <w:b/>
          <w:sz w:val="32"/>
        </w:rPr>
        <w:t>与年初预算相比,</w:t>
      </w:r>
      <w:r>
        <w:rPr>
          <w:rFonts w:ascii="仿宋_GB2312" w:hAnsi="仿宋_GB2312" w:eastAsia="仿宋_GB2312"/>
          <w:b w:val="0"/>
          <w:sz w:val="32"/>
        </w:rPr>
        <w:t>年初预算数572.86万元，决算数582.01万元，预决算差异率1.60%，主要原因是：年中追加人员工资、社保、公积金基数调增部分资金，导致预决算差异。</w:t>
      </w:r>
    </w:p>
    <w:p w14:paraId="23A20D8A">
      <w:pPr>
        <w:spacing w:line="640" w:lineRule="exact"/>
        <w:ind w:firstLine="640"/>
        <w:jc w:val="both"/>
        <w:outlineLvl w:val="3"/>
      </w:pPr>
      <w:r>
        <w:rPr>
          <w:rFonts w:ascii="楷体_GB2312" w:hAnsi="楷体_GB2312" w:eastAsia="楷体_GB2312"/>
          <w:b/>
          <w:sz w:val="32"/>
        </w:rPr>
        <w:t>（二）一般公共预算财政拨款支出决算结构情况</w:t>
      </w:r>
    </w:p>
    <w:p w14:paraId="1878ABCF">
      <w:pPr>
        <w:spacing w:line="580" w:lineRule="exact"/>
        <w:ind w:firstLine="640"/>
        <w:jc w:val="both"/>
      </w:pPr>
      <w:r>
        <w:rPr>
          <w:rFonts w:ascii="仿宋_GB2312" w:hAnsi="仿宋_GB2312" w:eastAsia="仿宋_GB2312"/>
          <w:b w:val="0"/>
          <w:sz w:val="32"/>
        </w:rPr>
        <w:t>1.社会保障和就业支出(类)84.63万元,占14.54%。</w:t>
      </w:r>
    </w:p>
    <w:p w14:paraId="31516FEB">
      <w:pPr>
        <w:spacing w:line="580" w:lineRule="exact"/>
        <w:ind w:firstLine="640"/>
        <w:jc w:val="both"/>
      </w:pPr>
      <w:r>
        <w:rPr>
          <w:rFonts w:ascii="仿宋_GB2312" w:hAnsi="仿宋_GB2312" w:eastAsia="仿宋_GB2312"/>
          <w:b w:val="0"/>
          <w:sz w:val="32"/>
        </w:rPr>
        <w:t>2.自然资源海洋气象等支出(类)497.38万元,占85.46%。</w:t>
      </w:r>
    </w:p>
    <w:p w14:paraId="4809E164">
      <w:pPr>
        <w:spacing w:line="640" w:lineRule="exact"/>
        <w:ind w:firstLine="640"/>
        <w:jc w:val="both"/>
        <w:outlineLvl w:val="3"/>
      </w:pPr>
      <w:r>
        <w:rPr>
          <w:rFonts w:ascii="楷体_GB2312" w:hAnsi="楷体_GB2312" w:eastAsia="楷体_GB2312"/>
          <w:b/>
          <w:sz w:val="32"/>
        </w:rPr>
        <w:t>（三）一般公共预算财政拨款支出决算具体情况</w:t>
      </w:r>
    </w:p>
    <w:p w14:paraId="520047E6">
      <w:pPr>
        <w:spacing w:line="580" w:lineRule="exact"/>
        <w:ind w:firstLine="640"/>
        <w:jc w:val="both"/>
      </w:pPr>
      <w:r>
        <w:rPr>
          <w:rFonts w:ascii="仿宋_GB2312" w:hAnsi="仿宋_GB2312" w:eastAsia="仿宋_GB2312"/>
          <w:b w:val="0"/>
          <w:sz w:val="32"/>
        </w:rPr>
        <w:t>1.社会保障和就业支出(类)行政事业单位养老支出(款)事业单位离退休(项):支出决算数为33.59万元，比上年决算增加6.77万元，增长25.24%,主要原因是：本年增加退休人员基础绩效奖，退休费支出增加。</w:t>
      </w:r>
    </w:p>
    <w:p w14:paraId="4DD50300">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51.04万元，比上年决算增加4.08万元，增长8.69%,主要原因是：本年在职人员工资基数调增，养老缴费基数上涨，相应支出增加。</w:t>
      </w:r>
    </w:p>
    <w:p w14:paraId="1CD35DE1">
      <w:pPr>
        <w:spacing w:line="580" w:lineRule="exact"/>
        <w:ind w:firstLine="640"/>
        <w:jc w:val="both"/>
      </w:pPr>
      <w:r>
        <w:rPr>
          <w:rFonts w:ascii="仿宋_GB2312" w:hAnsi="仿宋_GB2312" w:eastAsia="仿宋_GB2312"/>
          <w:b w:val="0"/>
          <w:sz w:val="32"/>
        </w:rPr>
        <w:t>3.自然资源海洋气象等支出(类)自然资源事务(款)自然资源规划及管理(项):支出决算数为461.78万元，比上年决算增加19.35万元，增长4.37%,主要原因是：本年在职人员工资调增，相关人员经费增加。</w:t>
      </w:r>
    </w:p>
    <w:p w14:paraId="1719C9A6">
      <w:pPr>
        <w:spacing w:line="580" w:lineRule="exact"/>
        <w:ind w:firstLine="640"/>
        <w:jc w:val="both"/>
      </w:pPr>
      <w:r>
        <w:rPr>
          <w:rFonts w:ascii="仿宋_GB2312" w:hAnsi="仿宋_GB2312" w:eastAsia="仿宋_GB2312"/>
          <w:b w:val="0"/>
          <w:sz w:val="32"/>
        </w:rPr>
        <w:t>4.自然资源海洋气象等支出(类)自然资源事务(款)其他自然资源事务支出(项):支出决算数为35.60万元，比上年决算增加5.82万元，增长19.54%,主要原因是：本年国土规划工作经费</w:t>
      </w:r>
      <w:r>
        <w:rPr>
          <w:rFonts w:hint="eastAsia" w:ascii="仿宋_GB2312" w:hAnsi="仿宋_GB2312" w:eastAsia="仿宋_GB2312"/>
          <w:b w:val="0"/>
          <w:sz w:val="32"/>
          <w:lang w:val="en-US" w:eastAsia="zh-CN"/>
        </w:rPr>
        <w:t>较</w:t>
      </w:r>
      <w:r>
        <w:rPr>
          <w:rFonts w:ascii="仿宋_GB2312" w:hAnsi="仿宋_GB2312" w:eastAsia="仿宋_GB2312"/>
          <w:b w:val="0"/>
          <w:sz w:val="32"/>
        </w:rPr>
        <w:t>上年增</w:t>
      </w:r>
      <w:r>
        <w:rPr>
          <w:rFonts w:hint="eastAsia" w:ascii="仿宋_GB2312" w:hAnsi="仿宋_GB2312" w:eastAsia="仿宋_GB2312"/>
          <w:b w:val="0"/>
          <w:sz w:val="32"/>
          <w:lang w:val="en-US" w:eastAsia="zh-CN"/>
        </w:rPr>
        <w:t>加</w:t>
      </w:r>
      <w:r>
        <w:rPr>
          <w:rFonts w:ascii="仿宋_GB2312" w:hAnsi="仿宋_GB2312" w:eastAsia="仿宋_GB2312"/>
          <w:b w:val="0"/>
          <w:sz w:val="32"/>
        </w:rPr>
        <w:t>。</w:t>
      </w:r>
    </w:p>
    <w:p w14:paraId="4F4CDEB1">
      <w:pPr>
        <w:spacing w:line="640" w:lineRule="exact"/>
        <w:ind w:firstLine="640"/>
        <w:jc w:val="both"/>
        <w:outlineLvl w:val="2"/>
      </w:pPr>
      <w:r>
        <w:rPr>
          <w:rFonts w:ascii="黑体" w:hAnsi="黑体" w:eastAsia="黑体"/>
          <w:sz w:val="32"/>
        </w:rPr>
        <w:t>六、一般公共预算财政拨款基本支出决算情况说明</w:t>
      </w:r>
    </w:p>
    <w:p w14:paraId="6D3D77E8">
      <w:pPr>
        <w:spacing w:line="580" w:lineRule="exact"/>
        <w:ind w:firstLine="640"/>
        <w:jc w:val="both"/>
      </w:pPr>
      <w:r>
        <w:rPr>
          <w:rFonts w:ascii="仿宋_GB2312" w:hAnsi="仿宋_GB2312" w:eastAsia="仿宋_GB2312"/>
          <w:b w:val="0"/>
          <w:sz w:val="32"/>
        </w:rPr>
        <w:t>2024年度一般公共预算财政拨款基本支出546.41万元，其中：</w:t>
      </w:r>
      <w:r>
        <w:rPr>
          <w:rFonts w:ascii="仿宋_GB2312" w:hAnsi="仿宋_GB2312" w:eastAsia="仿宋_GB2312"/>
          <w:b/>
          <w:sz w:val="32"/>
        </w:rPr>
        <w:t>人员经费529.36万元，</w:t>
      </w:r>
      <w:r>
        <w:rPr>
          <w:rFonts w:ascii="仿宋_GB2312" w:hAnsi="仿宋_GB2312" w:eastAsia="仿宋_GB2312"/>
          <w:b w:val="0"/>
          <w:sz w:val="32"/>
        </w:rPr>
        <w:t>包括：基本工资、津贴补贴、奖金、机关事业单位基本养老保险缴费、职工基本医疗保险缴费、其他社会保障缴费、住房公积金、退休费、奖励金。</w:t>
      </w:r>
    </w:p>
    <w:p w14:paraId="4D7301A5">
      <w:pPr>
        <w:spacing w:line="580" w:lineRule="exact"/>
        <w:ind w:firstLine="640"/>
        <w:jc w:val="both"/>
      </w:pPr>
      <w:r>
        <w:rPr>
          <w:rFonts w:ascii="仿宋_GB2312" w:hAnsi="仿宋_GB2312" w:eastAsia="仿宋_GB2312"/>
          <w:b/>
          <w:sz w:val="32"/>
        </w:rPr>
        <w:t>公用经费17.05万元，</w:t>
      </w:r>
      <w:r>
        <w:rPr>
          <w:rFonts w:ascii="仿宋_GB2312" w:hAnsi="仿宋_GB2312" w:eastAsia="仿宋_GB2312"/>
          <w:b w:val="0"/>
          <w:sz w:val="32"/>
        </w:rPr>
        <w:t>包括：办公费、印刷费、手续费、电费、差旅费、劳务费、工会经费、福利费、其他商品和服务支出。</w:t>
      </w:r>
    </w:p>
    <w:p w14:paraId="3D03DDB1">
      <w:pPr>
        <w:spacing w:line="640" w:lineRule="exact"/>
        <w:ind w:firstLine="640"/>
        <w:jc w:val="both"/>
        <w:outlineLvl w:val="2"/>
      </w:pPr>
      <w:r>
        <w:rPr>
          <w:rFonts w:ascii="黑体" w:hAnsi="黑体" w:eastAsia="黑体"/>
          <w:sz w:val="32"/>
        </w:rPr>
        <w:t>七、政府性基金预算财政拨款收入支出决算情况说明</w:t>
      </w:r>
    </w:p>
    <w:p w14:paraId="58A36AE9">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3FEDD9C7">
      <w:pPr>
        <w:spacing w:line="640" w:lineRule="exact"/>
        <w:ind w:firstLine="640"/>
        <w:jc w:val="both"/>
        <w:outlineLvl w:val="2"/>
      </w:pPr>
      <w:r>
        <w:rPr>
          <w:rFonts w:ascii="黑体" w:hAnsi="黑体" w:eastAsia="黑体"/>
          <w:sz w:val="32"/>
        </w:rPr>
        <w:t>八、国有资本经营预算财政拨款收入支出决算情况说明</w:t>
      </w:r>
    </w:p>
    <w:p w14:paraId="2E61E972">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B5B411A">
      <w:pPr>
        <w:spacing w:line="640" w:lineRule="exact"/>
        <w:ind w:firstLine="640"/>
        <w:jc w:val="both"/>
        <w:outlineLvl w:val="2"/>
      </w:pPr>
      <w:r>
        <w:rPr>
          <w:rFonts w:ascii="黑体" w:hAnsi="黑体" w:eastAsia="黑体"/>
          <w:sz w:val="32"/>
        </w:rPr>
        <w:t>九、财政拨款“三公”经费支出决算情况说明</w:t>
      </w:r>
    </w:p>
    <w:p w14:paraId="4CF4F2A9">
      <w:pPr>
        <w:spacing w:line="580" w:lineRule="exact"/>
        <w:ind w:firstLine="640"/>
        <w:jc w:val="both"/>
      </w:pPr>
      <w:r>
        <w:rPr>
          <w:rFonts w:ascii="仿宋_GB2312" w:hAnsi="仿宋_GB2312" w:eastAsia="仿宋_GB2312"/>
          <w:b/>
          <w:sz w:val="32"/>
        </w:rPr>
        <w:t>2024年度财政拨款“三公”经费支出7.53万元，</w:t>
      </w:r>
      <w:r>
        <w:rPr>
          <w:rFonts w:ascii="仿宋_GB2312" w:hAnsi="仿宋_GB2312" w:eastAsia="仿宋_GB2312"/>
          <w:b w:val="0"/>
          <w:sz w:val="32"/>
        </w:rPr>
        <w:t>比上年增加4.52万元，增长150.67%，主要原因是：本单位公务用车日渐老化，维修维护成本增加，导致公务用车运行维护费较上年增加。其中：因公出国（境）费支出0.00万元，占0.00%，比上年增加0.00万元，增长0.00%，主要原因是：2023年与2024年均未安排因公出国（境）费支出。公务用车购置及运行维护费支出7.53万元，占100.00%，比上年增加4.56万元，增长153.54%，主要原因是：本单位公务用车日渐老化，维修维护成本增加，导致公务用车运行维护费较上年增加。公务接待费支出0.00万元，占0.00%，比上年减少0.04万元，下降100.00%，主要原因是：本年未安排公务接待工作，导致公务接待费较上年减少。</w:t>
      </w:r>
    </w:p>
    <w:p w14:paraId="4E0AFD09">
      <w:pPr>
        <w:spacing w:line="580" w:lineRule="exact"/>
        <w:ind w:firstLine="640"/>
        <w:jc w:val="both"/>
      </w:pPr>
      <w:r>
        <w:rPr>
          <w:rFonts w:ascii="仿宋_GB2312" w:hAnsi="仿宋_GB2312" w:eastAsia="仿宋_GB2312"/>
          <w:b/>
          <w:sz w:val="32"/>
        </w:rPr>
        <w:t>具体情况如下：</w:t>
      </w:r>
    </w:p>
    <w:p w14:paraId="07C7EEDF">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B55DD8E">
      <w:pPr>
        <w:spacing w:line="580" w:lineRule="exact"/>
        <w:ind w:firstLine="640"/>
        <w:jc w:val="both"/>
      </w:pPr>
      <w:r>
        <w:rPr>
          <w:rFonts w:ascii="仿宋_GB2312" w:hAnsi="仿宋_GB2312" w:eastAsia="仿宋_GB2312"/>
          <w:b w:val="0"/>
          <w:sz w:val="32"/>
        </w:rPr>
        <w:t>公务用车购置及运行维护费7.53万元，其中：公务用车购置费0.00万元，公务用车运行维护费7.53万元。公务用车运行维护费开支内容包括车辆加油费、维修费、保险费、审车费、过路费。公务用车购置数0辆，公务用车保有量4辆。国有资产占用情况中固定资产车辆4辆，与公务用车保有量差异原因是：本单位固定资产车辆与公务用车保有量一致无差异。</w:t>
      </w:r>
    </w:p>
    <w:p w14:paraId="50C6A9EA">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6ECB29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9.00万元，决算数7.53万元，预决算差异率-16.33%，主要原因是：严格执行中央八项规定，厉行节约，减少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8.00万元，决算数7.53万元，预决算差异率-5.88%，主要原因是：严格执行中央八项规定，厉行节约，减少公务用车使用频次，燃油费减少</w:t>
      </w:r>
      <w:r>
        <w:rPr>
          <w:rFonts w:hint="eastAsia" w:ascii="仿宋_GB2312" w:hAnsi="仿宋_GB2312" w:eastAsia="仿宋_GB2312"/>
          <w:b w:val="0"/>
          <w:sz w:val="32"/>
          <w:lang w:eastAsia="zh-CN"/>
        </w:rPr>
        <w:t>，</w:t>
      </w:r>
      <w:r>
        <w:rPr>
          <w:rFonts w:ascii="仿宋_GB2312" w:hAnsi="仿宋_GB2312" w:eastAsia="仿宋_GB2312"/>
          <w:b w:val="0"/>
          <w:sz w:val="32"/>
        </w:rPr>
        <w:t>公务用车运行维护费</w:t>
      </w:r>
      <w:r>
        <w:rPr>
          <w:rFonts w:hint="eastAsia" w:ascii="仿宋_GB2312" w:hAnsi="仿宋_GB2312" w:eastAsia="仿宋_GB2312"/>
          <w:b w:val="0"/>
          <w:sz w:val="32"/>
          <w:lang w:val="en-US" w:eastAsia="zh-CN"/>
        </w:rPr>
        <w:t>减少</w:t>
      </w:r>
      <w:r>
        <w:rPr>
          <w:rFonts w:ascii="仿宋_GB2312" w:hAnsi="仿宋_GB2312" w:eastAsia="仿宋_GB2312"/>
          <w:b w:val="0"/>
          <w:sz w:val="32"/>
        </w:rPr>
        <w:t>。公务接待费全年预算数1.00万元，决算数0.00万元，预决算差异率-100.00%，主要原因是：严格执行中央八项规定，厉行节约，减少经费支出。</w:t>
      </w:r>
    </w:p>
    <w:p w14:paraId="44035B35">
      <w:pPr>
        <w:spacing w:line="640" w:lineRule="exact"/>
        <w:ind w:firstLine="640"/>
        <w:jc w:val="both"/>
        <w:outlineLvl w:val="2"/>
      </w:pPr>
      <w:r>
        <w:rPr>
          <w:rFonts w:ascii="黑体" w:hAnsi="黑体" w:eastAsia="黑体"/>
          <w:sz w:val="32"/>
        </w:rPr>
        <w:t>十、其他重要事项的情况说明</w:t>
      </w:r>
    </w:p>
    <w:p w14:paraId="1792FD03">
      <w:pPr>
        <w:spacing w:line="640" w:lineRule="exact"/>
        <w:ind w:firstLine="640"/>
        <w:jc w:val="both"/>
        <w:outlineLvl w:val="3"/>
      </w:pPr>
      <w:r>
        <w:rPr>
          <w:rFonts w:ascii="楷体_GB2312" w:hAnsi="楷体_GB2312" w:eastAsia="楷体_GB2312"/>
          <w:b/>
          <w:sz w:val="32"/>
        </w:rPr>
        <w:t>（一）机关运行经费及公用经费支出情况</w:t>
      </w:r>
    </w:p>
    <w:p w14:paraId="63661403">
      <w:pPr>
        <w:spacing w:line="580" w:lineRule="exact"/>
        <w:ind w:firstLine="640"/>
        <w:jc w:val="both"/>
      </w:pPr>
      <w:r>
        <w:rPr>
          <w:rFonts w:ascii="仿宋_GB2312" w:hAnsi="仿宋_GB2312" w:eastAsia="仿宋_GB2312"/>
          <w:b w:val="0"/>
          <w:sz w:val="32"/>
        </w:rPr>
        <w:t>2024年度克孜勒苏柯尔克孜自治州国土空间规划研究中心（事业单位）公用经费支出17.05万元，比上年增加3.97万元，增长30.35%，主要原因是：本年业务量增加，公用经费增加。</w:t>
      </w:r>
    </w:p>
    <w:p w14:paraId="58FC40DA">
      <w:pPr>
        <w:spacing w:line="640" w:lineRule="exact"/>
        <w:ind w:firstLine="640"/>
        <w:jc w:val="both"/>
        <w:outlineLvl w:val="3"/>
      </w:pPr>
      <w:r>
        <w:rPr>
          <w:rFonts w:ascii="楷体_GB2312" w:hAnsi="楷体_GB2312" w:eastAsia="楷体_GB2312"/>
          <w:b/>
          <w:sz w:val="32"/>
        </w:rPr>
        <w:t>（二）政府采购情况</w:t>
      </w:r>
    </w:p>
    <w:p w14:paraId="7D7D876F">
      <w:pPr>
        <w:spacing w:line="580" w:lineRule="exact"/>
        <w:ind w:firstLine="640"/>
        <w:jc w:val="both"/>
      </w:pPr>
      <w:r>
        <w:rPr>
          <w:rFonts w:ascii="仿宋_GB2312" w:hAnsi="仿宋_GB2312" w:eastAsia="仿宋_GB2312"/>
          <w:b w:val="0"/>
          <w:sz w:val="32"/>
        </w:rPr>
        <w:t>2024年度政府采购支出总额45.62万元，其中：政府采购货物支出36.55万元、政府采购工程支出0.00万元、政府采购服务支出9.06万元。</w:t>
      </w:r>
    </w:p>
    <w:p w14:paraId="19B72BEB">
      <w:pPr>
        <w:spacing w:line="580" w:lineRule="exact"/>
        <w:ind w:firstLine="640"/>
        <w:jc w:val="both"/>
      </w:pPr>
      <w:r>
        <w:rPr>
          <w:rFonts w:ascii="仿宋_GB2312" w:hAnsi="仿宋_GB2312" w:eastAsia="仿宋_GB2312"/>
          <w:b w:val="0"/>
          <w:sz w:val="32"/>
        </w:rPr>
        <w:t>授予中小企业合同金额37.52万元，占政府采购支出总额的82.24%，其中：授予小微企业合同金额34.57万元，占政府采购支出总额的75.78%。</w:t>
      </w:r>
    </w:p>
    <w:p w14:paraId="3AD86385">
      <w:pPr>
        <w:spacing w:line="640" w:lineRule="exact"/>
        <w:ind w:firstLine="640"/>
        <w:jc w:val="both"/>
        <w:outlineLvl w:val="3"/>
      </w:pPr>
      <w:r>
        <w:rPr>
          <w:rFonts w:ascii="楷体_GB2312" w:hAnsi="楷体_GB2312" w:eastAsia="楷体_GB2312"/>
          <w:b/>
          <w:sz w:val="32"/>
        </w:rPr>
        <w:t>（三）国有资产占用情况说明</w:t>
      </w:r>
    </w:p>
    <w:p w14:paraId="3361AE86">
      <w:pPr>
        <w:spacing w:line="580" w:lineRule="exact"/>
        <w:ind w:firstLine="640"/>
        <w:jc w:val="both"/>
      </w:pPr>
      <w:r>
        <w:rPr>
          <w:rFonts w:ascii="仿宋_GB2312" w:hAnsi="仿宋_GB2312" w:eastAsia="仿宋_GB2312"/>
          <w:b w:val="0"/>
          <w:sz w:val="32"/>
        </w:rPr>
        <w:t>截至2024年12月31日，房屋0.00平方米，价值0.00万元。车辆4辆，价值58.31万元，其中：副部（省）级及以上领导用车0辆、主要负责人用车0辆、机要通信用车0辆、应急保障用车0辆、执法执勤用车0辆、特种专业技术用车0辆、离退休干部服务用车0辆、其他用车4辆，其他用车主要是：一般公务用车。单价100万元（含）以上设备（不含车辆）0台（套）。</w:t>
      </w:r>
    </w:p>
    <w:p w14:paraId="2BD700C2">
      <w:pPr>
        <w:spacing w:line="640" w:lineRule="exact"/>
        <w:ind w:firstLine="640"/>
        <w:jc w:val="both"/>
        <w:outlineLvl w:val="2"/>
      </w:pPr>
      <w:r>
        <w:rPr>
          <w:rFonts w:ascii="黑体" w:hAnsi="黑体" w:eastAsia="黑体"/>
          <w:sz w:val="32"/>
        </w:rPr>
        <w:t>十一、预算绩效的情况说明</w:t>
      </w:r>
    </w:p>
    <w:p w14:paraId="272113C2">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650.76万元，实际执行总额582.23万元；预算绩效评价项目2个，全年预算数90.00万元，全年执行数35.82万元。预算绩效管理取得的成效：一是本单位以绩效目标实现为导向，加强制度建设，提升预算执行质量，预算绩效管理取得一定成效。预算绩效管理取得的成效，科学制定目标，促进绩效目标顺利实现</w:t>
      </w:r>
      <w:r>
        <w:rPr>
          <w:rFonts w:hint="eastAsia" w:ascii="仿宋_GB2312" w:hAnsi="仿宋_GB2312" w:eastAsia="仿宋_GB2312"/>
          <w:b w:val="0"/>
          <w:sz w:val="32"/>
          <w:lang w:eastAsia="zh-CN"/>
        </w:rPr>
        <w:t>；</w:t>
      </w:r>
      <w:r>
        <w:rPr>
          <w:rFonts w:ascii="仿宋_GB2312" w:hAnsi="仿宋_GB2312" w:eastAsia="仿宋_GB2312"/>
          <w:b w:val="0"/>
          <w:sz w:val="32"/>
        </w:rPr>
        <w:t>二是自落实预算绩效管理工作以来，本单位在项目资金的使用上都有了更明确、更清晰的理解和认识。通过实施预算绩效管理，树立了绩效优先的管理理念，也很好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，提升了部门管理水平和资金使用效益，为全面实施绩效管理打下了坚实的基础。发现的问题及原因：一是存在的问题财政绩效管理有待提高。相关绩效管理方面专业知识的系统性学习有待加强</w:t>
      </w:r>
      <w:r>
        <w:rPr>
          <w:rFonts w:hint="eastAsia" w:ascii="仿宋_GB2312" w:hAnsi="仿宋_GB2312" w:eastAsia="仿宋_GB2312"/>
          <w:b w:val="0"/>
          <w:sz w:val="32"/>
          <w:lang w:eastAsia="zh-CN"/>
        </w:rPr>
        <w:t>；</w:t>
      </w:r>
      <w:r>
        <w:rPr>
          <w:rFonts w:ascii="仿宋_GB2312" w:hAnsi="仿宋_GB2312" w:eastAsia="仿宋_GB2312"/>
          <w:b w:val="0"/>
          <w:sz w:val="32"/>
        </w:rPr>
        <w:t>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w:t>
      </w:r>
      <w:r>
        <w:rPr>
          <w:rFonts w:hint="eastAsia" w:ascii="仿宋_GB2312" w:hAnsi="仿宋_GB2312" w:eastAsia="仿宋_GB2312"/>
          <w:b w:val="0"/>
          <w:sz w:val="32"/>
          <w:lang w:val="en-US" w:eastAsia="zh-CN"/>
        </w:rPr>
        <w:t>一是</w:t>
      </w:r>
      <w:r>
        <w:rPr>
          <w:rFonts w:ascii="仿宋_GB2312" w:hAnsi="仿宋_GB2312" w:eastAsia="仿宋_GB2312"/>
          <w:b w:val="0"/>
          <w:sz w:val="32"/>
        </w:rPr>
        <w:t>加强绩效评价管理制度和流程的建设，进一步深化、完善绩效管理体系，建立全过程的预算绩效管理机制，促进绩效管理工作向广度和深度延伸</w:t>
      </w:r>
      <w:r>
        <w:rPr>
          <w:rFonts w:hint="eastAsia" w:ascii="仿宋_GB2312" w:hAnsi="仿宋_GB2312" w:eastAsia="仿宋_GB2312"/>
          <w:b w:val="0"/>
          <w:sz w:val="32"/>
          <w:lang w:eastAsia="zh-CN"/>
        </w:rPr>
        <w:t>；</w:t>
      </w:r>
      <w:r>
        <w:rPr>
          <w:rFonts w:ascii="仿宋_GB2312" w:hAnsi="仿宋_GB2312" w:eastAsia="仿宋_GB2312"/>
          <w:b w:val="0"/>
          <w:sz w:val="32"/>
        </w:rPr>
        <w:t>二是规范绩效评价管理资料的收集整理，确保相关信息完整、可靠，客观公正地反映项目资金实际使用和产生的绩效状况，为今后该项目实施方向及管理方式的改进提供指导。具体附整体支出绩效自评表，项目支出绩效自评表和评价报告。</w:t>
      </w:r>
    </w:p>
    <w:p w14:paraId="2A3A9FEA">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6FC1503A">
        <w:tblPrEx>
          <w:tblCellMar>
            <w:top w:w="0" w:type="dxa"/>
            <w:left w:w="108" w:type="dxa"/>
            <w:bottom w:w="0" w:type="dxa"/>
            <w:right w:w="108" w:type="dxa"/>
          </w:tblCellMar>
        </w:tblPrEx>
        <w:tc>
          <w:tcPr>
            <w:tcW w:w="8840" w:type="dxa"/>
            <w:gridSpan w:val="8"/>
            <w:vAlign w:val="center"/>
          </w:tcPr>
          <w:p w14:paraId="2F4D6FF8">
            <w:pPr>
              <w:jc w:val="center"/>
            </w:pPr>
            <w:r>
              <w:rPr>
                <w:rFonts w:ascii="宋体" w:hAnsi="宋体" w:eastAsia="宋体"/>
                <w:sz w:val="24"/>
              </w:rPr>
              <w:t>单位整体支出绩效自评表</w:t>
            </w:r>
          </w:p>
        </w:tc>
      </w:tr>
      <w:tr w14:paraId="15575031">
        <w:tblPrEx>
          <w:tblCellMar>
            <w:top w:w="0" w:type="dxa"/>
            <w:left w:w="108" w:type="dxa"/>
            <w:bottom w:w="0" w:type="dxa"/>
            <w:right w:w="108" w:type="dxa"/>
          </w:tblCellMar>
        </w:tblPrEx>
        <w:tc>
          <w:tcPr>
            <w:tcW w:w="8840" w:type="dxa"/>
            <w:gridSpan w:val="8"/>
            <w:vAlign w:val="center"/>
          </w:tcPr>
          <w:p w14:paraId="78104402">
            <w:pPr>
              <w:jc w:val="center"/>
            </w:pPr>
            <w:r>
              <w:rPr>
                <w:rFonts w:ascii="宋体" w:hAnsi="宋体" w:eastAsia="宋体"/>
                <w:sz w:val="24"/>
              </w:rPr>
              <w:t>（2024年度）</w:t>
            </w:r>
          </w:p>
        </w:tc>
      </w:tr>
      <w:tr w14:paraId="6DD5ACF9">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5F34E8">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741A4B">
            <w:pPr>
              <w:jc w:val="center"/>
            </w:pPr>
            <w:r>
              <w:rPr>
                <w:rFonts w:ascii="宋体" w:hAnsi="宋体" w:eastAsia="宋体"/>
                <w:sz w:val="16"/>
              </w:rPr>
              <w:t>克孜勒苏柯尔克孜自治州国土空间规划研究中心</w:t>
            </w:r>
          </w:p>
        </w:tc>
      </w:tr>
      <w:tr w14:paraId="229B5AE8">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176005">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D2EBCE">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CC80BC">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49E62C">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112001">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7E7793">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6C4C27">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37605B">
            <w:pPr>
              <w:jc w:val="center"/>
            </w:pPr>
            <w:r>
              <w:rPr>
                <w:rFonts w:ascii="宋体" w:hAnsi="宋体" w:eastAsia="宋体"/>
                <w:sz w:val="16"/>
              </w:rPr>
              <w:t>得分</w:t>
            </w:r>
          </w:p>
        </w:tc>
      </w:tr>
      <w:tr w14:paraId="55B4EA5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32BF3A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90962C">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693E7F">
            <w:pPr>
              <w:jc w:val="center"/>
            </w:pPr>
            <w:r>
              <w:rPr>
                <w:rFonts w:ascii="宋体" w:hAnsi="宋体" w:eastAsia="宋体"/>
                <w:sz w:val="16"/>
              </w:rPr>
              <w:t>672.86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761A34">
            <w:pPr>
              <w:jc w:val="center"/>
            </w:pPr>
            <w:r>
              <w:rPr>
                <w:rFonts w:ascii="宋体" w:hAnsi="宋体" w:eastAsia="宋体"/>
                <w:sz w:val="16"/>
              </w:rPr>
              <w:t>650.76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2D2E69">
            <w:pPr>
              <w:jc w:val="center"/>
            </w:pPr>
            <w:r>
              <w:rPr>
                <w:rFonts w:ascii="宋体" w:hAnsi="宋体" w:eastAsia="宋体"/>
                <w:sz w:val="16"/>
              </w:rPr>
              <w:t>582.23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2A8354">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54B5DD">
            <w:pPr>
              <w:jc w:val="center"/>
            </w:pPr>
            <w:r>
              <w:rPr>
                <w:rFonts w:ascii="宋体" w:hAnsi="宋体" w:eastAsia="宋体"/>
                <w:sz w:val="16"/>
              </w:rPr>
              <w:t>89.47%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B89DCC">
            <w:pPr>
              <w:jc w:val="center"/>
              <w:rPr>
                <w:rFonts w:hint="eastAsia" w:eastAsia="宋体"/>
                <w:lang w:eastAsia="zh-CN"/>
              </w:rPr>
            </w:pPr>
            <w:r>
              <w:rPr>
                <w:rFonts w:ascii="宋体" w:hAnsi="宋体" w:eastAsia="宋体"/>
                <w:sz w:val="16"/>
              </w:rPr>
              <w:t>8</w:t>
            </w:r>
            <w:r>
              <w:rPr>
                <w:rFonts w:hint="eastAsia" w:ascii="宋体" w:hAnsi="宋体"/>
                <w:sz w:val="16"/>
                <w:lang w:val="en-US" w:eastAsia="zh-CN"/>
              </w:rPr>
              <w:t>.</w:t>
            </w:r>
            <w:r>
              <w:rPr>
                <w:rFonts w:ascii="宋体" w:hAnsi="宋体" w:eastAsia="宋体"/>
                <w:sz w:val="16"/>
              </w:rPr>
              <w:t>9</w:t>
            </w:r>
            <w:r>
              <w:rPr>
                <w:rFonts w:hint="eastAsia" w:ascii="宋体" w:hAnsi="宋体"/>
                <w:sz w:val="16"/>
                <w:lang w:val="en-US" w:eastAsia="zh-CN"/>
              </w:rPr>
              <w:t>4</w:t>
            </w:r>
          </w:p>
        </w:tc>
      </w:tr>
      <w:tr w14:paraId="2EB212D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09CFFE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9F3237">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572CB0">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0E875A">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422138">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D8B86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21FEA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70D56A">
            <w:pPr>
              <w:jc w:val="center"/>
            </w:pPr>
            <w:r>
              <w:rPr>
                <w:rFonts w:ascii="宋体" w:hAnsi="宋体" w:eastAsia="宋体"/>
                <w:sz w:val="16"/>
              </w:rPr>
              <w:t>—</w:t>
            </w:r>
          </w:p>
        </w:tc>
      </w:tr>
      <w:tr w14:paraId="6B9C41B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37E89E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0E112E">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26B595">
            <w:pPr>
              <w:jc w:val="center"/>
            </w:pPr>
            <w:r>
              <w:rPr>
                <w:rFonts w:ascii="宋体" w:hAnsi="宋体" w:eastAsia="宋体"/>
                <w:sz w:val="16"/>
              </w:rPr>
              <w:t>572.86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4040AB">
            <w:pPr>
              <w:jc w:val="center"/>
            </w:pPr>
            <w:r>
              <w:rPr>
                <w:rFonts w:ascii="宋体" w:hAnsi="宋体" w:eastAsia="宋体"/>
                <w:sz w:val="16"/>
              </w:rPr>
              <w:t>650.76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B188E8">
            <w:pPr>
              <w:jc w:val="center"/>
            </w:pPr>
            <w:r>
              <w:rPr>
                <w:rFonts w:ascii="宋体" w:hAnsi="宋体" w:eastAsia="宋体"/>
                <w:sz w:val="16"/>
              </w:rPr>
              <w:t>582.23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7197B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5F4AF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DF3673">
            <w:pPr>
              <w:jc w:val="center"/>
            </w:pPr>
            <w:r>
              <w:rPr>
                <w:rFonts w:ascii="宋体" w:hAnsi="宋体" w:eastAsia="宋体"/>
                <w:sz w:val="16"/>
              </w:rPr>
              <w:t>—</w:t>
            </w:r>
          </w:p>
        </w:tc>
      </w:tr>
      <w:tr w14:paraId="5D42676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8DBB6A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4ADD2C">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9F8951">
            <w:pPr>
              <w:jc w:val="center"/>
            </w:pPr>
            <w:r>
              <w:rPr>
                <w:rFonts w:ascii="宋体" w:hAnsi="宋体" w:eastAsia="宋体"/>
                <w:sz w:val="16"/>
              </w:rPr>
              <w:t>100.00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924E0B">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955EB2">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7A981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EACFF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597C64">
            <w:pPr>
              <w:jc w:val="center"/>
            </w:pPr>
            <w:r>
              <w:rPr>
                <w:rFonts w:ascii="宋体" w:hAnsi="宋体" w:eastAsia="宋体"/>
                <w:sz w:val="16"/>
              </w:rPr>
              <w:t>—</w:t>
            </w:r>
          </w:p>
        </w:tc>
      </w:tr>
      <w:tr w14:paraId="0B325B13">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C60650">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EBDCD56">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91F01A6">
            <w:pPr>
              <w:jc w:val="center"/>
            </w:pPr>
            <w:r>
              <w:rPr>
                <w:rFonts w:ascii="宋体" w:hAnsi="宋体" w:eastAsia="宋体"/>
                <w:sz w:val="16"/>
              </w:rPr>
              <w:t>实际完成情况</w:t>
            </w:r>
          </w:p>
        </w:tc>
      </w:tr>
      <w:tr w14:paraId="140C0F7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C8143DC"/>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7D22945">
            <w:pPr>
              <w:jc w:val="both"/>
            </w:pPr>
            <w:r>
              <w:rPr>
                <w:rFonts w:ascii="宋体" w:hAnsi="宋体" w:eastAsia="宋体"/>
                <w:sz w:val="16"/>
              </w:rPr>
              <w:t>配合自然资源局各科室开展业务工作</w:t>
            </w:r>
            <w:r>
              <w:rPr>
                <w:rFonts w:hint="eastAsia" w:ascii="宋体" w:hAnsi="宋体"/>
                <w:sz w:val="16"/>
                <w:lang w:eastAsia="zh-CN"/>
              </w:rPr>
              <w:t>。</w:t>
            </w:r>
            <w:r>
              <w:rPr>
                <w:rFonts w:ascii="宋体" w:hAnsi="宋体" w:eastAsia="宋体"/>
                <w:sz w:val="16"/>
              </w:rPr>
              <w:t>继续全面做好自治州国土空间规划相关工作。积极对接发改、水利、生态环境、住建、林草等相关部门，收集州本级国土空间总体规划相关资料，为自治州国土空间总体规划顺利编制提供有效支撑。积极配合州自然资源局开展各项业务工作；1、三县一市增减挂钩工作核查验收工作4次；2、农村乱占耕地建房图斑核查工作4次；3、2024年三县一市土地卫片核查工作4次。</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6954278">
            <w:pPr>
              <w:jc w:val="both"/>
            </w:pPr>
            <w:r>
              <w:rPr>
                <w:rFonts w:ascii="宋体" w:hAnsi="宋体" w:eastAsia="宋体"/>
                <w:sz w:val="16"/>
              </w:rPr>
              <w:t>截至2024年12月31日，我单位2024年配合州自然资源局业务科室完成了对三县一市增减挂钩外业图斑核查验收工作4次，配合州自然资源局国土空间用途管制和耕地保护生态修复科完成西安督查组反馈2024年度卫片执法图斑（15个）进行外业核查及整改工作，完成了对国家下发的三县一市土地卫片</w:t>
            </w:r>
            <w:r>
              <w:rPr>
                <w:rFonts w:hint="eastAsia" w:ascii="宋体" w:hAnsi="宋体"/>
                <w:sz w:val="16"/>
                <w:lang w:eastAsia="zh-CN"/>
              </w:rPr>
              <w:t>图斑</w:t>
            </w:r>
            <w:r>
              <w:rPr>
                <w:rFonts w:ascii="宋体" w:hAnsi="宋体" w:eastAsia="宋体"/>
                <w:sz w:val="16"/>
              </w:rPr>
              <w:t>进行外业核查工作4次；州局定期对三县一市农村乱占耕地建房工作</w:t>
            </w:r>
            <w:r>
              <w:rPr>
                <w:rFonts w:hint="eastAsia" w:ascii="宋体" w:hAnsi="宋体"/>
                <w:sz w:val="16"/>
                <w:lang w:eastAsia="zh-CN"/>
              </w:rPr>
              <w:t>进行</w:t>
            </w:r>
            <w:r>
              <w:rPr>
                <w:rFonts w:ascii="宋体" w:hAnsi="宋体" w:eastAsia="宋体"/>
                <w:sz w:val="16"/>
              </w:rPr>
              <w:t>工作监督及图斑的外业核查工作4次；通过以上工作的实施，保障了我单位28名职工的工资、福利及社保正常发放及缴纳，确保民生工作落实到位；保障我单位4辆公务用车的运行及维护，保障单位各项工作的正常运转，确保机构运转正常；配合自然资源局各科室开展业务工作。继续全面做好自治州国土空间规划相关工作。积极对接发改、水利、生态环境、住建、林草等相关部门，收集州本级国土空间总体规划相关资料，为自治州国土空间总体规划顺利编制提供有效支撑。</w:t>
            </w:r>
          </w:p>
        </w:tc>
      </w:tr>
      <w:tr w14:paraId="7067FAA2">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E56B8A">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41223C">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FBC1B0">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07871A">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ACFFD5">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4399F9">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286B3B">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CEFA42">
            <w:pPr>
              <w:jc w:val="center"/>
            </w:pPr>
            <w:r>
              <w:rPr>
                <w:rFonts w:ascii="宋体" w:hAnsi="宋体" w:eastAsia="宋体"/>
                <w:sz w:val="16"/>
              </w:rPr>
              <w:t>得分</w:t>
            </w:r>
          </w:p>
        </w:tc>
      </w:tr>
      <w:tr w14:paraId="506D02B9">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8ECC94">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BD0579">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FF98EF">
            <w:pPr>
              <w:jc w:val="center"/>
            </w:pPr>
            <w:r>
              <w:rPr>
                <w:rFonts w:ascii="宋体" w:hAnsi="宋体" w:eastAsia="宋体"/>
                <w:sz w:val="16"/>
              </w:rPr>
              <w:t>三县一市增减挂钩核查验收次数（次）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C3029A">
            <w:pPr>
              <w:jc w:val="center"/>
            </w:pPr>
            <w:r>
              <w:rPr>
                <w:rFonts w:ascii="宋体" w:hAnsi="宋体" w:eastAsia="宋体"/>
                <w:sz w:val="16"/>
              </w:rPr>
              <w:t>&gt;=4次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410C7A">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2F6282">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595479">
            <w:pPr>
              <w:jc w:val="center"/>
            </w:pPr>
            <w:r>
              <w:rPr>
                <w:rFonts w:ascii="宋体" w:hAnsi="宋体" w:eastAsia="宋体"/>
                <w:sz w:val="16"/>
              </w:rPr>
              <w: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EC4370">
            <w:pPr>
              <w:jc w:val="center"/>
            </w:pPr>
            <w:r>
              <w:rPr>
                <w:rFonts w:ascii="宋体" w:hAnsi="宋体" w:eastAsia="宋体"/>
                <w:sz w:val="16"/>
              </w:rPr>
              <w:t>30</w:t>
            </w:r>
          </w:p>
        </w:tc>
      </w:tr>
      <w:tr w14:paraId="4F23281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1260378"/>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A3D204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EA882B">
            <w:pPr>
              <w:jc w:val="center"/>
            </w:pPr>
            <w:r>
              <w:rPr>
                <w:rFonts w:ascii="宋体" w:hAnsi="宋体" w:eastAsia="宋体"/>
                <w:sz w:val="16"/>
              </w:rPr>
              <w:t>农村乱占耕地建房图斑核查次数（次）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7624B2">
            <w:pPr>
              <w:jc w:val="center"/>
            </w:pPr>
            <w:r>
              <w:rPr>
                <w:rFonts w:ascii="宋体" w:hAnsi="宋体" w:eastAsia="宋体"/>
                <w:sz w:val="16"/>
              </w:rPr>
              <w:t>&gt;=4次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8C598E">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6E1DC2">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F31D21">
            <w:pPr>
              <w:jc w:val="center"/>
            </w:pPr>
            <w:r>
              <w:rPr>
                <w:rFonts w:ascii="宋体" w:hAnsi="宋体" w:eastAsia="宋体"/>
                <w:sz w:val="16"/>
              </w:rPr>
              <w: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DBDC95">
            <w:pPr>
              <w:jc w:val="center"/>
            </w:pPr>
            <w:r>
              <w:rPr>
                <w:rFonts w:ascii="宋体" w:hAnsi="宋体" w:eastAsia="宋体"/>
                <w:sz w:val="16"/>
              </w:rPr>
              <w:t>30</w:t>
            </w:r>
          </w:p>
        </w:tc>
      </w:tr>
      <w:tr w14:paraId="7C92DA1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7EAA38D"/>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E76F53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5F7068">
            <w:pPr>
              <w:jc w:val="center"/>
            </w:pPr>
            <w:r>
              <w:rPr>
                <w:rFonts w:ascii="宋体" w:hAnsi="宋体" w:eastAsia="宋体"/>
                <w:sz w:val="16"/>
              </w:rPr>
              <w:t>2024年三县一市土地卫片核查次数（次）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425502">
            <w:pPr>
              <w:jc w:val="center"/>
            </w:pPr>
            <w:r>
              <w:rPr>
                <w:rFonts w:ascii="宋体" w:hAnsi="宋体" w:eastAsia="宋体"/>
                <w:sz w:val="16"/>
              </w:rPr>
              <w:t>&gt;=4次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C6C4D7">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4BAEF0">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82E1C7">
            <w:pPr>
              <w:jc w:val="center"/>
            </w:pPr>
            <w:r>
              <w:rPr>
                <w:rFonts w:ascii="宋体" w:hAnsi="宋体" w:eastAsia="宋体"/>
                <w:sz w:val="16"/>
              </w:rPr>
              <w: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4C0C8A">
            <w:pPr>
              <w:jc w:val="center"/>
            </w:pPr>
            <w:r>
              <w:rPr>
                <w:rFonts w:ascii="宋体" w:hAnsi="宋体" w:eastAsia="宋体"/>
                <w:sz w:val="16"/>
              </w:rPr>
              <w:t>30</w:t>
            </w:r>
          </w:p>
        </w:tc>
      </w:tr>
    </w:tbl>
    <w:p w14:paraId="0B04586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B75E894">
        <w:tblPrEx>
          <w:tblCellMar>
            <w:top w:w="0" w:type="dxa"/>
            <w:left w:w="108" w:type="dxa"/>
            <w:bottom w:w="0" w:type="dxa"/>
            <w:right w:w="108" w:type="dxa"/>
          </w:tblCellMar>
        </w:tblPrEx>
        <w:tc>
          <w:tcPr>
            <w:tcW w:w="8848" w:type="dxa"/>
            <w:gridSpan w:val="14"/>
            <w:vAlign w:val="center"/>
          </w:tcPr>
          <w:p w14:paraId="6D69835E">
            <w:pPr>
              <w:jc w:val="center"/>
            </w:pPr>
            <w:r>
              <w:rPr>
                <w:rFonts w:ascii="宋体" w:hAnsi="宋体" w:eastAsia="宋体"/>
                <w:sz w:val="24"/>
              </w:rPr>
              <w:t>项目支出绩效自评表</w:t>
            </w:r>
          </w:p>
        </w:tc>
      </w:tr>
      <w:tr w14:paraId="3A561C2B">
        <w:tblPrEx>
          <w:tblCellMar>
            <w:top w:w="0" w:type="dxa"/>
            <w:left w:w="108" w:type="dxa"/>
            <w:bottom w:w="0" w:type="dxa"/>
            <w:right w:w="108" w:type="dxa"/>
          </w:tblCellMar>
        </w:tblPrEx>
        <w:tc>
          <w:tcPr>
            <w:tcW w:w="8848" w:type="dxa"/>
            <w:gridSpan w:val="14"/>
            <w:vAlign w:val="center"/>
          </w:tcPr>
          <w:p w14:paraId="30C67D8B">
            <w:pPr>
              <w:jc w:val="center"/>
            </w:pPr>
            <w:r>
              <w:rPr>
                <w:rFonts w:ascii="宋体" w:hAnsi="宋体" w:eastAsia="宋体"/>
                <w:sz w:val="24"/>
              </w:rPr>
              <w:t>(2024年度)</w:t>
            </w:r>
          </w:p>
        </w:tc>
      </w:tr>
      <w:tr w14:paraId="6712C0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A19D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5BE31BC">
            <w:pPr>
              <w:jc w:val="center"/>
            </w:pPr>
            <w:r>
              <w:rPr>
                <w:rFonts w:ascii="宋体" w:hAnsi="宋体" w:eastAsia="宋体"/>
                <w:sz w:val="16"/>
              </w:rPr>
              <w:t>2023年单位其他资金账户结余</w:t>
            </w:r>
          </w:p>
        </w:tc>
      </w:tr>
      <w:tr w14:paraId="645632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588A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20FA77">
            <w:pPr>
              <w:jc w:val="center"/>
            </w:pPr>
            <w:r>
              <w:rPr>
                <w:rFonts w:ascii="宋体" w:hAnsi="宋体" w:eastAsia="宋体"/>
                <w:sz w:val="16"/>
              </w:rPr>
              <w:t>克孜勒苏柯尔克孜自治州自然资源局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3615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42F088">
            <w:pPr>
              <w:jc w:val="center"/>
            </w:pPr>
            <w:r>
              <w:rPr>
                <w:rFonts w:ascii="宋体" w:hAnsi="宋体" w:eastAsia="宋体"/>
                <w:sz w:val="16"/>
              </w:rPr>
              <w:t>克孜勒苏柯尔克孜自治州国土空间规划研究中心</w:t>
            </w:r>
          </w:p>
        </w:tc>
      </w:tr>
      <w:tr w14:paraId="43AADC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3C5B4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AAB9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EBFC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7190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0985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BE5E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BC01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C38DE">
            <w:pPr>
              <w:jc w:val="center"/>
            </w:pPr>
            <w:r>
              <w:rPr>
                <w:rFonts w:ascii="宋体" w:hAnsi="宋体" w:eastAsia="宋体"/>
                <w:sz w:val="16"/>
              </w:rPr>
              <w:t>得分</w:t>
            </w:r>
          </w:p>
        </w:tc>
      </w:tr>
      <w:tr w14:paraId="1365BF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71D2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42A0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FE8A1">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78E95">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B0EC9">
            <w:pPr>
              <w:jc w:val="center"/>
            </w:pPr>
            <w:r>
              <w:rPr>
                <w:rFonts w:ascii="宋体" w:hAnsi="宋体" w:eastAsia="宋体"/>
                <w:sz w:val="16"/>
              </w:rPr>
              <w:t>0.22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DACF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32E9C">
            <w:pPr>
              <w:jc w:val="center"/>
            </w:pPr>
            <w:r>
              <w:rPr>
                <w:rFonts w:ascii="宋体" w:hAnsi="宋体" w:eastAsia="宋体"/>
                <w:sz w:val="16"/>
              </w:rPr>
              <w:t>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12382">
            <w:pPr>
              <w:jc w:val="center"/>
            </w:pPr>
            <w:r>
              <w:rPr>
                <w:rFonts w:ascii="宋体" w:hAnsi="宋体" w:eastAsia="宋体"/>
                <w:sz w:val="16"/>
              </w:rPr>
              <w:t>0.00分</w:t>
            </w:r>
          </w:p>
        </w:tc>
      </w:tr>
      <w:tr w14:paraId="1CD06E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52A5C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A251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3D7A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897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192A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76B2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C3B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748C4">
            <w:pPr>
              <w:jc w:val="center"/>
            </w:pPr>
            <w:r>
              <w:rPr>
                <w:rFonts w:ascii="宋体" w:hAnsi="宋体" w:eastAsia="宋体"/>
                <w:sz w:val="16"/>
              </w:rPr>
              <w:t>—</w:t>
            </w:r>
          </w:p>
        </w:tc>
      </w:tr>
      <w:tr w14:paraId="11B384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83155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3D31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E3AE3">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65744">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05813">
            <w:pPr>
              <w:jc w:val="center"/>
            </w:pPr>
            <w:r>
              <w:rPr>
                <w:rFonts w:ascii="宋体" w:hAnsi="宋体" w:eastAsia="宋体"/>
                <w:sz w:val="16"/>
              </w:rPr>
              <w:t>0.22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8291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7E1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07175">
            <w:pPr>
              <w:jc w:val="center"/>
            </w:pPr>
            <w:r>
              <w:rPr>
                <w:rFonts w:ascii="宋体" w:hAnsi="宋体" w:eastAsia="宋体"/>
                <w:sz w:val="16"/>
              </w:rPr>
              <w:t>—</w:t>
            </w:r>
          </w:p>
        </w:tc>
      </w:tr>
      <w:tr w14:paraId="2BF25E0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1E535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209CC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D7D610">
            <w:pPr>
              <w:jc w:val="center"/>
            </w:pPr>
            <w:r>
              <w:rPr>
                <w:rFonts w:ascii="宋体" w:hAnsi="宋体" w:eastAsia="宋体"/>
                <w:sz w:val="16"/>
              </w:rPr>
              <w:t>实际完成情况</w:t>
            </w:r>
          </w:p>
        </w:tc>
      </w:tr>
      <w:tr w14:paraId="3FBEC0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DC351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390C35">
            <w:pPr>
              <w:jc w:val="both"/>
            </w:pPr>
            <w:r>
              <w:rPr>
                <w:rFonts w:ascii="宋体" w:hAnsi="宋体" w:eastAsia="宋体"/>
                <w:sz w:val="16"/>
              </w:rPr>
              <w:t>项目资金50万元，其中：财政资金0万元，其他资金50万元。主要用于单位开展日常工作所产生的印刷费，过路费、手续费以及工资财政负担等支出。为进一步补齐国土空间规划研究中心工作短板，提升其他资金管理工作质量，能够保障单位正常运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08E36C">
            <w:pPr>
              <w:jc w:val="both"/>
            </w:pPr>
            <w:r>
              <w:rPr>
                <w:rFonts w:ascii="宋体" w:hAnsi="宋体" w:eastAsia="宋体"/>
                <w:sz w:val="16"/>
              </w:rPr>
              <w:t>单位其他资金账户结余50万元，其中：财政资金0万元，其他资金50万元。全国第三次国土变更调查工作过程中产生的过路费及银行手续费支出0.22万元。</w:t>
            </w:r>
          </w:p>
        </w:tc>
      </w:tr>
      <w:tr w14:paraId="571F59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280BC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42FC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8316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C4DC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E56C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5AFF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B4B1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5DE3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760B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091A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70C0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A9F2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941C5">
            <w:pPr>
              <w:jc w:val="center"/>
            </w:pPr>
            <w:r>
              <w:rPr>
                <w:rFonts w:ascii="宋体" w:hAnsi="宋体" w:eastAsia="宋体"/>
                <w:sz w:val="16"/>
              </w:rPr>
              <w:t>偏差原因分析及改进措施</w:t>
            </w:r>
          </w:p>
        </w:tc>
      </w:tr>
      <w:tr w14:paraId="6D26F2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8D671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E27E7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38FBA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C7889">
            <w:pPr>
              <w:jc w:val="center"/>
            </w:pPr>
            <w:r>
              <w:rPr>
                <w:rFonts w:ascii="宋体" w:hAnsi="宋体" w:eastAsia="宋体"/>
                <w:sz w:val="16"/>
              </w:rPr>
              <w:t>打印三调图纸（张）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34139">
            <w:pPr>
              <w:jc w:val="center"/>
            </w:pPr>
            <w:r>
              <w:rPr>
                <w:rFonts w:ascii="宋体" w:hAnsi="宋体" w:eastAsia="宋体"/>
                <w:sz w:val="16"/>
              </w:rPr>
              <w:t>&gt;=3500张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CA5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3FC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5DE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FEA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860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E49AE">
            <w:pPr>
              <w:jc w:val="center"/>
            </w:pPr>
            <w:r>
              <w:rPr>
                <w:rFonts w:ascii="宋体" w:hAnsi="宋体" w:eastAsia="宋体"/>
                <w:sz w:val="16"/>
              </w:rPr>
              <w:t>=0张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A95B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06268">
            <w:pPr>
              <w:jc w:val="center"/>
            </w:pPr>
            <w:r>
              <w:rPr>
                <w:rFonts w:ascii="宋体" w:hAnsi="宋体" w:eastAsia="宋体"/>
                <w:sz w:val="16"/>
              </w:rPr>
              <w:t>偏差原因：本年度没有进行该项目；改进措施：今后做好预算编制。</w:t>
            </w:r>
          </w:p>
        </w:tc>
      </w:tr>
      <w:tr w14:paraId="24D7FC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F25E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6A39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99E1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69ACC">
            <w:pPr>
              <w:jc w:val="center"/>
            </w:pPr>
            <w:r>
              <w:rPr>
                <w:rFonts w:ascii="宋体" w:hAnsi="宋体" w:eastAsia="宋体"/>
                <w:sz w:val="16"/>
              </w:rPr>
              <w:t>全国第三次国土调查变更次数（次）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96BCF">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6AA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4CC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6D4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C09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526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8ED13">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A53D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8DAAF">
            <w:pPr>
              <w:jc w:val="center"/>
            </w:pPr>
            <w:r>
              <w:rPr>
                <w:rFonts w:ascii="宋体" w:hAnsi="宋体" w:eastAsia="宋体"/>
                <w:sz w:val="16"/>
              </w:rPr>
              <w:t>偏差原因：本年度没有进行该项目；改进措施：今后做好预算编制。</w:t>
            </w:r>
          </w:p>
        </w:tc>
      </w:tr>
      <w:tr w14:paraId="5D5728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1D23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1192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048A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4897F">
            <w:pPr>
              <w:jc w:val="center"/>
            </w:pPr>
            <w:r>
              <w:rPr>
                <w:rFonts w:ascii="宋体" w:hAnsi="宋体" w:eastAsia="宋体"/>
                <w:sz w:val="16"/>
              </w:rPr>
              <w:t>国家核查验收合格率（%）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D7F2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3CD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FD5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C4C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A40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489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B969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A56A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1D1D7">
            <w:pPr>
              <w:jc w:val="center"/>
            </w:pPr>
            <w:r>
              <w:rPr>
                <w:rFonts w:ascii="宋体" w:hAnsi="宋体" w:eastAsia="宋体"/>
                <w:sz w:val="16"/>
              </w:rPr>
              <w:t>偏差原因：本年度没有进行该项目；改进措施：今后做好预算编制。</w:t>
            </w:r>
          </w:p>
        </w:tc>
      </w:tr>
      <w:tr w14:paraId="7E6FCFAE">
        <w:tblPrEx>
          <w:tblCellMar>
            <w:top w:w="0" w:type="dxa"/>
            <w:left w:w="108" w:type="dxa"/>
            <w:bottom w:w="0" w:type="dxa"/>
            <w:right w:w="108" w:type="dxa"/>
          </w:tblCellMar>
        </w:tblPrEx>
        <w:trPr>
          <w:trHeight w:val="623"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6288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52AE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BC25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59AD2">
            <w:pPr>
              <w:jc w:val="center"/>
            </w:pPr>
            <w:r>
              <w:rPr>
                <w:rFonts w:ascii="宋体" w:hAnsi="宋体" w:eastAsia="宋体"/>
                <w:sz w:val="16"/>
              </w:rPr>
              <w:t>开展专项用地调查与评价工作进度（%）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928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545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531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944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652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98F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327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11B2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212AF">
            <w:pPr>
              <w:jc w:val="center"/>
            </w:pPr>
            <w:r>
              <w:rPr>
                <w:rFonts w:ascii="宋体" w:hAnsi="宋体" w:eastAsia="宋体"/>
                <w:sz w:val="16"/>
              </w:rPr>
              <w:t>偏差原因：本年度没有进行该项目；改进措施：今后做好预算编制。</w:t>
            </w:r>
          </w:p>
        </w:tc>
      </w:tr>
      <w:tr w14:paraId="59384E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A046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1334F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C530A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FD1DF">
            <w:pPr>
              <w:jc w:val="center"/>
            </w:pPr>
            <w:r>
              <w:rPr>
                <w:rFonts w:ascii="宋体" w:hAnsi="宋体" w:eastAsia="宋体"/>
                <w:sz w:val="16"/>
              </w:rPr>
              <w:t>工作经费（万元）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01ECA">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239B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F3B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746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F05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003C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0A2C9">
            <w:pPr>
              <w:jc w:val="center"/>
            </w:pPr>
            <w:r>
              <w:rPr>
                <w:rFonts w:ascii="宋体" w:hAnsi="宋体" w:eastAsia="宋体"/>
                <w:sz w:val="16"/>
              </w:rPr>
              <w:t>=0.22万元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F3CC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43B23">
            <w:pPr>
              <w:jc w:val="center"/>
            </w:pPr>
            <w:r>
              <w:rPr>
                <w:rFonts w:ascii="宋体" w:hAnsi="宋体" w:eastAsia="宋体"/>
                <w:sz w:val="16"/>
              </w:rPr>
              <w:t>偏差原因：本年度没有进行该项目；改进措施：今后做好预算编制。</w:t>
            </w:r>
          </w:p>
        </w:tc>
      </w:tr>
      <w:tr w14:paraId="7C6801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9FEF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8D2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5FA3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F7027">
            <w:pPr>
              <w:jc w:val="center"/>
            </w:pPr>
            <w:r>
              <w:rPr>
                <w:rFonts w:ascii="宋体" w:hAnsi="宋体" w:eastAsia="宋体"/>
                <w:sz w:val="16"/>
              </w:rPr>
              <w:t>印刷图纸费用（万元）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B8133">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EB4B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8DC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1A0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669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BF18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490A7">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D11E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D4052">
            <w:pPr>
              <w:jc w:val="center"/>
            </w:pPr>
            <w:r>
              <w:rPr>
                <w:rFonts w:ascii="宋体" w:hAnsi="宋体" w:eastAsia="宋体"/>
                <w:sz w:val="16"/>
              </w:rPr>
              <w:t>偏差原因：本年度没有进行该项目；改进措施：今后做好预算编制。</w:t>
            </w:r>
          </w:p>
        </w:tc>
      </w:tr>
      <w:tr w14:paraId="480CEE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CA72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A732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4C0C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F7E8C">
            <w:pPr>
              <w:jc w:val="center"/>
            </w:pPr>
            <w:r>
              <w:rPr>
                <w:rFonts w:ascii="宋体" w:hAnsi="宋体" w:eastAsia="宋体"/>
                <w:sz w:val="16"/>
              </w:rPr>
              <w:t>提升自然资源管理工作成效（%）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DA30A">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462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37B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0A92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DDB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9E55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2A0F9">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6B92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1032D">
            <w:pPr>
              <w:jc w:val="center"/>
            </w:pPr>
            <w:r>
              <w:rPr>
                <w:rFonts w:ascii="宋体" w:hAnsi="宋体" w:eastAsia="宋体"/>
                <w:sz w:val="16"/>
              </w:rPr>
              <w:t>偏差原因：本年度没有进行该项目；改进措施：今后做好预算编制。</w:t>
            </w:r>
          </w:p>
        </w:tc>
      </w:tr>
      <w:tr w14:paraId="2FB7B6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9280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1213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5AD2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137B3">
            <w:pPr>
              <w:jc w:val="center"/>
            </w:pPr>
            <w:r>
              <w:rPr>
                <w:rFonts w:ascii="宋体" w:hAnsi="宋体" w:eastAsia="宋体"/>
                <w:sz w:val="16"/>
              </w:rPr>
              <w:t>上级部门满意度（%）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9858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D03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B6D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803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147B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06E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3D18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B8F3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15F63">
            <w:pPr>
              <w:jc w:val="center"/>
            </w:pPr>
            <w:r>
              <w:rPr>
                <w:rFonts w:ascii="宋体" w:hAnsi="宋体" w:eastAsia="宋体"/>
                <w:sz w:val="16"/>
              </w:rPr>
              <w:t>偏差原因：本年度没有进行该项目；改进措施：今后做好预算编制。</w:t>
            </w:r>
          </w:p>
        </w:tc>
      </w:tr>
      <w:tr w14:paraId="7503C7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1C4A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45D4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1AD0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E98A79">
            <w:pPr>
              <w:jc w:val="center"/>
            </w:pPr>
            <w:r>
              <w:rPr>
                <w:rFonts w:ascii="宋体" w:hAnsi="宋体" w:eastAsia="宋体"/>
                <w:sz w:val="16"/>
              </w:rPr>
              <w:t>0分</w:t>
            </w:r>
          </w:p>
        </w:tc>
      </w:tr>
    </w:tbl>
    <w:p w14:paraId="0634A54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B477B3C">
        <w:tblPrEx>
          <w:tblCellMar>
            <w:top w:w="0" w:type="dxa"/>
            <w:left w:w="108" w:type="dxa"/>
            <w:bottom w:w="0" w:type="dxa"/>
            <w:right w:w="108" w:type="dxa"/>
          </w:tblCellMar>
        </w:tblPrEx>
        <w:tc>
          <w:tcPr>
            <w:tcW w:w="8848" w:type="dxa"/>
            <w:gridSpan w:val="14"/>
            <w:vAlign w:val="center"/>
          </w:tcPr>
          <w:p w14:paraId="767AEB89">
            <w:pPr>
              <w:jc w:val="center"/>
            </w:pPr>
            <w:r>
              <w:rPr>
                <w:rFonts w:ascii="宋体" w:hAnsi="宋体" w:eastAsia="宋体"/>
                <w:sz w:val="24"/>
              </w:rPr>
              <w:t>项目支出绩效自评表</w:t>
            </w:r>
          </w:p>
        </w:tc>
      </w:tr>
      <w:tr w14:paraId="1379F2FE">
        <w:tblPrEx>
          <w:tblCellMar>
            <w:top w:w="0" w:type="dxa"/>
            <w:left w:w="108" w:type="dxa"/>
            <w:bottom w:w="0" w:type="dxa"/>
            <w:right w:w="108" w:type="dxa"/>
          </w:tblCellMar>
        </w:tblPrEx>
        <w:tc>
          <w:tcPr>
            <w:tcW w:w="8848" w:type="dxa"/>
            <w:gridSpan w:val="14"/>
            <w:vAlign w:val="center"/>
          </w:tcPr>
          <w:p w14:paraId="5CDADDE7">
            <w:pPr>
              <w:jc w:val="center"/>
            </w:pPr>
            <w:r>
              <w:rPr>
                <w:rFonts w:ascii="宋体" w:hAnsi="宋体" w:eastAsia="宋体"/>
                <w:sz w:val="24"/>
              </w:rPr>
              <w:t>(2024年度)</w:t>
            </w:r>
          </w:p>
        </w:tc>
      </w:tr>
      <w:tr w14:paraId="30470EE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F476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487AA84">
            <w:pPr>
              <w:jc w:val="center"/>
            </w:pPr>
            <w:r>
              <w:rPr>
                <w:rFonts w:ascii="宋体" w:hAnsi="宋体" w:eastAsia="宋体"/>
                <w:sz w:val="16"/>
              </w:rPr>
              <w:t>国土规划工作经费</w:t>
            </w:r>
          </w:p>
        </w:tc>
      </w:tr>
      <w:tr w14:paraId="15146D5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10ED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669E39">
            <w:pPr>
              <w:jc w:val="center"/>
            </w:pPr>
            <w:r>
              <w:rPr>
                <w:rFonts w:ascii="宋体" w:hAnsi="宋体" w:eastAsia="宋体"/>
                <w:sz w:val="16"/>
              </w:rPr>
              <w:t>克孜勒苏柯尔克孜自治州自然资源局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043E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81E06C">
            <w:pPr>
              <w:jc w:val="center"/>
            </w:pPr>
            <w:r>
              <w:rPr>
                <w:rFonts w:ascii="宋体" w:hAnsi="宋体" w:eastAsia="宋体"/>
                <w:sz w:val="16"/>
              </w:rPr>
              <w:t>克孜勒苏柯尔克孜自治州国土空间规划研究中心</w:t>
            </w:r>
          </w:p>
        </w:tc>
      </w:tr>
      <w:tr w14:paraId="692D514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79341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F3DB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D131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BBA9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F948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96FB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57C1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C4661">
            <w:pPr>
              <w:jc w:val="center"/>
            </w:pPr>
            <w:r>
              <w:rPr>
                <w:rFonts w:ascii="宋体" w:hAnsi="宋体" w:eastAsia="宋体"/>
                <w:sz w:val="16"/>
              </w:rPr>
              <w:t>得分</w:t>
            </w:r>
          </w:p>
        </w:tc>
      </w:tr>
      <w:tr w14:paraId="55203E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123AC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F822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79AB4">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DD388">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AF70E">
            <w:pPr>
              <w:jc w:val="center"/>
            </w:pPr>
            <w:r>
              <w:rPr>
                <w:rFonts w:ascii="宋体" w:hAnsi="宋体" w:eastAsia="宋体"/>
                <w:sz w:val="16"/>
              </w:rPr>
              <w:t>35.60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F87D4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F64F4">
            <w:pPr>
              <w:jc w:val="center"/>
            </w:pPr>
            <w:r>
              <w:rPr>
                <w:rFonts w:ascii="宋体" w:hAnsi="宋体" w:eastAsia="宋体"/>
                <w:sz w:val="16"/>
              </w:rPr>
              <w:t>89.0%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8FF32">
            <w:pPr>
              <w:jc w:val="center"/>
            </w:pPr>
            <w:r>
              <w:rPr>
                <w:rFonts w:ascii="宋体" w:hAnsi="宋体" w:eastAsia="宋体"/>
                <w:sz w:val="16"/>
              </w:rPr>
              <w:t>7.25分</w:t>
            </w:r>
          </w:p>
        </w:tc>
      </w:tr>
      <w:tr w14:paraId="07F8DF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5CF3B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0932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63475">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AE33A">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EA7F3">
            <w:pPr>
              <w:jc w:val="center"/>
            </w:pPr>
            <w:r>
              <w:rPr>
                <w:rFonts w:ascii="宋体" w:hAnsi="宋体" w:eastAsia="宋体"/>
                <w:sz w:val="16"/>
              </w:rPr>
              <w:t>35.60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B9AFF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BB0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93B42">
            <w:pPr>
              <w:jc w:val="center"/>
            </w:pPr>
            <w:r>
              <w:rPr>
                <w:rFonts w:ascii="宋体" w:hAnsi="宋体" w:eastAsia="宋体"/>
                <w:sz w:val="16"/>
              </w:rPr>
              <w:t>—</w:t>
            </w:r>
          </w:p>
        </w:tc>
      </w:tr>
      <w:tr w14:paraId="022AF6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A167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83C8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5E13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4D49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928F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494C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EAB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9BC6F">
            <w:pPr>
              <w:jc w:val="center"/>
            </w:pPr>
            <w:r>
              <w:rPr>
                <w:rFonts w:ascii="宋体" w:hAnsi="宋体" w:eastAsia="宋体"/>
                <w:sz w:val="16"/>
              </w:rPr>
              <w:t>—</w:t>
            </w:r>
          </w:p>
        </w:tc>
      </w:tr>
      <w:tr w14:paraId="4641E79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5CE44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43670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6204A7">
            <w:pPr>
              <w:jc w:val="center"/>
            </w:pPr>
            <w:r>
              <w:rPr>
                <w:rFonts w:ascii="宋体" w:hAnsi="宋体" w:eastAsia="宋体"/>
                <w:sz w:val="16"/>
              </w:rPr>
              <w:t>实际完成情况</w:t>
            </w:r>
          </w:p>
        </w:tc>
      </w:tr>
      <w:tr w14:paraId="42BF17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FC7DD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EF3BB4">
            <w:pPr>
              <w:jc w:val="both"/>
            </w:pPr>
            <w:r>
              <w:rPr>
                <w:rFonts w:ascii="宋体" w:hAnsi="宋体" w:eastAsia="宋体"/>
                <w:sz w:val="16"/>
              </w:rPr>
              <w:t>该项工作财政拨款资金40万元，该项目按照自治区党委“1+3+3+改革开放”工作部署，坚持“</w:t>
            </w:r>
            <w:r>
              <w:rPr>
                <w:rFonts w:hint="eastAsia" w:ascii="宋体" w:hAnsi="宋体"/>
                <w:sz w:val="16"/>
                <w:lang w:eastAsia="zh-CN"/>
              </w:rPr>
              <w:t>创新、协调、绿色、开放、共享</w:t>
            </w:r>
            <w:r>
              <w:rPr>
                <w:rFonts w:ascii="宋体" w:hAnsi="宋体" w:eastAsia="宋体"/>
                <w:sz w:val="16"/>
              </w:rPr>
              <w:t>”新发展理念，按照高质量发展和高品质生活要求，坚持自上而下，上下联动，协调推进，兵地融合，统一规划的原则，统领各类空间，发挥国土空间规划的战略引领和刚性管控作用，有效提升国土空间治理能力，推动克州经济社会发展更高质量，更有效率，更加公平，更加持续。</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E1B14B">
            <w:pPr>
              <w:jc w:val="both"/>
            </w:pPr>
            <w:r>
              <w:rPr>
                <w:rFonts w:ascii="宋体" w:hAnsi="宋体" w:eastAsia="宋体"/>
                <w:sz w:val="16"/>
              </w:rPr>
              <w:t>截至2024年12月31日，已完成：国土规划修编数量45个，下发违法违规农村乱占耕地图板次数4次，州级年度国土变更4次，卫片图版下发审核次数20次；通过该项目实施，一是制作153个克州地质灾害隐患点分布图，为州党委、人民政府</w:t>
            </w:r>
            <w:r>
              <w:rPr>
                <w:rFonts w:hint="eastAsia" w:ascii="宋体" w:hAnsi="宋体"/>
                <w:sz w:val="16"/>
                <w:lang w:eastAsia="zh-CN"/>
              </w:rPr>
              <w:t>招商引资</w:t>
            </w:r>
            <w:r>
              <w:rPr>
                <w:rFonts w:ascii="宋体" w:hAnsi="宋体" w:eastAsia="宋体"/>
                <w:sz w:val="16"/>
              </w:rPr>
              <w:t>提供技术支撑，制作克州矿产分布图、阿克陶县木吉-布伦口一带伟晶岩区域分布图、克州新能源分布图等。二是配合州自然资源局对国家部级协调机制办公室推送克州农村乱占耕地建房问题专项整治5305个重复图斑进行审核。 二是对克州2021年农用地转建设用地3288个图斑，2022年3947个图斑进行核查。 三是对2012年至2021年“三县一市”1</w:t>
            </w:r>
            <w:r>
              <w:rPr>
                <w:rFonts w:hint="eastAsia" w:ascii="宋体" w:hAnsi="宋体"/>
                <w:sz w:val="16"/>
                <w:lang w:eastAsia="zh-CN"/>
              </w:rPr>
              <w:t>:</w:t>
            </w:r>
            <w:r>
              <w:rPr>
                <w:rFonts w:ascii="宋体" w:hAnsi="宋体" w:eastAsia="宋体"/>
                <w:sz w:val="16"/>
              </w:rPr>
              <w:t>1万纸质版地形图进行分类整理归档工作（共1305幅图）。 三是对克州2021年4517个新增建设用地图斑进行地类分析，初步核实，有无合法手续，做到了提前预</w:t>
            </w:r>
            <w:r>
              <w:rPr>
                <w:rFonts w:hint="eastAsia" w:ascii="宋体" w:hAnsi="宋体"/>
                <w:sz w:val="16"/>
                <w:lang w:eastAsia="zh-CN"/>
              </w:rPr>
              <w:t>判</w:t>
            </w:r>
            <w:r>
              <w:rPr>
                <w:rFonts w:ascii="宋体" w:hAnsi="宋体" w:eastAsia="宋体"/>
                <w:sz w:val="16"/>
              </w:rPr>
              <w:t>，降低违法比例。四是发挥包联单位后盾作用，对亚维勒克村2023年底实施的高标准农田项目22个地块进行实地勘测，实地地块面积为1622亩，为发放农民群众土地承包费用提供准确数据保障。</w:t>
            </w:r>
          </w:p>
        </w:tc>
      </w:tr>
      <w:tr w14:paraId="7BD70C4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F7FC3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287F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4772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D6E0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1415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0045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F064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F64C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FE56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8410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4693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0735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B1F54">
            <w:pPr>
              <w:jc w:val="center"/>
            </w:pPr>
            <w:r>
              <w:rPr>
                <w:rFonts w:ascii="宋体" w:hAnsi="宋体" w:eastAsia="宋体"/>
                <w:sz w:val="16"/>
              </w:rPr>
              <w:t>偏差原因分析及改进措施</w:t>
            </w:r>
          </w:p>
        </w:tc>
      </w:tr>
      <w:tr w14:paraId="7DF9840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7D738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FF98E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87053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E35B7">
            <w:pPr>
              <w:jc w:val="center"/>
            </w:pPr>
            <w:r>
              <w:rPr>
                <w:rFonts w:ascii="宋体" w:hAnsi="宋体" w:eastAsia="宋体"/>
                <w:sz w:val="16"/>
              </w:rPr>
              <w:t>国土规划修编数量（个）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40F9D">
            <w:pPr>
              <w:jc w:val="center"/>
            </w:pPr>
            <w:r>
              <w:rPr>
                <w:rFonts w:ascii="宋体" w:hAnsi="宋体" w:eastAsia="宋体"/>
                <w:sz w:val="16"/>
              </w:rPr>
              <w:t>&gt;=50个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86B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292CF">
            <w:pPr>
              <w:jc w:val="center"/>
            </w:pPr>
            <w:r>
              <w:rPr>
                <w:rFonts w:ascii="宋体" w:hAnsi="宋体" w:eastAsia="宋体"/>
                <w:sz w:val="16"/>
              </w:rPr>
              <w:t>25个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1DCE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EB1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5EE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01F23">
            <w:pPr>
              <w:jc w:val="center"/>
            </w:pPr>
            <w:r>
              <w:rPr>
                <w:rFonts w:ascii="宋体" w:hAnsi="宋体" w:eastAsia="宋体"/>
                <w:sz w:val="16"/>
              </w:rPr>
              <w:t>=45个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0C133">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E71F2">
            <w:pPr>
              <w:jc w:val="center"/>
            </w:pPr>
            <w:r>
              <w:rPr>
                <w:rFonts w:ascii="宋体" w:hAnsi="宋体" w:eastAsia="宋体"/>
                <w:sz w:val="16"/>
              </w:rPr>
              <w:t>偏差原因：该项目实施过程有些发票未按时提供，无法支出，导致偏差；改进措施：以后按时支出。</w:t>
            </w:r>
          </w:p>
        </w:tc>
      </w:tr>
      <w:tr w14:paraId="0A4E11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06F0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0349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72D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B6D37">
            <w:pPr>
              <w:jc w:val="center"/>
            </w:pPr>
            <w:r>
              <w:rPr>
                <w:rFonts w:ascii="宋体" w:hAnsi="宋体" w:eastAsia="宋体"/>
                <w:sz w:val="16"/>
              </w:rPr>
              <w:t>下发违法违规农村乱占耕地图板次数（次）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0D9F1">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1FD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50745">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F875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57B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708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A716F">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B7F60">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244B1">
            <w:pPr>
              <w:jc w:val="center"/>
            </w:pPr>
          </w:p>
        </w:tc>
      </w:tr>
      <w:tr w14:paraId="4F7836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4F4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1B39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97EF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3C620">
            <w:pPr>
              <w:jc w:val="center"/>
            </w:pPr>
            <w:r>
              <w:rPr>
                <w:rFonts w:ascii="宋体" w:hAnsi="宋体" w:eastAsia="宋体"/>
                <w:sz w:val="16"/>
              </w:rPr>
              <w:t>州级年度国土变更（次）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9B422">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7F4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719A8">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8034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A26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F58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1DD01">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6E62D">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DF874">
            <w:pPr>
              <w:jc w:val="center"/>
            </w:pPr>
          </w:p>
        </w:tc>
      </w:tr>
      <w:tr w14:paraId="31909A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AD39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FF19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CA41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BB10F">
            <w:pPr>
              <w:jc w:val="center"/>
            </w:pPr>
            <w:r>
              <w:rPr>
                <w:rFonts w:ascii="宋体" w:hAnsi="宋体" w:eastAsia="宋体"/>
                <w:sz w:val="16"/>
              </w:rPr>
              <w:t>卫片图版下发审核次数（次）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E540F">
            <w:pPr>
              <w:jc w:val="center"/>
            </w:pPr>
            <w:r>
              <w:rPr>
                <w:rFonts w:ascii="宋体" w:hAnsi="宋体" w:eastAsia="宋体"/>
                <w:sz w:val="16"/>
              </w:rPr>
              <w:t>&gt;=20次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6CB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F5D9D">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DF06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7ED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72F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A6F6A">
            <w:pPr>
              <w:jc w:val="center"/>
            </w:pPr>
            <w:r>
              <w:rPr>
                <w:rFonts w:ascii="宋体" w:hAnsi="宋体" w:eastAsia="宋体"/>
                <w:sz w:val="16"/>
              </w:rPr>
              <w: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421CF">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D40C3">
            <w:pPr>
              <w:jc w:val="center"/>
            </w:pPr>
          </w:p>
        </w:tc>
      </w:tr>
      <w:tr w14:paraId="330097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BABF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9BAB9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9A9D9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C626E">
            <w:pPr>
              <w:jc w:val="center"/>
            </w:pPr>
            <w:r>
              <w:rPr>
                <w:rFonts w:ascii="宋体" w:hAnsi="宋体" w:eastAsia="宋体"/>
                <w:sz w:val="16"/>
              </w:rPr>
              <w:t>下发违法违规农村乱占耕地图板准确率（%）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E6B95">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36B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79F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550F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C3A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A3C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350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EF99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9FFCD">
            <w:pPr>
              <w:jc w:val="center"/>
            </w:pPr>
          </w:p>
        </w:tc>
      </w:tr>
      <w:tr w14:paraId="37B4A4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3EAF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9A61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F3A7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A19FF">
            <w:pPr>
              <w:jc w:val="center"/>
            </w:pPr>
            <w:r>
              <w:rPr>
                <w:rFonts w:ascii="宋体" w:hAnsi="宋体" w:eastAsia="宋体"/>
                <w:sz w:val="16"/>
              </w:rPr>
              <w:t>国土规划修编准确率（%）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BEE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779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B93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43EB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E89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B5F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B79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FAD0E">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D6BCA">
            <w:pPr>
              <w:jc w:val="center"/>
            </w:pPr>
          </w:p>
        </w:tc>
      </w:tr>
      <w:tr w14:paraId="32FF0B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9522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37A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99F4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CB4D4">
            <w:pPr>
              <w:jc w:val="center"/>
            </w:pPr>
            <w:r>
              <w:rPr>
                <w:rFonts w:ascii="宋体" w:hAnsi="宋体" w:eastAsia="宋体"/>
                <w:sz w:val="16"/>
              </w:rPr>
              <w:t>州级年度国土变更通过率（%）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008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815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EEF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A0F5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011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A28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B03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F6F47">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AAC5A">
            <w:pPr>
              <w:jc w:val="center"/>
            </w:pPr>
          </w:p>
        </w:tc>
      </w:tr>
      <w:tr w14:paraId="518A3A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B990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D58B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7F22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86E11">
            <w:pPr>
              <w:jc w:val="center"/>
            </w:pPr>
            <w:r>
              <w:rPr>
                <w:rFonts w:ascii="宋体" w:hAnsi="宋体" w:eastAsia="宋体"/>
                <w:sz w:val="16"/>
              </w:rPr>
              <w:t>卫星图版下发审核通过率（%）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015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5EA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55E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6FB8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304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CDB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5FA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6FD8F">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CBBA7">
            <w:pPr>
              <w:jc w:val="center"/>
            </w:pPr>
          </w:p>
        </w:tc>
      </w:tr>
      <w:tr w14:paraId="348EDA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566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B8E8B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5062E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1E34B">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28F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DE5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58189">
            <w:pPr>
              <w:jc w:val="center"/>
            </w:pPr>
            <w:r>
              <w:rPr>
                <w:rFonts w:ascii="宋体" w:hAnsi="宋体" w:eastAsia="宋体"/>
                <w:sz w:val="16"/>
              </w:rPr>
              <w:t>56.3%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67D4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39A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472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0FC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6B6C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BAF15">
            <w:pPr>
              <w:jc w:val="center"/>
            </w:pPr>
          </w:p>
        </w:tc>
      </w:tr>
      <w:tr w14:paraId="1C31B6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2763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950E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E02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9656A">
            <w:pPr>
              <w:jc w:val="center"/>
            </w:pPr>
            <w:r>
              <w:rPr>
                <w:rFonts w:ascii="宋体" w:hAnsi="宋体" w:eastAsia="宋体"/>
                <w:sz w:val="16"/>
              </w:rPr>
              <w:t>下发违法违规农村乱占耕地图版完成率（%）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1A5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243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4B0E5">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7E79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CA0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2B8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280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4E4E5">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BF068">
            <w:pPr>
              <w:jc w:val="center"/>
            </w:pPr>
          </w:p>
        </w:tc>
      </w:tr>
      <w:tr w14:paraId="5D6935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F910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D485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17DF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36F44">
            <w:pPr>
              <w:jc w:val="center"/>
            </w:pPr>
            <w:r>
              <w:rPr>
                <w:rFonts w:ascii="宋体" w:hAnsi="宋体" w:eastAsia="宋体"/>
                <w:sz w:val="16"/>
              </w:rPr>
              <w:t>国土规划修编</w:t>
            </w:r>
            <w:r>
              <w:rPr>
                <w:rFonts w:hint="eastAsia" w:ascii="宋体" w:hAnsi="宋体"/>
                <w:sz w:val="16"/>
                <w:lang w:eastAsia="zh-CN"/>
              </w:rPr>
              <w:t>完成</w:t>
            </w:r>
            <w:r>
              <w:rPr>
                <w:rFonts w:ascii="宋体" w:hAnsi="宋体" w:eastAsia="宋体"/>
                <w:sz w:val="16"/>
              </w:rPr>
              <w:t>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80E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A3E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5C2E1">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8C88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E61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700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1AA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F96E0">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64BC8">
            <w:pPr>
              <w:jc w:val="center"/>
            </w:pPr>
          </w:p>
        </w:tc>
      </w:tr>
      <w:tr w14:paraId="4F7589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D5557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D34AE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E4B8B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AC0EC">
            <w:pPr>
              <w:jc w:val="center"/>
            </w:pPr>
            <w:r>
              <w:rPr>
                <w:rFonts w:ascii="宋体" w:hAnsi="宋体" w:eastAsia="宋体"/>
                <w:sz w:val="16"/>
              </w:rPr>
              <w:t>委托业务费（万元）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571D0">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1CD7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18077">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D046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6FB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2A6B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28CCB">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EC93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E997A">
            <w:pPr>
              <w:jc w:val="center"/>
            </w:pPr>
            <w:r>
              <w:rPr>
                <w:rFonts w:ascii="宋体" w:hAnsi="宋体" w:eastAsia="宋体"/>
                <w:sz w:val="16"/>
              </w:rPr>
              <w:t>偏差原因：该项目实施过程有些发票未按时提供，无法支出，导致偏差；改进措施：以后按时支出。</w:t>
            </w:r>
          </w:p>
        </w:tc>
      </w:tr>
      <w:tr w14:paraId="1C6C4A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4993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9636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D1A1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148B5">
            <w:pPr>
              <w:jc w:val="center"/>
            </w:pPr>
            <w:r>
              <w:rPr>
                <w:rFonts w:ascii="宋体" w:hAnsi="宋体" w:eastAsia="宋体"/>
                <w:sz w:val="16"/>
              </w:rPr>
              <w:t>国土规划工作经费（万元）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BD654">
            <w:pPr>
              <w:jc w:val="center"/>
            </w:pPr>
            <w:r>
              <w:rPr>
                <w:rFonts w:ascii="宋体" w:hAnsi="宋体" w:eastAsia="宋体"/>
                <w:sz w:val="16"/>
              </w:rPr>
              <w:t>&lt;=25万元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60D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4231C">
            <w:pPr>
              <w:jc w:val="center"/>
            </w:pPr>
            <w:r>
              <w:rPr>
                <w:rFonts w:ascii="宋体" w:hAnsi="宋体" w:eastAsia="宋体"/>
                <w:sz w:val="16"/>
              </w:rPr>
              <w:t>17.52万元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4A33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711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4D1A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2774E">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9A95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8189D">
            <w:pPr>
              <w:jc w:val="center"/>
            </w:pPr>
          </w:p>
        </w:tc>
      </w:tr>
      <w:tr w14:paraId="5A523C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795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0623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0A7B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8048E">
            <w:pPr>
              <w:jc w:val="center"/>
            </w:pPr>
            <w:r>
              <w:rPr>
                <w:rFonts w:ascii="宋体" w:hAnsi="宋体" w:eastAsia="宋体"/>
                <w:sz w:val="16"/>
              </w:rPr>
              <w:t>办公经费（万元）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4BA8F">
            <w:pPr>
              <w:jc w:val="center"/>
            </w:pPr>
            <w:r>
              <w:rPr>
                <w:rFonts w:ascii="宋体" w:hAnsi="宋体" w:eastAsia="宋体"/>
                <w:sz w:val="16"/>
              </w:rPr>
              <w:t>&lt;=11万元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7A8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CA1BD">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A0E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7F0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3361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E890B">
            <w:pPr>
              <w:jc w:val="center"/>
            </w:pPr>
            <w:r>
              <w:rPr>
                <w:rFonts w:ascii="宋体" w:hAnsi="宋体" w:eastAsia="宋体"/>
                <w:sz w:val="16"/>
              </w:rPr>
              <w:t>=10.6万元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2F5CE">
            <w:pPr>
              <w:jc w:val="center"/>
            </w:pPr>
            <w:r>
              <w:rPr>
                <w:rFonts w:ascii="宋体" w:hAnsi="宋体" w:eastAsia="宋体"/>
                <w:sz w:val="16"/>
              </w:rPr>
              <w:t>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3F893">
            <w:pPr>
              <w:jc w:val="center"/>
            </w:pPr>
            <w:r>
              <w:rPr>
                <w:rFonts w:ascii="宋体" w:hAnsi="宋体" w:eastAsia="宋体"/>
                <w:sz w:val="16"/>
              </w:rPr>
              <w:t>偏差原因：该项目实施过程有些发票未按时提供，无法支出，导致偏差；改进措施：以后按时支出。</w:t>
            </w:r>
          </w:p>
        </w:tc>
      </w:tr>
      <w:tr w14:paraId="27811F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EBC6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71B86B">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3D836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C7030">
            <w:pPr>
              <w:jc w:val="center"/>
            </w:pPr>
            <w:r>
              <w:rPr>
                <w:rFonts w:ascii="宋体" w:hAnsi="宋体" w:eastAsia="宋体"/>
                <w:sz w:val="16"/>
              </w:rPr>
              <w:t>保障全州各类项目实施落地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11C25">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1F9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C610D">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AFD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14BA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264A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1D2E6">
            <w:pPr>
              <w:jc w:val="center"/>
            </w:pPr>
            <w:r>
              <w:rPr>
                <w:rFonts w:ascii="宋体" w:hAnsi="宋体" w:eastAsia="宋体"/>
                <w:sz w:val="16"/>
              </w:rPr>
              <w:t>达成年度指标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A8DE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EA136">
            <w:pPr>
              <w:jc w:val="center"/>
            </w:pPr>
            <w:r>
              <w:rPr>
                <w:rFonts w:ascii="宋体" w:hAnsi="宋体" w:eastAsia="宋体"/>
                <w:sz w:val="16"/>
              </w:rPr>
              <w:t>偏差原因：该项目实施过程有些发票未按时提供，无法支出，导致偏差；改进措施：以后按时支出。</w:t>
            </w:r>
          </w:p>
        </w:tc>
      </w:tr>
      <w:tr w14:paraId="13BBEE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DF5F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7CFD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7923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CF15D">
            <w:pPr>
              <w:jc w:val="center"/>
            </w:pPr>
            <w:r>
              <w:rPr>
                <w:rFonts w:ascii="宋体" w:hAnsi="宋体" w:eastAsia="宋体"/>
                <w:sz w:val="16"/>
              </w:rPr>
              <w:t>提升公共服务水平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3752F">
            <w:pPr>
              <w:jc w:val="center"/>
            </w:pPr>
            <w:r>
              <w:rPr>
                <w:rFonts w:ascii="宋体" w:hAnsi="宋体" w:eastAsia="宋体"/>
                <w:sz w:val="16"/>
              </w:rPr>
              <w:t>持续影响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31D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87E2F">
            <w:pPr>
              <w:jc w:val="center"/>
            </w:pPr>
            <w:r>
              <w:rPr>
                <w:rFonts w:ascii="宋体" w:hAnsi="宋体" w:eastAsia="宋体"/>
                <w:sz w:val="16"/>
              </w:rPr>
              <w:t>持续影响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EED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380A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B451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D44EB">
            <w:pPr>
              <w:jc w:val="center"/>
            </w:pPr>
            <w:r>
              <w:rPr>
                <w:rFonts w:ascii="宋体" w:hAnsi="宋体" w:eastAsia="宋体"/>
                <w:sz w:val="16"/>
              </w:rPr>
              <w:t>达成年度指标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F280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C278B">
            <w:pPr>
              <w:jc w:val="center"/>
            </w:pPr>
            <w:r>
              <w:rPr>
                <w:rFonts w:ascii="宋体" w:hAnsi="宋体" w:eastAsia="宋体"/>
                <w:sz w:val="16"/>
              </w:rPr>
              <w:t>偏差原因：该项目实施过程有些发票未按时提供，无法支出，导致偏差；改进措施：以后按时支出。</w:t>
            </w:r>
          </w:p>
        </w:tc>
      </w:tr>
      <w:tr w14:paraId="589557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65E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2C68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7A0F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1D91D">
            <w:pPr>
              <w:jc w:val="center"/>
            </w:pPr>
            <w:r>
              <w:rPr>
                <w:rFonts w:ascii="宋体" w:hAnsi="宋体" w:eastAsia="宋体"/>
                <w:sz w:val="16"/>
              </w:rPr>
              <w:t>上级部门及群众满意度（%）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3A8C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214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BAF4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1E4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A05B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AD7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60F1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EE4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33F3F">
            <w:pPr>
              <w:jc w:val="center"/>
            </w:pPr>
          </w:p>
        </w:tc>
      </w:tr>
      <w:tr w14:paraId="22F8198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4F2A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1271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27BB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7E07E7">
            <w:pPr>
              <w:jc w:val="center"/>
            </w:pPr>
            <w:r>
              <w:rPr>
                <w:rFonts w:ascii="宋体" w:hAnsi="宋体" w:eastAsia="宋体"/>
                <w:sz w:val="16"/>
              </w:rPr>
              <w:t>86.35分</w:t>
            </w:r>
          </w:p>
        </w:tc>
      </w:tr>
    </w:tbl>
    <w:p w14:paraId="348B883C">
      <w:r>
        <w:br w:type="page"/>
      </w:r>
    </w:p>
    <w:p w14:paraId="5B5AA4FC">
      <w:pPr>
        <w:spacing w:line="640" w:lineRule="exact"/>
        <w:ind w:firstLine="640"/>
        <w:jc w:val="both"/>
        <w:outlineLvl w:val="2"/>
      </w:pPr>
      <w:r>
        <w:rPr>
          <w:rFonts w:ascii="黑体" w:hAnsi="黑体" w:eastAsia="黑体"/>
          <w:sz w:val="32"/>
        </w:rPr>
        <w:t>十二、其他需说明的事项</w:t>
      </w:r>
    </w:p>
    <w:p w14:paraId="3E9B05C8">
      <w:pPr>
        <w:spacing w:line="580" w:lineRule="exact"/>
        <w:ind w:firstLine="640"/>
        <w:jc w:val="both"/>
      </w:pPr>
      <w:r>
        <w:rPr>
          <w:rFonts w:ascii="仿宋_GB2312" w:hAnsi="仿宋_GB2312" w:eastAsia="仿宋_GB2312"/>
          <w:b w:val="0"/>
          <w:sz w:val="32"/>
        </w:rPr>
        <w:t>本单位无其他需说明的事项。</w:t>
      </w:r>
    </w:p>
    <w:p w14:paraId="3C9DFABF">
      <w:r>
        <w:br w:type="page"/>
      </w:r>
    </w:p>
    <w:p w14:paraId="050DC47D">
      <w:pPr>
        <w:spacing w:line="240" w:lineRule="auto"/>
        <w:jc w:val="center"/>
        <w:outlineLvl w:val="1"/>
      </w:pPr>
      <w:r>
        <w:rPr>
          <w:rFonts w:ascii="黑体" w:hAnsi="黑体" w:eastAsia="黑体"/>
          <w:sz w:val="32"/>
        </w:rPr>
        <w:t>第三部分 专业名词解释</w:t>
      </w:r>
    </w:p>
    <w:p w14:paraId="5D6F031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F96F5AA">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CD9CDAE">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B41966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F223AB6">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0AFF1E0">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A180978">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5A7E5E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8354080">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D869D0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448EAAE">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3FAB58C">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2F7CB7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0C8D430">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E677CF3">
      <w:r>
        <w:br w:type="page"/>
      </w:r>
    </w:p>
    <w:p w14:paraId="674A93FA">
      <w:pPr>
        <w:spacing w:line="240" w:lineRule="auto"/>
        <w:jc w:val="center"/>
        <w:outlineLvl w:val="1"/>
      </w:pPr>
      <w:r>
        <w:rPr>
          <w:rFonts w:ascii="黑体" w:hAnsi="黑体" w:eastAsia="黑体"/>
          <w:sz w:val="32"/>
        </w:rPr>
        <w:t>第四部分 部门决算报表（见附表）</w:t>
      </w:r>
    </w:p>
    <w:p w14:paraId="2CF1A875">
      <w:pPr>
        <w:spacing w:line="240" w:lineRule="auto"/>
        <w:ind w:firstLine="640"/>
        <w:jc w:val="both"/>
      </w:pPr>
      <w:r>
        <w:rPr>
          <w:rFonts w:ascii="仿宋_GB2312" w:hAnsi="仿宋_GB2312" w:eastAsia="仿宋_GB2312"/>
          <w:b w:val="0"/>
          <w:sz w:val="32"/>
        </w:rPr>
        <w:t>一、《收入支出决算总表》</w:t>
      </w:r>
    </w:p>
    <w:p w14:paraId="78FED931">
      <w:pPr>
        <w:spacing w:line="240" w:lineRule="auto"/>
        <w:ind w:firstLine="640"/>
        <w:jc w:val="both"/>
      </w:pPr>
      <w:r>
        <w:rPr>
          <w:rFonts w:ascii="仿宋_GB2312" w:hAnsi="仿宋_GB2312" w:eastAsia="仿宋_GB2312"/>
          <w:b w:val="0"/>
          <w:sz w:val="32"/>
        </w:rPr>
        <w:t>二、《收入决算表》</w:t>
      </w:r>
    </w:p>
    <w:p w14:paraId="596C41AE">
      <w:pPr>
        <w:spacing w:line="240" w:lineRule="auto"/>
        <w:ind w:firstLine="640"/>
        <w:jc w:val="both"/>
      </w:pPr>
      <w:r>
        <w:rPr>
          <w:rFonts w:ascii="仿宋_GB2312" w:hAnsi="仿宋_GB2312" w:eastAsia="仿宋_GB2312"/>
          <w:b w:val="0"/>
          <w:sz w:val="32"/>
        </w:rPr>
        <w:t>三、《支出决算表》</w:t>
      </w:r>
    </w:p>
    <w:p w14:paraId="2365B583">
      <w:pPr>
        <w:spacing w:line="240" w:lineRule="auto"/>
        <w:ind w:firstLine="640"/>
        <w:jc w:val="both"/>
      </w:pPr>
      <w:r>
        <w:rPr>
          <w:rFonts w:ascii="仿宋_GB2312" w:hAnsi="仿宋_GB2312" w:eastAsia="仿宋_GB2312"/>
          <w:b w:val="0"/>
          <w:sz w:val="32"/>
        </w:rPr>
        <w:t>四、《财政拨款收入支出决算总表》</w:t>
      </w:r>
    </w:p>
    <w:p w14:paraId="6ACB7DC5">
      <w:pPr>
        <w:spacing w:line="240" w:lineRule="auto"/>
        <w:ind w:firstLine="640"/>
        <w:jc w:val="both"/>
      </w:pPr>
      <w:r>
        <w:rPr>
          <w:rFonts w:ascii="仿宋_GB2312" w:hAnsi="仿宋_GB2312" w:eastAsia="仿宋_GB2312"/>
          <w:b w:val="0"/>
          <w:sz w:val="32"/>
        </w:rPr>
        <w:t>五、《一般公共预算财政拨款支出决算表》</w:t>
      </w:r>
    </w:p>
    <w:p w14:paraId="5824CA1C">
      <w:pPr>
        <w:spacing w:line="240" w:lineRule="auto"/>
        <w:ind w:firstLine="640"/>
        <w:jc w:val="both"/>
      </w:pPr>
      <w:r>
        <w:rPr>
          <w:rFonts w:ascii="仿宋_GB2312" w:hAnsi="仿宋_GB2312" w:eastAsia="仿宋_GB2312"/>
          <w:b w:val="0"/>
          <w:sz w:val="32"/>
        </w:rPr>
        <w:t>六、《一般公共预算财政拨款基本支出决算表》</w:t>
      </w:r>
    </w:p>
    <w:p w14:paraId="74D81F59">
      <w:pPr>
        <w:spacing w:line="240" w:lineRule="auto"/>
        <w:ind w:firstLine="640"/>
        <w:jc w:val="both"/>
      </w:pPr>
      <w:r>
        <w:rPr>
          <w:rFonts w:ascii="仿宋_GB2312" w:hAnsi="仿宋_GB2312" w:eastAsia="仿宋_GB2312"/>
          <w:b w:val="0"/>
          <w:sz w:val="32"/>
        </w:rPr>
        <w:t>七、《政府性基金预算财政拨款收入支出决算表》</w:t>
      </w:r>
    </w:p>
    <w:p w14:paraId="3CE387AA">
      <w:pPr>
        <w:spacing w:line="240" w:lineRule="auto"/>
        <w:ind w:firstLine="640"/>
        <w:jc w:val="both"/>
      </w:pPr>
      <w:r>
        <w:rPr>
          <w:rFonts w:ascii="仿宋_GB2312" w:hAnsi="仿宋_GB2312" w:eastAsia="仿宋_GB2312"/>
          <w:b w:val="0"/>
          <w:sz w:val="32"/>
        </w:rPr>
        <w:t>八、《国有资本经营预算财政拨款收入支出决算表》</w:t>
      </w:r>
    </w:p>
    <w:p w14:paraId="5D63E9F2">
      <w:pPr>
        <w:spacing w:line="240" w:lineRule="auto"/>
        <w:ind w:firstLine="640"/>
        <w:jc w:val="both"/>
      </w:pPr>
      <w:r>
        <w:rPr>
          <w:rFonts w:ascii="仿宋_GB2312" w:hAnsi="仿宋_GB2312" w:eastAsia="仿宋_GB2312"/>
          <w:b w:val="0"/>
          <w:sz w:val="32"/>
        </w:rPr>
        <w:t>九、《财政拨款“三公”经费支出决算表》</w:t>
      </w:r>
    </w:p>
    <w:p w14:paraId="7CED7BCE">
      <w:pPr>
        <w:spacing w:line="240" w:lineRule="auto"/>
        <w:ind w:firstLine="640"/>
        <w:jc w:val="both"/>
      </w:pPr>
    </w:p>
    <w:p w14:paraId="06B0AA9D">
      <w:pPr>
        <w:spacing w:line="240" w:lineRule="auto"/>
        <w:ind w:firstLine="640"/>
        <w:jc w:val="both"/>
      </w:pPr>
    </w:p>
    <w:p w14:paraId="3DD5286C">
      <w:pPr>
        <w:spacing w:line="240" w:lineRule="auto"/>
        <w:ind w:firstLine="640"/>
        <w:jc w:val="both"/>
      </w:pPr>
    </w:p>
    <w:p w14:paraId="6C752A10">
      <w:pPr>
        <w:spacing w:line="240" w:lineRule="auto"/>
        <w:ind w:firstLine="640"/>
        <w:jc w:val="both"/>
      </w:pPr>
    </w:p>
    <w:p w14:paraId="73488781">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39A61A7-10B3-4CE1-935A-81E32563FDA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A208E35E-D88F-4018-93E6-CA7EA1E3F439}"/>
  </w:font>
  <w:font w:name="仿宋_GB2312">
    <w:panose1 w:val="02010609030101010101"/>
    <w:charset w:val="86"/>
    <w:family w:val="modern"/>
    <w:pitch w:val="default"/>
    <w:sig w:usb0="00000001" w:usb1="080E0000" w:usb2="00000000" w:usb3="00000000" w:csb0="00040000" w:csb1="00000000"/>
    <w:embedRegular r:id="rId3" w:fontKey="{DCAE4FC7-8261-4AE1-BB75-49248FA3674E}"/>
  </w:font>
  <w:font w:name="楷体_GB2312">
    <w:panose1 w:val="02010609030101010101"/>
    <w:charset w:val="86"/>
    <w:family w:val="auto"/>
    <w:pitch w:val="default"/>
    <w:sig w:usb0="00000001" w:usb1="080E0000" w:usb2="00000000" w:usb3="00000000" w:csb0="00040000" w:csb1="00000000"/>
    <w:embedRegular r:id="rId4" w:fontKey="{472DA7CC-C4ED-4A45-A88C-5B93A672827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7C4402A"/>
    <w:rsid w:val="09A729D8"/>
    <w:rsid w:val="0A3C58E8"/>
    <w:rsid w:val="0A7B4867"/>
    <w:rsid w:val="0B8C3ECC"/>
    <w:rsid w:val="0C3613A3"/>
    <w:rsid w:val="0C7227A7"/>
    <w:rsid w:val="0DCA6EF7"/>
    <w:rsid w:val="0E4B1576"/>
    <w:rsid w:val="0EA04331"/>
    <w:rsid w:val="0F9811B3"/>
    <w:rsid w:val="11E15093"/>
    <w:rsid w:val="120E0809"/>
    <w:rsid w:val="129B4F0D"/>
    <w:rsid w:val="14940F57"/>
    <w:rsid w:val="19071D6C"/>
    <w:rsid w:val="19B5554D"/>
    <w:rsid w:val="1B8F2D19"/>
    <w:rsid w:val="1C317E4F"/>
    <w:rsid w:val="1C472464"/>
    <w:rsid w:val="1DAF458D"/>
    <w:rsid w:val="1E086ACE"/>
    <w:rsid w:val="1E4B3916"/>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5202</Words>
  <Characters>5875</Characters>
  <Lines>0</Lines>
  <Paragraphs>0</Paragraphs>
  <TotalTime>3</TotalTime>
  <ScaleCrop>false</ScaleCrop>
  <LinksUpToDate>false</LinksUpToDate>
  <CharactersWithSpaces>5883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2025-09-02T05:24:21Z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eyJoZGlkIjoiZTEwMTFjZmI3NWUwMGRmYWEyNzFiMzQ2OTlkZWE5ODAiLCJ1c2VySWQiOiI0MzE2NzY3NzkifQ==</vt:lpwstr>
  </property>
</Properties>
</file>