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中共克孜勒苏柯尔克孜自治州委员会教育工作委员会2024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0CB8730">
      <w:r>
        <w:br w:type="page"/>
      </w:r>
    </w:p>
    <w:p w14:paraId="568CB892">
      <w:pPr>
        <w:spacing w:line="640" w:lineRule="exact"/>
        <w:jc w:val="center"/>
        <w:outlineLvl w:val="1"/>
      </w:pPr>
      <w:r>
        <w:rPr>
          <w:rFonts w:ascii="黑体" w:hAnsi="黑体" w:eastAsia="黑体"/>
          <w:sz w:val="32"/>
        </w:rPr>
        <w:t>第一部分 单位概况</w:t>
      </w:r>
    </w:p>
    <w:p w14:paraId="73B14A00">
      <w:pPr>
        <w:spacing w:line="640" w:lineRule="exact"/>
        <w:ind w:firstLine="640"/>
        <w:jc w:val="both"/>
        <w:outlineLvl w:val="2"/>
      </w:pPr>
      <w:r>
        <w:rPr>
          <w:rFonts w:ascii="黑体" w:hAnsi="黑体" w:eastAsia="黑体"/>
          <w:sz w:val="32"/>
        </w:rPr>
        <w:t>一、主要职能</w:t>
      </w:r>
    </w:p>
    <w:p w14:paraId="14B27B01">
      <w:pPr>
        <w:spacing w:line="580" w:lineRule="exact"/>
        <w:ind w:firstLine="640"/>
        <w:jc w:val="both"/>
      </w:pPr>
      <w:r>
        <w:rPr>
          <w:rFonts w:ascii="仿宋_GB2312" w:hAnsi="仿宋_GB2312" w:eastAsia="仿宋_GB2312"/>
          <w:sz w:val="32"/>
        </w:rPr>
        <w:t>负责强化党对教育工作的全面领导,指导教育系统贯彻执行党的路线方针政策,全面贯彻党的教育方针,坚持办学正确政治方向,对教育系统党的建设重大问题进行调查研究,向自治州党委提出意见建议;指导县(市)党委教育工委工作;会同自治州党委组织部,负责自治州党委管理的学校领导班子和人员管理工作,加强学校中层干部管理和</w:t>
      </w:r>
      <w:r>
        <w:rPr>
          <w:rFonts w:hint="eastAsia" w:ascii="仿宋_GB2312" w:hAnsi="仿宋_GB2312" w:eastAsia="仿宋_GB2312"/>
          <w:sz w:val="32"/>
          <w:lang w:eastAsia="zh-CN"/>
        </w:rPr>
        <w:t>后备干部</w:t>
      </w:r>
      <w:r>
        <w:rPr>
          <w:rFonts w:ascii="仿宋_GB2312" w:hAnsi="仿宋_GB2312" w:eastAsia="仿宋_GB2312"/>
          <w:sz w:val="32"/>
        </w:rPr>
        <w:t>队伍建设;指导加强教师队伍建设特别是师德师风建设。</w:t>
      </w:r>
    </w:p>
    <w:p w14:paraId="440EE24C">
      <w:pPr>
        <w:spacing w:line="640" w:lineRule="exact"/>
        <w:ind w:firstLine="640"/>
        <w:jc w:val="both"/>
        <w:outlineLvl w:val="2"/>
      </w:pPr>
      <w:r>
        <w:rPr>
          <w:rFonts w:ascii="黑体" w:hAnsi="黑体" w:eastAsia="黑体"/>
          <w:sz w:val="32"/>
        </w:rPr>
        <w:t>二、机构设置及人员情况</w:t>
      </w:r>
    </w:p>
    <w:p w14:paraId="4D8B781E">
      <w:pPr>
        <w:spacing w:line="580" w:lineRule="exact"/>
        <w:ind w:firstLine="640"/>
        <w:jc w:val="both"/>
      </w:pPr>
      <w:r>
        <w:rPr>
          <w:rFonts w:ascii="仿宋_GB2312" w:hAnsi="仿宋_GB2312" w:eastAsia="仿宋_GB2312"/>
          <w:sz w:val="32"/>
        </w:rPr>
        <w:t>中共克孜勒苏柯尔克孜自治州委员会教育工作委员会2024年度，实有人数8人，其中：在职人员8人，增加0人；离休人员0人，增加0人；退休人员0人,增加0人。</w:t>
      </w:r>
    </w:p>
    <w:p w14:paraId="4A3C074A">
      <w:pPr>
        <w:spacing w:line="580" w:lineRule="exact"/>
        <w:ind w:firstLine="640"/>
        <w:jc w:val="both"/>
      </w:pPr>
      <w:r>
        <w:rPr>
          <w:rFonts w:ascii="仿宋_GB2312" w:hAnsi="仿宋_GB2312" w:eastAsia="仿宋_GB2312"/>
          <w:sz w:val="32"/>
        </w:rPr>
        <w:t>中共克孜勒苏柯尔克孜自治州委员会教育工作委员会无下属预算单位，下设2个科室，分别是：办公室、业务科。</w:t>
      </w:r>
    </w:p>
    <w:p w14:paraId="1FF5F56E">
      <w:r>
        <w:br w:type="page"/>
      </w:r>
    </w:p>
    <w:p w14:paraId="14EDFFE0">
      <w:pPr>
        <w:spacing w:line="240" w:lineRule="auto"/>
        <w:jc w:val="center"/>
        <w:outlineLvl w:val="1"/>
      </w:pPr>
      <w:r>
        <w:rPr>
          <w:rFonts w:ascii="黑体" w:hAnsi="黑体" w:eastAsia="黑体"/>
          <w:sz w:val="32"/>
        </w:rPr>
        <w:t>第二部分 部门决算情况说明</w:t>
      </w:r>
    </w:p>
    <w:p w14:paraId="390902E6">
      <w:pPr>
        <w:spacing w:line="640" w:lineRule="exact"/>
        <w:ind w:firstLine="640"/>
        <w:jc w:val="both"/>
        <w:outlineLvl w:val="2"/>
      </w:pPr>
      <w:r>
        <w:rPr>
          <w:rFonts w:ascii="黑体" w:hAnsi="黑体" w:eastAsia="黑体"/>
          <w:sz w:val="32"/>
        </w:rPr>
        <w:t>一、收入支出决算总体情况说明</w:t>
      </w:r>
    </w:p>
    <w:p w14:paraId="4412F529">
      <w:pPr>
        <w:spacing w:line="580" w:lineRule="exact"/>
        <w:ind w:firstLine="640"/>
        <w:jc w:val="both"/>
      </w:pPr>
      <w:r>
        <w:rPr>
          <w:rFonts w:ascii="仿宋_GB2312" w:hAnsi="仿宋_GB2312" w:eastAsia="仿宋_GB2312"/>
          <w:b/>
          <w:sz w:val="32"/>
        </w:rPr>
        <w:t>2024年度收入总计151.85万元，</w:t>
      </w:r>
      <w:r>
        <w:rPr>
          <w:rFonts w:ascii="仿宋_GB2312" w:hAnsi="仿宋_GB2312" w:eastAsia="仿宋_GB2312"/>
          <w:b w:val="0"/>
          <w:sz w:val="32"/>
        </w:rPr>
        <w:t>其中：本年收入合计151.84万元，使用非财政拨款结余（含专用结余）0.00万元，年初结转和结余0.01万元。</w:t>
      </w:r>
    </w:p>
    <w:p w14:paraId="3C111414">
      <w:pPr>
        <w:spacing w:line="580" w:lineRule="exact"/>
        <w:ind w:firstLine="640"/>
        <w:jc w:val="both"/>
      </w:pPr>
      <w:r>
        <w:rPr>
          <w:rFonts w:ascii="仿宋_GB2312" w:hAnsi="仿宋_GB2312" w:eastAsia="仿宋_GB2312"/>
          <w:b/>
          <w:sz w:val="32"/>
        </w:rPr>
        <w:t>2024年度支出总计151.85万元，</w:t>
      </w:r>
      <w:r>
        <w:rPr>
          <w:rFonts w:ascii="仿宋_GB2312" w:hAnsi="仿宋_GB2312" w:eastAsia="仿宋_GB2312"/>
          <w:b w:val="0"/>
          <w:sz w:val="32"/>
        </w:rPr>
        <w:t>其中：本年支出合计151.85万元，结余分配0.00万元，年末结转和结余0.00万元。</w:t>
      </w:r>
    </w:p>
    <w:p w14:paraId="640B1E2B">
      <w:pPr>
        <w:spacing w:line="580" w:lineRule="exact"/>
        <w:ind w:firstLine="640"/>
        <w:jc w:val="both"/>
      </w:pPr>
      <w:r>
        <w:rPr>
          <w:rFonts w:ascii="仿宋_GB2312" w:hAnsi="仿宋_GB2312" w:eastAsia="仿宋_GB2312"/>
          <w:b w:val="0"/>
          <w:sz w:val="32"/>
        </w:rPr>
        <w:t>收入支出总体与上年相比，增加19.47万元，增长14.71%，主要原因是：本年在职人员工资调增，导致相关人员经费较上年有所增加。</w:t>
      </w:r>
    </w:p>
    <w:p w14:paraId="63BF13F4">
      <w:pPr>
        <w:spacing w:line="640" w:lineRule="exact"/>
        <w:ind w:firstLine="640"/>
        <w:jc w:val="both"/>
        <w:outlineLvl w:val="2"/>
      </w:pPr>
      <w:r>
        <w:rPr>
          <w:rFonts w:ascii="黑体" w:hAnsi="黑体" w:eastAsia="黑体"/>
          <w:sz w:val="32"/>
        </w:rPr>
        <w:t>二、收入决算情况说明</w:t>
      </w:r>
    </w:p>
    <w:p w14:paraId="657A735D">
      <w:pPr>
        <w:spacing w:line="580" w:lineRule="exact"/>
        <w:ind w:firstLine="640"/>
        <w:jc w:val="both"/>
      </w:pPr>
      <w:r>
        <w:rPr>
          <w:rFonts w:ascii="仿宋_GB2312" w:hAnsi="仿宋_GB2312" w:eastAsia="仿宋_GB2312"/>
          <w:b/>
          <w:sz w:val="32"/>
        </w:rPr>
        <w:t>本年收入151.84万元，</w:t>
      </w:r>
      <w:r>
        <w:rPr>
          <w:rFonts w:ascii="仿宋_GB2312" w:hAnsi="仿宋_GB2312" w:eastAsia="仿宋_GB2312"/>
          <w:b w:val="0"/>
          <w:sz w:val="32"/>
        </w:rPr>
        <w:t>其中：财政拨款收入151.82万元，占99.99%；上级补助收入0.00万元，占0.00%；事业收入0.00万元，占0.00%；经营收入0.00万元，占0.00%；附属单位上缴收入0.00万元，占0.00%；其他收入0.02万元，占0.01%。</w:t>
      </w:r>
    </w:p>
    <w:p w14:paraId="2730F752">
      <w:pPr>
        <w:spacing w:line="640" w:lineRule="exact"/>
        <w:ind w:firstLine="640"/>
        <w:jc w:val="both"/>
        <w:outlineLvl w:val="2"/>
      </w:pPr>
      <w:r>
        <w:rPr>
          <w:rFonts w:ascii="黑体" w:hAnsi="黑体" w:eastAsia="黑体"/>
          <w:sz w:val="32"/>
        </w:rPr>
        <w:t>三、支出决算情况说明</w:t>
      </w:r>
    </w:p>
    <w:p w14:paraId="5553C8E1">
      <w:pPr>
        <w:spacing w:line="580" w:lineRule="exact"/>
        <w:ind w:firstLine="640"/>
        <w:jc w:val="both"/>
      </w:pPr>
      <w:r>
        <w:rPr>
          <w:rFonts w:ascii="仿宋_GB2312" w:hAnsi="仿宋_GB2312" w:eastAsia="仿宋_GB2312"/>
          <w:b/>
          <w:sz w:val="32"/>
        </w:rPr>
        <w:t>本年支出151.85万元，</w:t>
      </w:r>
      <w:r>
        <w:rPr>
          <w:rFonts w:ascii="仿宋_GB2312" w:hAnsi="仿宋_GB2312" w:eastAsia="仿宋_GB2312"/>
          <w:b w:val="0"/>
          <w:sz w:val="32"/>
        </w:rPr>
        <w:t>其中：基本支出151.85万元，占100.00%；项目支出0.00万元，占0.00%；上缴上级支出0.00万元，占0.00%；经营支出0.00万元，占0.00%；对附属单位补助支出0.00万元，占0.00%。</w:t>
      </w:r>
    </w:p>
    <w:p w14:paraId="12643C9A">
      <w:pPr>
        <w:spacing w:line="640" w:lineRule="exact"/>
        <w:ind w:firstLine="640"/>
        <w:jc w:val="both"/>
        <w:outlineLvl w:val="2"/>
      </w:pPr>
      <w:r>
        <w:rPr>
          <w:rFonts w:ascii="黑体" w:hAnsi="黑体" w:eastAsia="黑体"/>
          <w:sz w:val="32"/>
        </w:rPr>
        <w:t>四、财政拨款收入支出决算总体情况说明</w:t>
      </w:r>
    </w:p>
    <w:p w14:paraId="03F78C5E">
      <w:pPr>
        <w:spacing w:line="580" w:lineRule="exact"/>
        <w:ind w:firstLine="640"/>
        <w:jc w:val="both"/>
      </w:pPr>
      <w:r>
        <w:rPr>
          <w:rFonts w:ascii="仿宋_GB2312" w:hAnsi="仿宋_GB2312" w:eastAsia="仿宋_GB2312"/>
          <w:b/>
          <w:sz w:val="32"/>
        </w:rPr>
        <w:t>2024年度财政拨款收入总计151.82万元，</w:t>
      </w:r>
      <w:r>
        <w:rPr>
          <w:rFonts w:ascii="仿宋_GB2312" w:hAnsi="仿宋_GB2312" w:eastAsia="仿宋_GB2312"/>
          <w:b w:val="0"/>
          <w:sz w:val="32"/>
        </w:rPr>
        <w:t>其中：年初财政拨款结转和结余0.00万元，本年财政拨款收入151.82万元。</w:t>
      </w:r>
      <w:r>
        <w:rPr>
          <w:rFonts w:ascii="仿宋_GB2312" w:hAnsi="仿宋_GB2312" w:eastAsia="仿宋_GB2312"/>
          <w:b/>
          <w:sz w:val="32"/>
        </w:rPr>
        <w:t>财政拨款支出总计151.82万元，</w:t>
      </w:r>
      <w:r>
        <w:rPr>
          <w:rFonts w:ascii="仿宋_GB2312" w:hAnsi="仿宋_GB2312" w:eastAsia="仿宋_GB2312"/>
          <w:b w:val="0"/>
          <w:sz w:val="32"/>
        </w:rPr>
        <w:t>其中：年末财政拨款结转和结余0.00万元，本年财政拨款支出151.82万元。</w:t>
      </w:r>
    </w:p>
    <w:p w14:paraId="2E92C154">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增加19.49万元，增长14.73%，主要原因是：本年在职人员工资调增，社保、公积金基数调增，人员经费增加。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年初预算数149.43万元，决算数151.82万元，预决算差异率1.60%，主要原因是：年中追加人员工资、社保、公积金基数调增部分资金，导致预决算差异。</w:t>
      </w:r>
    </w:p>
    <w:p w14:paraId="140D0B15">
      <w:pPr>
        <w:spacing w:line="640" w:lineRule="exact"/>
        <w:ind w:firstLine="640"/>
        <w:jc w:val="both"/>
        <w:outlineLvl w:val="2"/>
      </w:pPr>
      <w:r>
        <w:rPr>
          <w:rFonts w:ascii="黑体" w:hAnsi="黑体" w:eastAsia="黑体"/>
          <w:sz w:val="32"/>
        </w:rPr>
        <w:t>五、一般公共预算财政拨款支出决算情况说明</w:t>
      </w:r>
    </w:p>
    <w:p w14:paraId="10C86DFC">
      <w:pPr>
        <w:spacing w:line="640" w:lineRule="exact"/>
        <w:ind w:firstLine="640"/>
        <w:jc w:val="both"/>
        <w:outlineLvl w:val="3"/>
      </w:pPr>
      <w:r>
        <w:rPr>
          <w:rFonts w:ascii="楷体_GB2312" w:hAnsi="楷体_GB2312" w:eastAsia="楷体_GB2312"/>
          <w:b/>
          <w:sz w:val="32"/>
        </w:rPr>
        <w:t>（一）一般公共预算财政拨款支出决算总体情况</w:t>
      </w:r>
    </w:p>
    <w:p w14:paraId="0A650294">
      <w:pPr>
        <w:spacing w:line="580" w:lineRule="exact"/>
        <w:ind w:firstLine="640"/>
        <w:jc w:val="both"/>
      </w:pPr>
      <w:r>
        <w:rPr>
          <w:rFonts w:ascii="仿宋_GB2312" w:hAnsi="仿宋_GB2312" w:eastAsia="仿宋_GB2312"/>
          <w:b/>
          <w:sz w:val="32"/>
        </w:rPr>
        <w:t>2024年度一般公共预算财政拨款支出151.82万元，</w:t>
      </w:r>
      <w:r>
        <w:rPr>
          <w:rFonts w:ascii="仿宋_GB2312" w:hAnsi="仿宋_GB2312" w:eastAsia="仿宋_GB2312"/>
          <w:b w:val="0"/>
          <w:sz w:val="32"/>
        </w:rPr>
        <w:t>占本年支出合计的99.98%。</w:t>
      </w:r>
      <w:r>
        <w:rPr>
          <w:rFonts w:ascii="仿宋_GB2312" w:hAnsi="仿宋_GB2312" w:eastAsia="仿宋_GB2312"/>
          <w:b/>
          <w:sz w:val="32"/>
        </w:rPr>
        <w:t>与上年相比，</w:t>
      </w:r>
      <w:r>
        <w:rPr>
          <w:rFonts w:ascii="仿宋_GB2312" w:hAnsi="仿宋_GB2312" w:eastAsia="仿宋_GB2312"/>
          <w:b w:val="0"/>
          <w:sz w:val="32"/>
        </w:rPr>
        <w:t>增加19.49万元，增长14.73%，主要原因是：本年在职人员工资调增，社保、公积金基数调增，人员经费增加。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年初预算数149.43万元，决算数151.82万元，预决算差异率1.60%，主要原因是：年中追加人员工资、社保、公积金基数调增部分资金，导致预决算差异。</w:t>
      </w:r>
    </w:p>
    <w:p w14:paraId="537DF14B">
      <w:pPr>
        <w:spacing w:line="640" w:lineRule="exact"/>
        <w:ind w:firstLine="640"/>
        <w:jc w:val="both"/>
        <w:outlineLvl w:val="3"/>
      </w:pPr>
      <w:r>
        <w:rPr>
          <w:rFonts w:ascii="楷体_GB2312" w:hAnsi="楷体_GB2312" w:eastAsia="楷体_GB2312"/>
          <w:b/>
          <w:sz w:val="32"/>
        </w:rPr>
        <w:t>（二）一般公共预算财政拨款支出决算结构情况</w:t>
      </w:r>
    </w:p>
    <w:p w14:paraId="625CA71D">
      <w:pPr>
        <w:spacing w:line="580" w:lineRule="exact"/>
        <w:ind w:firstLine="640"/>
        <w:jc w:val="both"/>
      </w:pPr>
      <w:r>
        <w:rPr>
          <w:rFonts w:ascii="仿宋_GB2312" w:hAnsi="仿宋_GB2312" w:eastAsia="仿宋_GB2312"/>
          <w:b w:val="0"/>
          <w:sz w:val="32"/>
        </w:rPr>
        <w:t>1.一般公共服务支出(类)137.16万元,占90.34%。</w:t>
      </w:r>
    </w:p>
    <w:p w14:paraId="6437588A">
      <w:pPr>
        <w:spacing w:line="580" w:lineRule="exact"/>
        <w:ind w:firstLine="640"/>
        <w:jc w:val="both"/>
      </w:pPr>
      <w:r>
        <w:rPr>
          <w:rFonts w:ascii="仿宋_GB2312" w:hAnsi="仿宋_GB2312" w:eastAsia="仿宋_GB2312"/>
          <w:b w:val="0"/>
          <w:sz w:val="32"/>
        </w:rPr>
        <w:t>2.社会保障和就业支出(类)14.66万元,占9.66%。</w:t>
      </w:r>
    </w:p>
    <w:p w14:paraId="7B4D0375">
      <w:pPr>
        <w:spacing w:line="640" w:lineRule="exact"/>
        <w:ind w:firstLine="640"/>
        <w:jc w:val="both"/>
        <w:outlineLvl w:val="3"/>
      </w:pPr>
      <w:r>
        <w:rPr>
          <w:rFonts w:ascii="楷体_GB2312" w:hAnsi="楷体_GB2312" w:eastAsia="楷体_GB2312"/>
          <w:b/>
          <w:sz w:val="32"/>
        </w:rPr>
        <w:t>（三）一般公共预算财政拨款支出决算具体情况</w:t>
      </w:r>
    </w:p>
    <w:p w14:paraId="23D55CD8">
      <w:pPr>
        <w:spacing w:line="580" w:lineRule="exact"/>
        <w:ind w:firstLine="640"/>
        <w:jc w:val="both"/>
      </w:pPr>
      <w:r>
        <w:rPr>
          <w:rFonts w:ascii="仿宋_GB2312" w:hAnsi="仿宋_GB2312" w:eastAsia="仿宋_GB2312"/>
          <w:b w:val="0"/>
          <w:sz w:val="32"/>
        </w:rPr>
        <w:t>1.一般公共服务支出(类)党委办公厅（室）及相关机构事务(款)行政运行(项):支出决算数为137.16万元，比上年决算增加43.77万元，增长46.87%,主要原因是：本年在职人员工资调增，导致相关人员经费较上年有所增加。</w:t>
      </w:r>
    </w:p>
    <w:p w14:paraId="5B7E4B93">
      <w:pPr>
        <w:spacing w:line="580" w:lineRule="exact"/>
        <w:ind w:firstLine="640"/>
        <w:jc w:val="both"/>
      </w:pPr>
      <w:r>
        <w:rPr>
          <w:rFonts w:ascii="仿宋_GB2312" w:hAnsi="仿宋_GB2312" w:eastAsia="仿宋_GB2312"/>
          <w:b w:val="0"/>
          <w:sz w:val="32"/>
        </w:rPr>
        <w:t>2.一般公共服务支出(类)党委办公厅（室）及相关机构事务(款)其他党委办公厅（室）及相关机构事务支出(项):支出决算数为0.00万元，比上年决算减少25.00万元，下降100.00%,主要原因是：本年党务工作者培训班费项目减少。</w:t>
      </w:r>
    </w:p>
    <w:p w14:paraId="1551567C">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14.66万元，比上年决算增加5.92万元，增长67.73%,主要原因是：本年在职人员工资基数调增，养老缴费基数上涨，相应支出增加。</w:t>
      </w:r>
    </w:p>
    <w:p w14:paraId="3F96497A">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4.社会保障和就业支出(类)行政事业单位养老支出(款)机关事业单位职业年金缴费支出(项):支出决算数为0.00万元，比上年决算减少5.19万元，下降100.00%,主要原因是：本年无离职人员，职业年金缴费较上年减少。</w:t>
      </w:r>
    </w:p>
    <w:p w14:paraId="51E43168">
      <w:pPr>
        <w:spacing w:line="640" w:lineRule="exact"/>
        <w:ind w:firstLine="640"/>
        <w:jc w:val="both"/>
        <w:outlineLvl w:val="2"/>
      </w:pPr>
      <w:r>
        <w:rPr>
          <w:rFonts w:ascii="黑体" w:hAnsi="黑体" w:eastAsia="黑体"/>
          <w:sz w:val="32"/>
        </w:rPr>
        <w:t>六、一般公共预算财政拨款基本支出决算情况说明</w:t>
      </w:r>
    </w:p>
    <w:p w14:paraId="4F5FE234">
      <w:pPr>
        <w:spacing w:line="580" w:lineRule="exact"/>
        <w:ind w:firstLine="640"/>
        <w:jc w:val="both"/>
      </w:pPr>
      <w:r>
        <w:rPr>
          <w:rFonts w:ascii="仿宋_GB2312" w:hAnsi="仿宋_GB2312" w:eastAsia="仿宋_GB2312"/>
          <w:b w:val="0"/>
          <w:sz w:val="32"/>
        </w:rPr>
        <w:t>2024年度一般公共预算财政拨款基本支出151.82万元，其中：</w:t>
      </w:r>
      <w:r>
        <w:rPr>
          <w:rFonts w:ascii="仿宋_GB2312" w:hAnsi="仿宋_GB2312" w:eastAsia="仿宋_GB2312"/>
          <w:b/>
          <w:sz w:val="32"/>
        </w:rPr>
        <w:t>人员经费142.70万元，</w:t>
      </w:r>
      <w:r>
        <w:rPr>
          <w:rFonts w:ascii="仿宋_GB2312" w:hAnsi="仿宋_GB2312" w:eastAsia="仿宋_GB2312"/>
          <w:b w:val="0"/>
          <w:sz w:val="32"/>
        </w:rPr>
        <w:t>包括：基本工资、津贴补贴、奖金、机关事业单位基本养老保险缴费、职工基本医疗保险缴费、其他社会保障缴费、住房公积金、其他工资福利支出。</w:t>
      </w:r>
    </w:p>
    <w:p w14:paraId="47233CFE">
      <w:pPr>
        <w:spacing w:line="580" w:lineRule="exact"/>
        <w:ind w:firstLine="640"/>
        <w:jc w:val="both"/>
      </w:pPr>
      <w:r>
        <w:rPr>
          <w:rFonts w:ascii="仿宋_GB2312" w:hAnsi="仿宋_GB2312" w:eastAsia="仿宋_GB2312"/>
          <w:b/>
          <w:sz w:val="32"/>
        </w:rPr>
        <w:t>公用经费9.12万元，</w:t>
      </w:r>
      <w:r>
        <w:rPr>
          <w:rFonts w:ascii="仿宋_GB2312" w:hAnsi="仿宋_GB2312" w:eastAsia="仿宋_GB2312"/>
          <w:b w:val="0"/>
          <w:sz w:val="32"/>
        </w:rPr>
        <w:t>包括：办公费、印刷费、差旅费、维修（护）费、公务接待费、工会经费、福利费、公务用车运行维护费、其他商品和服务支出。</w:t>
      </w:r>
    </w:p>
    <w:p w14:paraId="0A0B211F">
      <w:pPr>
        <w:spacing w:line="640" w:lineRule="exact"/>
        <w:ind w:firstLine="640"/>
        <w:jc w:val="both"/>
        <w:outlineLvl w:val="2"/>
      </w:pPr>
      <w:r>
        <w:rPr>
          <w:rFonts w:ascii="黑体" w:hAnsi="黑体" w:eastAsia="黑体"/>
          <w:sz w:val="32"/>
        </w:rPr>
        <w:t>七、政府性基金预算财政拨款收入支出决算情况说明</w:t>
      </w:r>
    </w:p>
    <w:p w14:paraId="56956116">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7CACCF2">
      <w:pPr>
        <w:spacing w:line="640" w:lineRule="exact"/>
        <w:ind w:firstLine="640"/>
        <w:jc w:val="both"/>
        <w:outlineLvl w:val="2"/>
      </w:pPr>
      <w:r>
        <w:rPr>
          <w:rFonts w:ascii="黑体" w:hAnsi="黑体" w:eastAsia="黑体"/>
          <w:sz w:val="32"/>
        </w:rPr>
        <w:t>八、国有资本经营预算财政拨款收入支出决算情况说明</w:t>
      </w:r>
    </w:p>
    <w:p w14:paraId="189612C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A115E33">
      <w:pPr>
        <w:spacing w:line="640" w:lineRule="exact"/>
        <w:ind w:firstLine="640"/>
        <w:jc w:val="both"/>
        <w:outlineLvl w:val="2"/>
      </w:pPr>
      <w:r>
        <w:rPr>
          <w:rFonts w:ascii="黑体" w:hAnsi="黑体" w:eastAsia="黑体"/>
          <w:sz w:val="32"/>
        </w:rPr>
        <w:t>九、财政拨款“三公”经费支出决算情况说明</w:t>
      </w:r>
    </w:p>
    <w:p w14:paraId="408729EA">
      <w:pPr>
        <w:spacing w:line="580" w:lineRule="exact"/>
        <w:ind w:firstLine="640"/>
        <w:jc w:val="both"/>
      </w:pPr>
      <w:r>
        <w:rPr>
          <w:rFonts w:ascii="仿宋_GB2312" w:hAnsi="仿宋_GB2312" w:eastAsia="仿宋_GB2312"/>
          <w:b/>
          <w:sz w:val="32"/>
        </w:rPr>
        <w:t>2024年度财政拨款“三公”经费支出2.46万元，</w:t>
      </w:r>
      <w:r>
        <w:rPr>
          <w:rFonts w:ascii="仿宋_GB2312" w:hAnsi="仿宋_GB2312" w:eastAsia="仿宋_GB2312"/>
          <w:b w:val="0"/>
          <w:sz w:val="32"/>
        </w:rPr>
        <w:t>比上年减少0.06万元，下降2.38%，主要原因是：严格执行中央八项规定，厉行节约，减少公务接待费。其中：因公出国（境）费支出0.00万元，占0.00%，比上年增加0.00万元，增长0.00%，主要原因是：2023年与2024年均未安排因公出国（境）费支出。公务用车购置及运行维护费支出2.19万元，占89.02%，比上年增加0.04万元，增长1.86%，主要原因是：本年因业务需求，用车次数增加，燃油费增加，导致公务用车运行维护费较上年增加。公务接待费支出0.27万元，占10.98%，比上年减少0.10万元，下降27.03%，主要原因是：严格执行中央八项规定，厉行节约，减少公务接待费。</w:t>
      </w:r>
    </w:p>
    <w:p w14:paraId="0913C8A0">
      <w:pPr>
        <w:spacing w:line="580" w:lineRule="exact"/>
        <w:ind w:firstLine="640"/>
        <w:jc w:val="both"/>
      </w:pPr>
      <w:r>
        <w:rPr>
          <w:rFonts w:ascii="仿宋_GB2312" w:hAnsi="仿宋_GB2312" w:eastAsia="仿宋_GB2312"/>
          <w:b/>
          <w:sz w:val="32"/>
        </w:rPr>
        <w:t>具体情况如下：</w:t>
      </w:r>
    </w:p>
    <w:p w14:paraId="5B1B2E0B">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341B1F0">
      <w:pPr>
        <w:spacing w:line="580" w:lineRule="exact"/>
        <w:ind w:firstLine="640"/>
        <w:jc w:val="both"/>
      </w:pPr>
      <w:r>
        <w:rPr>
          <w:rFonts w:ascii="仿宋_GB2312" w:hAnsi="仿宋_GB2312" w:eastAsia="仿宋_GB2312"/>
          <w:b w:val="0"/>
          <w:sz w:val="32"/>
        </w:rPr>
        <w:t>公务用车购置及运行维护费2.19万元，其中：公务用车购置费0.00万元，公务用车运行维护费2.19万元。公务用车运行维护费开支内容包括车辆加油费、维修费、保险费、审车费、过路费等。公务用车购置数0辆，公务用车保有量2辆。国有资产占用情况中固定资产车辆2辆，与公务用车保有量差异原因是：本单位固定资产车辆与公务用车保有量一致无差异。</w:t>
      </w:r>
    </w:p>
    <w:p w14:paraId="4A99B0B8">
      <w:pPr>
        <w:spacing w:line="580" w:lineRule="exact"/>
        <w:ind w:firstLine="640"/>
        <w:jc w:val="both"/>
      </w:pPr>
      <w:r>
        <w:rPr>
          <w:rFonts w:ascii="仿宋_GB2312" w:hAnsi="仿宋_GB2312" w:eastAsia="仿宋_GB2312"/>
          <w:b w:val="0"/>
          <w:sz w:val="32"/>
        </w:rPr>
        <w:t>公务接待费0.27万元，开支内容包括开展调研及业务活动，交流学习时产生的餐费。单位全年安排的国内公务接待1批次，29人次。</w:t>
      </w:r>
    </w:p>
    <w:p w14:paraId="0BAAE58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2.46万元，决算数2.46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2.19万元，决算数2.19万元，预决算差异率0.00%，主要原因是：严格按照预算执行，预决算无差异。公务接待费全年预算数0.27万元，决算数0.27万元，预决算差异率0.00%，主要原因是：严格按照预算执行，预决算无差异。</w:t>
      </w:r>
    </w:p>
    <w:p w14:paraId="7B768395">
      <w:pPr>
        <w:spacing w:line="640" w:lineRule="exact"/>
        <w:ind w:firstLine="640"/>
        <w:jc w:val="both"/>
        <w:outlineLvl w:val="2"/>
      </w:pPr>
      <w:r>
        <w:rPr>
          <w:rFonts w:ascii="黑体" w:hAnsi="黑体" w:eastAsia="黑体"/>
          <w:sz w:val="32"/>
        </w:rPr>
        <w:t>十、其他重要事项的情况说明</w:t>
      </w:r>
    </w:p>
    <w:p w14:paraId="1804A3F1">
      <w:pPr>
        <w:spacing w:line="640" w:lineRule="exact"/>
        <w:ind w:firstLine="640"/>
        <w:jc w:val="both"/>
        <w:outlineLvl w:val="3"/>
      </w:pPr>
      <w:r>
        <w:rPr>
          <w:rFonts w:ascii="楷体_GB2312" w:hAnsi="楷体_GB2312" w:eastAsia="楷体_GB2312"/>
          <w:b/>
          <w:sz w:val="32"/>
        </w:rPr>
        <w:t>（一）机关运行经费及公用经费支出情况</w:t>
      </w:r>
    </w:p>
    <w:p w14:paraId="10B832A8">
      <w:pPr>
        <w:spacing w:line="580" w:lineRule="exact"/>
        <w:ind w:firstLine="640"/>
        <w:jc w:val="both"/>
      </w:pPr>
      <w:r>
        <w:rPr>
          <w:rFonts w:ascii="仿宋_GB2312" w:hAnsi="仿宋_GB2312" w:eastAsia="仿宋_GB2312"/>
          <w:b w:val="0"/>
          <w:sz w:val="32"/>
        </w:rPr>
        <w:t>2024年度中共克孜勒苏柯尔克孜自治州委员会教育工作委员会（行政单位和参照公务员法管理事业单位）机关运行经费支出9.12万元，比上年减少5.98万元，下降39.60%，主要原因是：严格控制公用经费，合理节约办公用品，减少不必要开支。</w:t>
      </w:r>
    </w:p>
    <w:p w14:paraId="0DE5378D">
      <w:pPr>
        <w:spacing w:line="640" w:lineRule="exact"/>
        <w:ind w:firstLine="640"/>
        <w:jc w:val="both"/>
        <w:outlineLvl w:val="3"/>
      </w:pPr>
      <w:r>
        <w:rPr>
          <w:rFonts w:ascii="楷体_GB2312" w:hAnsi="楷体_GB2312" w:eastAsia="楷体_GB2312"/>
          <w:b/>
          <w:sz w:val="32"/>
        </w:rPr>
        <w:t>（二）政府采购情况</w:t>
      </w:r>
    </w:p>
    <w:p w14:paraId="202E1E3A">
      <w:pPr>
        <w:spacing w:line="580" w:lineRule="exact"/>
        <w:ind w:firstLine="640"/>
        <w:jc w:val="both"/>
      </w:pPr>
      <w:r>
        <w:rPr>
          <w:rFonts w:ascii="仿宋_GB2312" w:hAnsi="仿宋_GB2312" w:eastAsia="仿宋_GB2312"/>
          <w:b w:val="0"/>
          <w:sz w:val="32"/>
        </w:rPr>
        <w:t>2024年度政府采购支出总额1.38万元，其中：政府采购货物支出0.00万元、政府采购工程支出0.00万元、政府采购服务支出1.38万元。</w:t>
      </w:r>
    </w:p>
    <w:p w14:paraId="43488BBC">
      <w:pPr>
        <w:spacing w:line="580" w:lineRule="exact"/>
        <w:ind w:firstLine="640"/>
        <w:jc w:val="both"/>
      </w:pPr>
      <w:r>
        <w:rPr>
          <w:rFonts w:ascii="仿宋_GB2312" w:hAnsi="仿宋_GB2312" w:eastAsia="仿宋_GB2312"/>
          <w:b w:val="0"/>
          <w:sz w:val="32"/>
        </w:rPr>
        <w:t>授予中小企业合同金额1.05万元，占政府采购支出总额的76.09%，其中：授予小微企业合同金额0.54万元，占政府采购支出总额的39.13%。</w:t>
      </w:r>
    </w:p>
    <w:p w14:paraId="3703AAD8">
      <w:pPr>
        <w:spacing w:line="640" w:lineRule="exact"/>
        <w:ind w:firstLine="640"/>
        <w:jc w:val="both"/>
        <w:outlineLvl w:val="3"/>
      </w:pPr>
      <w:r>
        <w:rPr>
          <w:rFonts w:ascii="楷体_GB2312" w:hAnsi="楷体_GB2312" w:eastAsia="楷体_GB2312"/>
          <w:b/>
          <w:sz w:val="32"/>
        </w:rPr>
        <w:t>（三）国有资产占用情况说明</w:t>
      </w:r>
    </w:p>
    <w:p w14:paraId="6BAE5009">
      <w:pPr>
        <w:spacing w:line="580" w:lineRule="exact"/>
        <w:ind w:firstLine="640"/>
        <w:jc w:val="both"/>
      </w:pPr>
      <w:r>
        <w:rPr>
          <w:rFonts w:ascii="仿宋_GB2312" w:hAnsi="仿宋_GB2312" w:eastAsia="仿宋_GB2312"/>
          <w:b w:val="0"/>
          <w:sz w:val="32"/>
        </w:rPr>
        <w:t>截至2024年12月31日，房屋0.00平方米，价值0.00万元。车辆2辆，价值56.06万元，其中：副部（省）级及以上领导用车0辆、主要负责人用车0辆、机要通信用车0辆、应急保障用车0辆、执法执勤用车0辆、特种专业技术用车0辆、离退休干部服务用车0辆、其他用车2辆，其他用车主要是：单位业务用车。单价100万元（含）以上设备（不含车辆）0台（套）。</w:t>
      </w:r>
    </w:p>
    <w:p w14:paraId="00067BBD">
      <w:pPr>
        <w:spacing w:line="640" w:lineRule="exact"/>
        <w:ind w:firstLine="640"/>
        <w:jc w:val="both"/>
        <w:outlineLvl w:val="2"/>
      </w:pPr>
      <w:r>
        <w:rPr>
          <w:rFonts w:ascii="黑体" w:hAnsi="黑体" w:eastAsia="黑体"/>
          <w:sz w:val="32"/>
        </w:rPr>
        <w:t>十一、预算绩效的情况说明</w:t>
      </w:r>
    </w:p>
    <w:p w14:paraId="2924ED99">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151.86万元，实际执行总额151.86万元；预算绩效评价项目0个，全年预算数0.00万元，全年执行数0.00万元。预算绩效管理取得的成效：预算绩效管理通过构建全过程管理机制，有效提升了财政资金使用效益，强化了支出责任与效率意识，推动政策目标更精准落地，既保障了重点领域投入效能，也促进了公共服务质量与群众满意度的提升，为财政资源科学配置和政府治理效能优化提供了有力支撑。发现的问题及原因：1.部分业务人员绩效管理意识有待增强，未能全面深入认识理解绩效管理工作的意义。绩效管理经验不足，预算绩效管理工作有待进一步落实。2.绩效指标的明确性、可衡量性、相关性还需进一步提升。预算精细化管理还需完善，预算编制管理水平仍有进一步提升的空间。3.年初设定目标时，未充分考虑客观因素和条件，仅参考上年完成情况及行业部门总体工作要求，未充分结合本单位实际。4.部分工作任务存在较大的不可预见性，导致工作任务与实际工作开展情况之间存在偏差。下一步改进措施：1.继续加大绩效工作宣传力度，强化绩效理念。2.继续完善绩效指标，提高整体绩效目标质量。提升预算精细化管理水平。3.继续完善预算绩效管理相关工作制度，建立全过程预算绩效管理链条，有效贯彻落实全面实施绩效管理的精神。具体附整体支出绩效自评表。</w:t>
      </w:r>
    </w:p>
    <w:p w14:paraId="7ABA547E">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7212A6DD">
        <w:tblPrEx>
          <w:tblCellMar>
            <w:top w:w="0" w:type="dxa"/>
            <w:left w:w="108" w:type="dxa"/>
            <w:bottom w:w="0" w:type="dxa"/>
            <w:right w:w="108" w:type="dxa"/>
          </w:tblCellMar>
        </w:tblPrEx>
        <w:tc>
          <w:tcPr>
            <w:tcW w:w="8840" w:type="dxa"/>
            <w:gridSpan w:val="8"/>
            <w:vAlign w:val="center"/>
          </w:tcPr>
          <w:p w14:paraId="22D22B63">
            <w:pPr>
              <w:jc w:val="center"/>
            </w:pPr>
            <w:r>
              <w:rPr>
                <w:rFonts w:ascii="宋体" w:hAnsi="宋体" w:eastAsia="宋体"/>
                <w:sz w:val="24"/>
              </w:rPr>
              <w:t>单位整体支出绩效自评表</w:t>
            </w:r>
          </w:p>
        </w:tc>
      </w:tr>
      <w:tr w14:paraId="4A609503">
        <w:tblPrEx>
          <w:tblCellMar>
            <w:top w:w="0" w:type="dxa"/>
            <w:left w:w="108" w:type="dxa"/>
            <w:bottom w:w="0" w:type="dxa"/>
            <w:right w:w="108" w:type="dxa"/>
          </w:tblCellMar>
        </w:tblPrEx>
        <w:tc>
          <w:tcPr>
            <w:tcW w:w="8840" w:type="dxa"/>
            <w:gridSpan w:val="8"/>
            <w:vAlign w:val="center"/>
          </w:tcPr>
          <w:p w14:paraId="673E93D7">
            <w:pPr>
              <w:jc w:val="center"/>
            </w:pPr>
            <w:r>
              <w:rPr>
                <w:rFonts w:ascii="宋体" w:hAnsi="宋体" w:eastAsia="宋体"/>
                <w:sz w:val="24"/>
              </w:rPr>
              <w:t>（2024年度）</w:t>
            </w:r>
          </w:p>
        </w:tc>
      </w:tr>
      <w:tr w14:paraId="2282E09E">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CF0771">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2CBF0F">
            <w:pPr>
              <w:jc w:val="center"/>
            </w:pPr>
            <w:r>
              <w:rPr>
                <w:rFonts w:ascii="宋体" w:hAnsi="宋体" w:eastAsia="宋体"/>
                <w:sz w:val="16"/>
              </w:rPr>
              <w:t>中共克孜勒苏柯尔克孜自治州委员会教育工作委员会</w:t>
            </w:r>
          </w:p>
        </w:tc>
      </w:tr>
      <w:tr w14:paraId="162682D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11A8C3">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682B86">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61E679">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204831">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0BDEBF">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12B9BE">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674D10">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BCD47E">
            <w:pPr>
              <w:jc w:val="center"/>
            </w:pPr>
            <w:r>
              <w:rPr>
                <w:rFonts w:ascii="宋体" w:hAnsi="宋体" w:eastAsia="宋体"/>
                <w:sz w:val="16"/>
              </w:rPr>
              <w:t>得分</w:t>
            </w:r>
          </w:p>
        </w:tc>
      </w:tr>
      <w:tr w14:paraId="7AC831C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C385B2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0B0437">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D6B58B">
            <w:pPr>
              <w:jc w:val="center"/>
            </w:pPr>
            <w:r>
              <w:rPr>
                <w:rFonts w:ascii="宋体" w:hAnsi="宋体" w:eastAsia="宋体"/>
                <w:sz w:val="16"/>
              </w:rPr>
              <w:t>168.43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F74F8D">
            <w:pPr>
              <w:jc w:val="center"/>
            </w:pPr>
            <w:r>
              <w:rPr>
                <w:rFonts w:ascii="宋体" w:hAnsi="宋体" w:eastAsia="宋体"/>
                <w:sz w:val="16"/>
              </w:rPr>
              <w:t>151.86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89A4B0">
            <w:pPr>
              <w:jc w:val="center"/>
            </w:pPr>
            <w:r>
              <w:rPr>
                <w:rFonts w:ascii="宋体" w:hAnsi="宋体" w:eastAsia="宋体"/>
                <w:sz w:val="16"/>
              </w:rPr>
              <w:t>151.86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82344A">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8D990F">
            <w:pPr>
              <w:jc w:val="center"/>
            </w:pPr>
            <w:r>
              <w:rPr>
                <w:rFonts w:ascii="宋体" w:hAnsi="宋体" w:eastAsia="宋体"/>
                <w:sz w:val="16"/>
              </w:rPr>
              <w:t>100.00%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3F37C8">
            <w:pPr>
              <w:jc w:val="center"/>
            </w:pPr>
            <w:r>
              <w:rPr>
                <w:rFonts w:ascii="宋体" w:hAnsi="宋体" w:eastAsia="宋体"/>
                <w:sz w:val="16"/>
              </w:rPr>
              <w:t>10</w:t>
            </w:r>
          </w:p>
        </w:tc>
      </w:tr>
      <w:tr w14:paraId="33D4B33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B05AFC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911352">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43B1F6">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0CA75E">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9CE181">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899E0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8EE45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F8E31B">
            <w:pPr>
              <w:jc w:val="center"/>
            </w:pPr>
            <w:r>
              <w:rPr>
                <w:rFonts w:ascii="宋体" w:hAnsi="宋体" w:eastAsia="宋体"/>
                <w:sz w:val="16"/>
              </w:rPr>
              <w:t>—</w:t>
            </w:r>
          </w:p>
        </w:tc>
      </w:tr>
      <w:tr w14:paraId="01CAC67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94FDC4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3C0581">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2CB73D">
            <w:pPr>
              <w:jc w:val="center"/>
            </w:pPr>
            <w:r>
              <w:rPr>
                <w:rFonts w:ascii="宋体" w:hAnsi="宋体" w:eastAsia="宋体"/>
                <w:sz w:val="16"/>
              </w:rPr>
              <w:t>149.43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53A17A">
            <w:pPr>
              <w:jc w:val="center"/>
            </w:pPr>
            <w:r>
              <w:rPr>
                <w:rFonts w:ascii="宋体" w:hAnsi="宋体" w:eastAsia="宋体"/>
                <w:sz w:val="16"/>
              </w:rPr>
              <w:t>151.86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79C2FE">
            <w:pPr>
              <w:jc w:val="center"/>
            </w:pPr>
            <w:r>
              <w:rPr>
                <w:rFonts w:ascii="宋体" w:hAnsi="宋体" w:eastAsia="宋体"/>
                <w:sz w:val="16"/>
              </w:rPr>
              <w:t>151.86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F717D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9C4FF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061A5C">
            <w:pPr>
              <w:jc w:val="center"/>
            </w:pPr>
            <w:r>
              <w:rPr>
                <w:rFonts w:ascii="宋体" w:hAnsi="宋体" w:eastAsia="宋体"/>
                <w:sz w:val="16"/>
              </w:rPr>
              <w:t>—</w:t>
            </w:r>
          </w:p>
        </w:tc>
      </w:tr>
      <w:tr w14:paraId="105D34B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8A26B8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698868">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E3FD63">
            <w:pPr>
              <w:jc w:val="center"/>
            </w:pPr>
            <w:r>
              <w:rPr>
                <w:rFonts w:ascii="宋体" w:hAnsi="宋体" w:eastAsia="宋体"/>
                <w:sz w:val="16"/>
              </w:rPr>
              <w:t>19.00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785F77">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B872F8">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D1BA5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C4528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406A3F">
            <w:pPr>
              <w:jc w:val="center"/>
            </w:pPr>
            <w:r>
              <w:rPr>
                <w:rFonts w:ascii="宋体" w:hAnsi="宋体" w:eastAsia="宋体"/>
                <w:sz w:val="16"/>
              </w:rPr>
              <w:t>—</w:t>
            </w:r>
          </w:p>
        </w:tc>
      </w:tr>
      <w:tr w14:paraId="13F5894E">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1F9257">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D26BC87">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03DED16">
            <w:pPr>
              <w:jc w:val="center"/>
              <w:rPr>
                <w:rFonts w:hint="eastAsia" w:eastAsia="宋体"/>
                <w:lang w:val="en-US" w:eastAsia="zh-CN"/>
              </w:rPr>
            </w:pPr>
            <w:r>
              <w:rPr>
                <w:rFonts w:ascii="宋体" w:hAnsi="宋体" w:eastAsia="宋体"/>
                <w:sz w:val="16"/>
              </w:rPr>
              <w:t>实际完成</w:t>
            </w:r>
            <w:r>
              <w:rPr>
                <w:rFonts w:hint="eastAsia" w:ascii="宋体" w:hAnsi="宋体"/>
                <w:sz w:val="16"/>
                <w:lang w:val="en-US" w:eastAsia="zh-CN"/>
              </w:rPr>
              <w:t>情况</w:t>
            </w:r>
          </w:p>
        </w:tc>
      </w:tr>
      <w:tr w14:paraId="63EC0D2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2A2B1C6"/>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CC6B0AE">
            <w:pPr>
              <w:jc w:val="both"/>
            </w:pPr>
            <w:r>
              <w:rPr>
                <w:rFonts w:ascii="宋体" w:hAnsi="宋体" w:eastAsia="宋体"/>
                <w:sz w:val="16"/>
              </w:rPr>
              <w:t>坚持以习近平新时代中国特色社会主义思想为指导，深入贯彻党的二十大精神，贯彻落实习近平总书记关于教育的重要论述，贯彻落实习近平总书记视察新疆重要讲话重要指示精神，完整准确贯彻新时代党的治疆方略，全面贯彻党的教育方针，坚持和加强党对教育工作的全面领导，落</w:t>
            </w:r>
            <w:r>
              <w:rPr>
                <w:rFonts w:hint="eastAsia" w:ascii="宋体" w:hAnsi="宋体"/>
                <w:sz w:val="16"/>
                <w:lang w:eastAsia="zh-CN"/>
              </w:rPr>
              <w:t>实党</w:t>
            </w:r>
            <w:r>
              <w:rPr>
                <w:rFonts w:ascii="宋体" w:hAnsi="宋体" w:eastAsia="宋体"/>
                <w:sz w:val="16"/>
              </w:rPr>
              <w:t>的立</w:t>
            </w:r>
            <w:r>
              <w:rPr>
                <w:rFonts w:hint="eastAsia" w:ascii="宋体" w:hAnsi="宋体"/>
                <w:sz w:val="16"/>
                <w:lang w:eastAsia="zh-CN"/>
              </w:rPr>
              <w:t>德</w:t>
            </w:r>
            <w:r>
              <w:rPr>
                <w:rFonts w:ascii="宋体" w:hAnsi="宋体" w:eastAsia="宋体"/>
                <w:sz w:val="16"/>
              </w:rPr>
              <w:t>树人根本任务，以</w:t>
            </w:r>
            <w:bookmarkStart w:id="0" w:name="_GoBack"/>
            <w:r>
              <w:rPr>
                <w:rFonts w:hint="eastAsia" w:ascii="宋体" w:hAnsi="宋体"/>
                <w:sz w:val="16"/>
                <w:lang w:eastAsia="zh-CN"/>
              </w:rPr>
              <w:t>铸牢中华民族共同体意识</w:t>
            </w:r>
            <w:bookmarkEnd w:id="0"/>
            <w:r>
              <w:rPr>
                <w:rFonts w:ascii="宋体" w:hAnsi="宋体" w:eastAsia="宋体"/>
                <w:sz w:val="16"/>
              </w:rPr>
              <w:t>为主线，培养</w:t>
            </w:r>
            <w:r>
              <w:rPr>
                <w:rFonts w:hint="eastAsia" w:ascii="宋体" w:hAnsi="宋体"/>
                <w:sz w:val="16"/>
                <w:lang w:eastAsia="zh-CN"/>
              </w:rPr>
              <w:t>德</w:t>
            </w:r>
            <w:r>
              <w:rPr>
                <w:rFonts w:ascii="宋体" w:hAnsi="宋体" w:eastAsia="宋体"/>
                <w:sz w:val="16"/>
              </w:rPr>
              <w:t>智体美</w:t>
            </w:r>
            <w:r>
              <w:rPr>
                <w:rFonts w:hint="eastAsia" w:ascii="宋体" w:hAnsi="宋体"/>
                <w:sz w:val="16"/>
                <w:lang w:eastAsia="zh-CN"/>
              </w:rPr>
              <w:t>劳</w:t>
            </w:r>
            <w:r>
              <w:rPr>
                <w:rFonts w:ascii="宋体" w:hAnsi="宋体" w:eastAsia="宋体"/>
                <w:sz w:val="16"/>
              </w:rPr>
              <w:t>全面发展的社会主义建设者和接班人，努力办好人民满意的教育，为积蓄克州高质量发展新动能做出新贡献。</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56E7C4D">
            <w:pPr>
              <w:jc w:val="both"/>
            </w:pPr>
            <w:r>
              <w:rPr>
                <w:rFonts w:ascii="宋体" w:hAnsi="宋体" w:eastAsia="宋体"/>
                <w:sz w:val="16"/>
              </w:rPr>
              <w:t>截至2024年12月31日，严格落实《中国共产党章程》的要求，积极组织州直入党积极分子和发展对象培训，严把发展党员政治关，提升发展党员的质量，始终保持党员的先进性。克州党委教育工委、克州教育局制定印发了《自治州大中小学思政“金课”遴选方案》，全州195名专职思政课教师全员参与，由学校推荐，</w:t>
            </w:r>
            <w:r>
              <w:rPr>
                <w:rFonts w:hint="eastAsia" w:ascii="宋体" w:hAnsi="宋体"/>
                <w:sz w:val="16"/>
                <w:lang w:eastAsia="zh-CN"/>
              </w:rPr>
              <w:t>县市</w:t>
            </w:r>
            <w:r>
              <w:rPr>
                <w:rFonts w:ascii="宋体" w:hAnsi="宋体" w:eastAsia="宋体"/>
                <w:sz w:val="16"/>
              </w:rPr>
              <w:t>组织初赛，州级组织决赛的形式进行，全州分为小学组、初中组、高中组（含职院）共计55名教师参加州级比赛，评选出20节思政“金课”。定期开展小学、初中、高中思政教师“领航筑梦区域大教研”活动，组织德育骨干、班主任及思政教师培训，组织教师开展《道德与法治》新教材培训。接自治区教育厅通知，不再对各地州德育示范校进行评选。克州教育系统常态化开展宪法宣传，在开学后、放假前“同上一堂安全、法治教育大思政课”，统一制作教案及课件，利用家长会、班队会等覆盖全体师生家长会、班队会等覆盖全体师生家长。</w:t>
            </w:r>
            <w:r>
              <w:rPr>
                <w:rFonts w:ascii="宋体" w:hAnsi="宋体" w:eastAsia="宋体"/>
                <w:sz w:val="16"/>
              </w:rPr>
              <w:br w:type="textWrapping"/>
            </w:r>
            <w:r>
              <w:rPr>
                <w:rFonts w:ascii="宋体" w:hAnsi="宋体" w:eastAsia="宋体"/>
                <w:sz w:val="16"/>
              </w:rPr>
              <w:t>　　通过以上工作的实施，保障了我单位8名职工的工资、福利及社保正常发放及缴纳，确保民生工作落实到位；保障我单位2辆公务用车的运行及维护，保障单位各项工作的正常运转，确保机构运转正常；高位推动，党的领导坚强有力。坚持把教育作为民生头等大事、作为县(市)委书记一把手工程来抓，召开自治州教育全面振兴大会，调整学校领导班子306人，优化书记校长“一肩挑”98所，顺利开展了入党积极分子及相关对象的培训工作，为提升教育系统党员队伍素质奠定了良好基础，强化了思想政治引领，达到了预期的培训效果。把牢方向，立德树人成效显著。坚持以习近平新时代中国特色社会主义思想铸魂育人，推动落实党政领导干部讲思政课制度，</w:t>
            </w:r>
            <w:r>
              <w:rPr>
                <w:rFonts w:hint="eastAsia" w:ascii="宋体" w:hAnsi="宋体"/>
                <w:sz w:val="16"/>
                <w:lang w:eastAsia="zh-CN"/>
              </w:rPr>
              <w:t>成功</w:t>
            </w:r>
            <w:r>
              <w:rPr>
                <w:rFonts w:ascii="宋体" w:hAnsi="宋体" w:eastAsia="宋体"/>
                <w:sz w:val="16"/>
              </w:rPr>
              <w:t>组织了中小学段思政课区域大教研活动，加强了区域内思政教师之间的交流与合作，整合了教学资源，促进了思政课教学质量的整体提升，为中小学思政教育发展提供了有力支持。督促各县（市）完成辖区学校督评任务学校数，需进一步强化组织领导，优化督评工作机制，推动各县市补齐短板，加强督评队伍专业化建设。开展教育系统宪法宣传活动取得了良好的成效，学生参与率较高，广泛普及了宪法知识，增强了学生的法治观念和宪法意识，营造了良好的校园法治氛围，推动了依法治校的深入开展。2024年度的教育工作在多个方面取得显著成绩，但也存在一些不足。在未来的工作中，需继续发扬优势，巩固成果，针对未完成任务进行深入反思和改进，进一步提升教育工作的质量和水平。</w:t>
            </w:r>
          </w:p>
        </w:tc>
      </w:tr>
      <w:tr w14:paraId="4D6FDB2D">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13DFB0">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BB83E7">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B6F040">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F358C8">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7A72ED">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1AEAEA">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C3EDB1">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2AA710">
            <w:pPr>
              <w:jc w:val="center"/>
            </w:pPr>
            <w:r>
              <w:rPr>
                <w:rFonts w:ascii="宋体" w:hAnsi="宋体" w:eastAsia="宋体"/>
                <w:sz w:val="16"/>
              </w:rPr>
              <w:t>得分</w:t>
            </w:r>
          </w:p>
        </w:tc>
      </w:tr>
      <w:tr w14:paraId="2495F898">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8F6591">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AEB061">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26896C">
            <w:pPr>
              <w:jc w:val="center"/>
            </w:pPr>
            <w:r>
              <w:rPr>
                <w:rFonts w:ascii="宋体" w:hAnsi="宋体" w:eastAsia="宋体"/>
                <w:sz w:val="16"/>
              </w:rPr>
              <w:t>入党积极分子暨发放对象培训</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B565C4">
            <w:pPr>
              <w:jc w:val="center"/>
            </w:pPr>
            <w:r>
              <w:rPr>
                <w:rFonts w:ascii="宋体" w:hAnsi="宋体" w:eastAsia="宋体"/>
                <w:sz w:val="16"/>
              </w:rPr>
              <w:t>&gt;=1次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CA9A39">
            <w:pPr>
              <w:jc w:val="center"/>
            </w:pPr>
            <w:r>
              <w:rPr>
                <w:rFonts w:ascii="宋体" w:hAnsi="宋体" w:eastAsia="宋体"/>
                <w:sz w:val="16"/>
              </w:rPr>
              <w:t>教育工作要点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898176">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863A60">
            <w:pPr>
              <w:jc w:val="center"/>
            </w:pPr>
            <w:r>
              <w:rPr>
                <w:rFonts w:ascii="宋体" w:hAnsi="宋体" w:eastAsia="宋体"/>
                <w:sz w:val="16"/>
              </w:rPr>
              <w: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737814">
            <w:pPr>
              <w:jc w:val="center"/>
            </w:pPr>
            <w:r>
              <w:rPr>
                <w:rFonts w:ascii="宋体" w:hAnsi="宋体" w:eastAsia="宋体"/>
                <w:sz w:val="16"/>
              </w:rPr>
              <w:t>15</w:t>
            </w:r>
          </w:p>
        </w:tc>
      </w:tr>
      <w:tr w14:paraId="37AC493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4814869"/>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D9D687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ACCBF3">
            <w:pPr>
              <w:jc w:val="center"/>
            </w:pPr>
            <w:r>
              <w:rPr>
                <w:rFonts w:ascii="宋体" w:hAnsi="宋体" w:eastAsia="宋体"/>
                <w:sz w:val="16"/>
              </w:rPr>
              <w:t>推选思政“金课”节数（节）</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044227">
            <w:pPr>
              <w:jc w:val="center"/>
            </w:pPr>
            <w:r>
              <w:rPr>
                <w:rFonts w:ascii="宋体" w:hAnsi="宋体" w:eastAsia="宋体"/>
                <w:sz w:val="16"/>
              </w:rPr>
              <w:t>&gt;=20节</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E7C6F8">
            <w:pPr>
              <w:jc w:val="center"/>
            </w:pPr>
            <w:r>
              <w:rPr>
                <w:rFonts w:ascii="宋体" w:hAnsi="宋体" w:eastAsia="宋体"/>
                <w:sz w:val="16"/>
              </w:rPr>
              <w:t>教育工作要点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A51FB7">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39AC2F">
            <w:pPr>
              <w:jc w:val="center"/>
            </w:pPr>
            <w:r>
              <w:rPr>
                <w:rFonts w:ascii="宋体" w:hAnsi="宋体" w:eastAsia="宋体"/>
                <w:sz w:val="16"/>
              </w:rPr>
              <w:t>20节</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9AA85D">
            <w:pPr>
              <w:jc w:val="center"/>
            </w:pPr>
            <w:r>
              <w:rPr>
                <w:rFonts w:ascii="宋体" w:hAnsi="宋体" w:eastAsia="宋体"/>
                <w:sz w:val="16"/>
              </w:rPr>
              <w:t>15</w:t>
            </w:r>
          </w:p>
        </w:tc>
      </w:tr>
      <w:tr w14:paraId="791B59C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8080E70"/>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25A0EB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52AD3F">
            <w:pPr>
              <w:jc w:val="center"/>
            </w:pPr>
            <w:r>
              <w:rPr>
                <w:rFonts w:ascii="宋体" w:hAnsi="宋体" w:eastAsia="宋体"/>
                <w:sz w:val="16"/>
              </w:rPr>
              <w:t>创建自治区级德育示范校（所）</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2BA239">
            <w:pPr>
              <w:jc w:val="center"/>
            </w:pPr>
            <w:r>
              <w:rPr>
                <w:rFonts w:ascii="宋体" w:hAnsi="宋体" w:eastAsia="宋体"/>
                <w:sz w:val="16"/>
              </w:rPr>
              <w:t>&gt;=1所</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E71F1D">
            <w:pPr>
              <w:jc w:val="center"/>
            </w:pPr>
            <w:r>
              <w:rPr>
                <w:rFonts w:ascii="宋体" w:hAnsi="宋体" w:eastAsia="宋体"/>
                <w:sz w:val="16"/>
              </w:rPr>
              <w:t>教育工作要点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9C731C">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76ADF9">
            <w:pPr>
              <w:jc w:val="center"/>
            </w:pPr>
            <w:r>
              <w:rPr>
                <w:rFonts w:ascii="宋体" w:hAnsi="宋体" w:eastAsia="宋体"/>
                <w:sz w:val="16"/>
              </w:rPr>
              <w:t>0所</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C14033">
            <w:pPr>
              <w:jc w:val="center"/>
            </w:pPr>
            <w:r>
              <w:rPr>
                <w:rFonts w:ascii="宋体" w:hAnsi="宋体" w:eastAsia="宋体"/>
                <w:sz w:val="16"/>
              </w:rPr>
              <w:t>0</w:t>
            </w:r>
          </w:p>
        </w:tc>
      </w:tr>
      <w:tr w14:paraId="28191A4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4985649"/>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50B8A9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88E1E0">
            <w:pPr>
              <w:jc w:val="center"/>
            </w:pPr>
            <w:r>
              <w:rPr>
                <w:rFonts w:ascii="宋体" w:hAnsi="宋体" w:eastAsia="宋体"/>
                <w:sz w:val="16"/>
              </w:rPr>
              <w:t>组织中小学段思政课区域研训（次）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1AA8FE">
            <w:pPr>
              <w:jc w:val="center"/>
            </w:pPr>
            <w:r>
              <w:rPr>
                <w:rFonts w:ascii="宋体" w:hAnsi="宋体" w:eastAsia="宋体"/>
                <w:sz w:val="16"/>
              </w:rPr>
              <w:t>&gt;=6次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C253C5">
            <w:pPr>
              <w:jc w:val="center"/>
            </w:pPr>
            <w:r>
              <w:rPr>
                <w:rFonts w:ascii="宋体" w:hAnsi="宋体" w:eastAsia="宋体"/>
                <w:sz w:val="16"/>
              </w:rPr>
              <w:t>教育工作要点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623B3B">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249CEB">
            <w:pPr>
              <w:jc w:val="center"/>
            </w:pPr>
            <w:r>
              <w:rPr>
                <w:rFonts w:ascii="宋体" w:hAnsi="宋体" w:eastAsia="宋体"/>
                <w:sz w:val="16"/>
              </w:rPr>
              <w:t>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70184F">
            <w:pPr>
              <w:jc w:val="center"/>
            </w:pPr>
            <w:r>
              <w:rPr>
                <w:rFonts w:ascii="宋体" w:hAnsi="宋体" w:eastAsia="宋体"/>
                <w:sz w:val="16"/>
              </w:rPr>
              <w:t>15</w:t>
            </w:r>
          </w:p>
        </w:tc>
      </w:tr>
      <w:tr w14:paraId="2296D46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F8BB90F"/>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719EFA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B5AA28">
            <w:pPr>
              <w:jc w:val="center"/>
            </w:pPr>
            <w:r>
              <w:rPr>
                <w:rFonts w:ascii="宋体" w:hAnsi="宋体" w:eastAsia="宋体"/>
                <w:sz w:val="16"/>
              </w:rPr>
              <w:t>督促县（市）完成辖区学校督评任务学校数（所）</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23ACFA">
            <w:pPr>
              <w:jc w:val="center"/>
            </w:pPr>
            <w:r>
              <w:rPr>
                <w:rFonts w:ascii="宋体" w:hAnsi="宋体" w:eastAsia="宋体"/>
                <w:sz w:val="16"/>
              </w:rPr>
              <w:t>&gt;=50所</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E96161">
            <w:pPr>
              <w:jc w:val="center"/>
            </w:pPr>
            <w:r>
              <w:rPr>
                <w:rFonts w:ascii="宋体" w:hAnsi="宋体" w:eastAsia="宋体"/>
                <w:sz w:val="16"/>
              </w:rPr>
              <w:t>教育工作要点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7F14A8">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D6DC64">
            <w:pPr>
              <w:jc w:val="center"/>
            </w:pPr>
            <w:r>
              <w:rPr>
                <w:rFonts w:ascii="宋体" w:hAnsi="宋体" w:eastAsia="宋体"/>
                <w:sz w:val="16"/>
              </w:rPr>
              <w:t>50所</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FA5297">
            <w:pPr>
              <w:jc w:val="center"/>
            </w:pPr>
            <w:r>
              <w:rPr>
                <w:rFonts w:ascii="宋体" w:hAnsi="宋体" w:eastAsia="宋体"/>
                <w:sz w:val="16"/>
              </w:rPr>
              <w:t>15</w:t>
            </w:r>
          </w:p>
        </w:tc>
      </w:tr>
      <w:tr w14:paraId="2D27A41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E4BB3B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3EC10D">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CE7A1C">
            <w:pPr>
              <w:jc w:val="center"/>
            </w:pPr>
            <w:r>
              <w:rPr>
                <w:rFonts w:ascii="宋体" w:hAnsi="宋体" w:eastAsia="宋体"/>
                <w:sz w:val="16"/>
              </w:rPr>
              <w:t>开展教育系统宪法宣传活动学生参与率（%）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C1BC6D">
            <w:pPr>
              <w:jc w:val="center"/>
            </w:pPr>
            <w:r>
              <w:rPr>
                <w:rFonts w:ascii="宋体" w:hAnsi="宋体" w:eastAsia="宋体"/>
                <w:sz w:val="16"/>
              </w:rPr>
              <w:t>&gt;=90%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F31749">
            <w:pPr>
              <w:jc w:val="center"/>
            </w:pPr>
            <w:r>
              <w:rPr>
                <w:rFonts w:ascii="宋体" w:hAnsi="宋体" w:eastAsia="宋体"/>
                <w:sz w:val="16"/>
              </w:rPr>
              <w:t>教育工作要点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342EDB">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9F793E">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502946">
            <w:pPr>
              <w:jc w:val="center"/>
            </w:pPr>
            <w:r>
              <w:rPr>
                <w:rFonts w:ascii="宋体" w:hAnsi="宋体" w:eastAsia="宋体"/>
                <w:sz w:val="16"/>
              </w:rPr>
              <w:t>15</w:t>
            </w:r>
          </w:p>
        </w:tc>
      </w:tr>
    </w:tbl>
    <w:p w14:paraId="42329665">
      <w:r>
        <w:br w:type="page"/>
      </w:r>
    </w:p>
    <w:p w14:paraId="2271048F">
      <w:pPr>
        <w:spacing w:line="640" w:lineRule="exact"/>
        <w:ind w:firstLine="640"/>
        <w:jc w:val="both"/>
        <w:outlineLvl w:val="2"/>
      </w:pPr>
      <w:r>
        <w:rPr>
          <w:rFonts w:ascii="黑体" w:hAnsi="黑体" w:eastAsia="黑体"/>
          <w:sz w:val="32"/>
        </w:rPr>
        <w:t>十二、其他需说明的事项</w:t>
      </w:r>
    </w:p>
    <w:p w14:paraId="00F2F49C">
      <w:pPr>
        <w:spacing w:line="580" w:lineRule="exact"/>
        <w:ind w:firstLine="640"/>
        <w:jc w:val="both"/>
      </w:pPr>
      <w:r>
        <w:rPr>
          <w:rFonts w:ascii="仿宋_GB2312" w:hAnsi="仿宋_GB2312" w:eastAsia="仿宋_GB2312"/>
          <w:b w:val="0"/>
          <w:sz w:val="32"/>
        </w:rPr>
        <w:t>本单位无其他需说明的事项。</w:t>
      </w:r>
    </w:p>
    <w:p w14:paraId="0CB89559">
      <w:r>
        <w:br w:type="page"/>
      </w:r>
    </w:p>
    <w:p w14:paraId="43B95F39">
      <w:pPr>
        <w:spacing w:line="240" w:lineRule="auto"/>
        <w:jc w:val="center"/>
        <w:outlineLvl w:val="1"/>
      </w:pPr>
      <w:r>
        <w:rPr>
          <w:rFonts w:ascii="黑体" w:hAnsi="黑体" w:eastAsia="黑体"/>
          <w:sz w:val="32"/>
        </w:rPr>
        <w:t>第三部分 专业名词解释</w:t>
      </w:r>
    </w:p>
    <w:p w14:paraId="6A59AF0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0702FE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E90436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87651F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CFDB67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51EF1A9">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104565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A852CF7">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A09FAB2">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9642F0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DFAA9F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546996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E69153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ED30FB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2A91A8C">
      <w:r>
        <w:br w:type="page"/>
      </w:r>
    </w:p>
    <w:p w14:paraId="1E5F3616">
      <w:pPr>
        <w:spacing w:line="240" w:lineRule="auto"/>
        <w:jc w:val="center"/>
        <w:outlineLvl w:val="1"/>
      </w:pPr>
      <w:r>
        <w:rPr>
          <w:rFonts w:ascii="黑体" w:hAnsi="黑体" w:eastAsia="黑体"/>
          <w:sz w:val="32"/>
        </w:rPr>
        <w:t>第四部分 部门决算报表（见附表）</w:t>
      </w:r>
    </w:p>
    <w:p w14:paraId="1D416A61">
      <w:pPr>
        <w:spacing w:line="240" w:lineRule="auto"/>
        <w:ind w:firstLine="640"/>
        <w:jc w:val="both"/>
      </w:pPr>
      <w:r>
        <w:rPr>
          <w:rFonts w:ascii="仿宋_GB2312" w:hAnsi="仿宋_GB2312" w:eastAsia="仿宋_GB2312"/>
          <w:b w:val="0"/>
          <w:sz w:val="32"/>
        </w:rPr>
        <w:t>一、《收入支出决算总表》</w:t>
      </w:r>
    </w:p>
    <w:p w14:paraId="5F823DD8">
      <w:pPr>
        <w:spacing w:line="240" w:lineRule="auto"/>
        <w:ind w:firstLine="640"/>
        <w:jc w:val="both"/>
      </w:pPr>
      <w:r>
        <w:rPr>
          <w:rFonts w:ascii="仿宋_GB2312" w:hAnsi="仿宋_GB2312" w:eastAsia="仿宋_GB2312"/>
          <w:b w:val="0"/>
          <w:sz w:val="32"/>
        </w:rPr>
        <w:t>二、《收入决算表》</w:t>
      </w:r>
    </w:p>
    <w:p w14:paraId="1257431E">
      <w:pPr>
        <w:spacing w:line="240" w:lineRule="auto"/>
        <w:ind w:firstLine="640"/>
        <w:jc w:val="both"/>
      </w:pPr>
      <w:r>
        <w:rPr>
          <w:rFonts w:ascii="仿宋_GB2312" w:hAnsi="仿宋_GB2312" w:eastAsia="仿宋_GB2312"/>
          <w:b w:val="0"/>
          <w:sz w:val="32"/>
        </w:rPr>
        <w:t>三、《支出决算表》</w:t>
      </w:r>
    </w:p>
    <w:p w14:paraId="3A53F17B">
      <w:pPr>
        <w:spacing w:line="240" w:lineRule="auto"/>
        <w:ind w:firstLine="640"/>
        <w:jc w:val="both"/>
      </w:pPr>
      <w:r>
        <w:rPr>
          <w:rFonts w:ascii="仿宋_GB2312" w:hAnsi="仿宋_GB2312" w:eastAsia="仿宋_GB2312"/>
          <w:b w:val="0"/>
          <w:sz w:val="32"/>
        </w:rPr>
        <w:t>四、《财政拨款收入支出决算总表》</w:t>
      </w:r>
    </w:p>
    <w:p w14:paraId="33C65140">
      <w:pPr>
        <w:spacing w:line="240" w:lineRule="auto"/>
        <w:ind w:firstLine="640"/>
        <w:jc w:val="both"/>
      </w:pPr>
      <w:r>
        <w:rPr>
          <w:rFonts w:ascii="仿宋_GB2312" w:hAnsi="仿宋_GB2312" w:eastAsia="仿宋_GB2312"/>
          <w:b w:val="0"/>
          <w:sz w:val="32"/>
        </w:rPr>
        <w:t>五、《一般公共预算财政拨款支出决算表》</w:t>
      </w:r>
    </w:p>
    <w:p w14:paraId="11A8CFF9">
      <w:pPr>
        <w:spacing w:line="240" w:lineRule="auto"/>
        <w:ind w:firstLine="640"/>
        <w:jc w:val="both"/>
      </w:pPr>
      <w:r>
        <w:rPr>
          <w:rFonts w:ascii="仿宋_GB2312" w:hAnsi="仿宋_GB2312" w:eastAsia="仿宋_GB2312"/>
          <w:b w:val="0"/>
          <w:sz w:val="32"/>
        </w:rPr>
        <w:t>六、《一般公共预算财政拨款基本支出决算表》</w:t>
      </w:r>
    </w:p>
    <w:p w14:paraId="4BD08E49">
      <w:pPr>
        <w:spacing w:line="240" w:lineRule="auto"/>
        <w:ind w:firstLine="640"/>
        <w:jc w:val="both"/>
      </w:pPr>
      <w:r>
        <w:rPr>
          <w:rFonts w:ascii="仿宋_GB2312" w:hAnsi="仿宋_GB2312" w:eastAsia="仿宋_GB2312"/>
          <w:b w:val="0"/>
          <w:sz w:val="32"/>
        </w:rPr>
        <w:t>七、《政府性基金预算财政拨款收入支出决算表》</w:t>
      </w:r>
    </w:p>
    <w:p w14:paraId="6945372C">
      <w:pPr>
        <w:spacing w:line="240" w:lineRule="auto"/>
        <w:ind w:firstLine="640"/>
        <w:jc w:val="both"/>
      </w:pPr>
      <w:r>
        <w:rPr>
          <w:rFonts w:ascii="仿宋_GB2312" w:hAnsi="仿宋_GB2312" w:eastAsia="仿宋_GB2312"/>
          <w:b w:val="0"/>
          <w:sz w:val="32"/>
        </w:rPr>
        <w:t>八、《国有资本经营预算财政拨款收入支出决算表》</w:t>
      </w:r>
    </w:p>
    <w:p w14:paraId="2FCF12E4">
      <w:pPr>
        <w:spacing w:line="240" w:lineRule="auto"/>
        <w:ind w:firstLine="640"/>
        <w:jc w:val="both"/>
      </w:pPr>
      <w:r>
        <w:rPr>
          <w:rFonts w:ascii="仿宋_GB2312" w:hAnsi="仿宋_GB2312" w:eastAsia="仿宋_GB2312"/>
          <w:b w:val="0"/>
          <w:sz w:val="32"/>
        </w:rPr>
        <w:t>九、《财政拨款“三公”经费支出决算表》</w:t>
      </w:r>
    </w:p>
    <w:p w14:paraId="135ABB91">
      <w:pPr>
        <w:spacing w:line="240" w:lineRule="auto"/>
        <w:ind w:firstLine="640"/>
        <w:jc w:val="both"/>
      </w:pPr>
    </w:p>
    <w:p w14:paraId="556B1164">
      <w:pPr>
        <w:spacing w:line="240" w:lineRule="auto"/>
        <w:ind w:firstLine="640"/>
        <w:jc w:val="both"/>
      </w:pPr>
    </w:p>
    <w:p w14:paraId="6B40943B">
      <w:pPr>
        <w:spacing w:line="240" w:lineRule="auto"/>
        <w:ind w:firstLine="640"/>
        <w:jc w:val="both"/>
      </w:pPr>
    </w:p>
    <w:p w14:paraId="6DDE58CF">
      <w:pPr>
        <w:spacing w:line="240" w:lineRule="auto"/>
        <w:ind w:firstLine="640"/>
        <w:jc w:val="both"/>
      </w:pPr>
    </w:p>
    <w:p w14:paraId="2B053C4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6042E52-F143-4DD8-A1B2-AA73DDA07B2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angSong_GB2312">
    <w:altName w:val="仿宋_GB2312"/>
    <w:panose1 w:val="020B0604020202020204"/>
    <w:charset w:val="86"/>
    <w:family w:val="modern"/>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embedRegular r:id="rId2" w:fontKey="{357C9755-3D3C-468D-89E0-67729EFBEEDD}"/>
  </w:font>
  <w:font w:name="楷体_GB2312">
    <w:panose1 w:val="02010609030101010101"/>
    <w:charset w:val="86"/>
    <w:family w:val="auto"/>
    <w:pitch w:val="default"/>
    <w:sig w:usb0="00000001" w:usb1="080E0000" w:usb2="00000000" w:usb3="00000000" w:csb0="00040000" w:csb1="00000000"/>
    <w:embedRegular r:id="rId3" w:fontKey="{03BEB3B9-E73F-424B-8486-06ED5EAFA5F9}"/>
  </w:font>
  <w:font w:name="方正小标宋_GBK">
    <w:panose1 w:val="02000000000000000000"/>
    <w:charset w:val="86"/>
    <w:family w:val="script"/>
    <w:pitch w:val="default"/>
    <w:sig w:usb0="A00002BF" w:usb1="38CF7CFA" w:usb2="00082016" w:usb3="00000000" w:csb0="00040001" w:csb1="00000000"/>
    <w:embedRegular r:id="rId4" w:fontKey="{B77B855B-2EB4-494B-8BC9-4D7BA49D217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016B87"/>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C4816E7"/>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36D63B9"/>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9C3002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4326</Words>
  <Characters>4883</Characters>
  <Lines>0</Lines>
  <Paragraphs>0</Paragraphs>
  <TotalTime>15</TotalTime>
  <ScaleCrop>false</ScaleCrop>
  <LinksUpToDate>false</LinksUpToDate>
  <CharactersWithSpaces>4891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2025-09-02T03:37:45Z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eyJoZGlkIjoiNTBiYjFiYzY0OWM2ODlhYjA1NDAwODJkOGMwZGNkYTMiLCJ1c2VySWQiOiIyNTk4NTcxMjUifQ==</vt:lpwstr>
  </property>
</Properties>
</file>