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A8996"/>
    <w:p w14:paraId="5EB77BE1">
      <w:pPr>
        <w:spacing w:line="570" w:lineRule="exact"/>
        <w:jc w:val="center"/>
        <w:rPr>
          <w:rFonts w:ascii="华文中宋" w:hAnsi="华文中宋" w:eastAsia="华文中宋" w:cs="宋体"/>
          <w:b/>
          <w:kern w:val="0"/>
          <w:sz w:val="52"/>
          <w:szCs w:val="52"/>
        </w:rPr>
      </w:pPr>
    </w:p>
    <w:p w14:paraId="0B00A023">
      <w:pPr>
        <w:spacing w:line="570" w:lineRule="exact"/>
        <w:jc w:val="center"/>
        <w:rPr>
          <w:rFonts w:ascii="华文中宋" w:hAnsi="华文中宋" w:eastAsia="华文中宋" w:cs="宋体"/>
          <w:b/>
          <w:kern w:val="0"/>
          <w:sz w:val="52"/>
          <w:szCs w:val="52"/>
        </w:rPr>
      </w:pPr>
    </w:p>
    <w:p w14:paraId="11AE075A">
      <w:pPr>
        <w:spacing w:line="570" w:lineRule="exact"/>
        <w:jc w:val="center"/>
        <w:rPr>
          <w:rFonts w:ascii="华文中宋" w:hAnsi="华文中宋" w:eastAsia="华文中宋" w:cs="宋体"/>
          <w:b/>
          <w:kern w:val="0"/>
          <w:sz w:val="52"/>
          <w:szCs w:val="52"/>
        </w:rPr>
      </w:pPr>
    </w:p>
    <w:p w14:paraId="22AD2195">
      <w:pPr>
        <w:spacing w:line="570" w:lineRule="exact"/>
        <w:jc w:val="center"/>
        <w:rPr>
          <w:rFonts w:ascii="华文中宋" w:hAnsi="华文中宋" w:eastAsia="华文中宋" w:cs="宋体"/>
          <w:b/>
          <w:kern w:val="0"/>
          <w:sz w:val="52"/>
          <w:szCs w:val="52"/>
        </w:rPr>
      </w:pPr>
    </w:p>
    <w:p w14:paraId="1A50A9DD">
      <w:pPr>
        <w:spacing w:line="570" w:lineRule="exact"/>
        <w:jc w:val="both"/>
        <w:rPr>
          <w:rFonts w:ascii="华文中宋" w:hAnsi="华文中宋" w:eastAsia="华文中宋" w:cs="宋体"/>
          <w:b/>
          <w:kern w:val="0"/>
          <w:sz w:val="52"/>
          <w:szCs w:val="52"/>
        </w:rPr>
      </w:pPr>
    </w:p>
    <w:p w14:paraId="29C1D2D4">
      <w:pPr>
        <w:spacing w:line="570" w:lineRule="exact"/>
        <w:jc w:val="center"/>
        <w:rPr>
          <w:rFonts w:ascii="华文中宋" w:hAnsi="华文中宋" w:eastAsia="华文中宋" w:cs="宋体"/>
          <w:b/>
          <w:kern w:val="0"/>
          <w:sz w:val="52"/>
          <w:szCs w:val="52"/>
        </w:rPr>
      </w:pPr>
    </w:p>
    <w:p w14:paraId="2CF3DED6">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7EA341B5">
      <w:pPr>
        <w:spacing w:line="570" w:lineRule="exact"/>
        <w:jc w:val="center"/>
        <w:rPr>
          <w:rFonts w:ascii="华文中宋" w:hAnsi="华文中宋" w:eastAsia="华文中宋" w:cs="宋体"/>
          <w:b/>
          <w:kern w:val="0"/>
          <w:sz w:val="52"/>
          <w:szCs w:val="52"/>
        </w:rPr>
      </w:pPr>
    </w:p>
    <w:p w14:paraId="62AEB298">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0DEA8852">
      <w:pPr>
        <w:spacing w:line="570" w:lineRule="exact"/>
        <w:jc w:val="center"/>
        <w:rPr>
          <w:rFonts w:hAnsi="宋体" w:eastAsia="仿宋_GB2312" w:cs="宋体"/>
          <w:kern w:val="0"/>
          <w:sz w:val="30"/>
          <w:szCs w:val="30"/>
        </w:rPr>
      </w:pPr>
    </w:p>
    <w:p w14:paraId="5B4EE6F2">
      <w:pPr>
        <w:spacing w:line="570" w:lineRule="exact"/>
        <w:jc w:val="center"/>
        <w:rPr>
          <w:rFonts w:hAnsi="宋体" w:eastAsia="仿宋_GB2312" w:cs="宋体"/>
          <w:kern w:val="0"/>
          <w:sz w:val="30"/>
          <w:szCs w:val="30"/>
        </w:rPr>
      </w:pPr>
    </w:p>
    <w:p w14:paraId="6004C313">
      <w:pPr>
        <w:spacing w:line="570" w:lineRule="exact"/>
        <w:jc w:val="center"/>
        <w:rPr>
          <w:rFonts w:hAnsi="宋体" w:eastAsia="仿宋_GB2312" w:cs="宋体"/>
          <w:kern w:val="0"/>
          <w:sz w:val="30"/>
          <w:szCs w:val="30"/>
        </w:rPr>
      </w:pPr>
    </w:p>
    <w:p w14:paraId="0C7FE167">
      <w:pPr>
        <w:spacing w:line="570" w:lineRule="exact"/>
        <w:jc w:val="center"/>
        <w:rPr>
          <w:rFonts w:hAnsi="宋体" w:eastAsia="仿宋_GB2312" w:cs="宋体"/>
          <w:kern w:val="0"/>
          <w:sz w:val="30"/>
          <w:szCs w:val="30"/>
        </w:rPr>
      </w:pPr>
    </w:p>
    <w:p w14:paraId="53D10408">
      <w:pPr>
        <w:spacing w:line="570" w:lineRule="exact"/>
        <w:jc w:val="center"/>
        <w:rPr>
          <w:rFonts w:hAnsi="宋体" w:eastAsia="仿宋_GB2312" w:cs="宋体"/>
          <w:kern w:val="0"/>
          <w:sz w:val="30"/>
          <w:szCs w:val="30"/>
        </w:rPr>
      </w:pPr>
    </w:p>
    <w:p w14:paraId="21A9D736">
      <w:pPr>
        <w:spacing w:line="570" w:lineRule="exact"/>
        <w:jc w:val="center"/>
        <w:rPr>
          <w:rFonts w:hAnsi="宋体" w:eastAsia="仿宋_GB2312" w:cs="宋体"/>
          <w:kern w:val="0"/>
          <w:sz w:val="30"/>
          <w:szCs w:val="30"/>
        </w:rPr>
      </w:pPr>
    </w:p>
    <w:p w14:paraId="7DC9EEEE">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9"/>
          <w:rFonts w:hint="eastAsia" w:ascii="仿宋" w:hAnsi="仿宋" w:eastAsia="仿宋" w:cs="仿宋"/>
          <w:b w:val="0"/>
          <w:bCs w:val="0"/>
          <w:spacing w:val="-4"/>
          <w:sz w:val="32"/>
          <w:szCs w:val="32"/>
        </w:rPr>
        <w:t>12345</w:t>
      </w:r>
      <w:r>
        <w:rPr>
          <w:rStyle w:val="19"/>
          <w:rFonts w:hint="eastAsia" w:ascii="仿宋" w:hAnsi="仿宋" w:eastAsia="仿宋" w:cs="仿宋"/>
          <w:b w:val="0"/>
          <w:bCs w:val="0"/>
          <w:spacing w:val="-4"/>
          <w:sz w:val="32"/>
          <w:szCs w:val="32"/>
          <w:lang w:eastAsia="zh-CN"/>
        </w:rPr>
        <w:t>政务</w:t>
      </w:r>
      <w:r>
        <w:rPr>
          <w:rStyle w:val="19"/>
          <w:rFonts w:hint="eastAsia" w:ascii="仿宋" w:hAnsi="仿宋" w:eastAsia="仿宋" w:cs="仿宋"/>
          <w:b w:val="0"/>
          <w:bCs w:val="0"/>
          <w:spacing w:val="-4"/>
          <w:sz w:val="32"/>
          <w:szCs w:val="32"/>
        </w:rPr>
        <w:t>服务便民热线项目</w:t>
      </w:r>
    </w:p>
    <w:p w14:paraId="77DB5FBD">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9"/>
          <w:rFonts w:hint="eastAsia" w:ascii="仿宋" w:hAnsi="仿宋" w:eastAsia="仿宋" w:cs="仿宋"/>
          <w:b w:val="0"/>
          <w:bCs w:val="0"/>
          <w:spacing w:val="-4"/>
          <w:sz w:val="32"/>
          <w:szCs w:val="32"/>
        </w:rPr>
        <w:t>克孜勒苏柯尔克孜自治州政务服务和公共资源交易中心</w:t>
      </w:r>
    </w:p>
    <w:p w14:paraId="433BCDAE">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9"/>
          <w:rFonts w:hint="eastAsia" w:ascii="仿宋" w:hAnsi="仿宋" w:eastAsia="仿宋" w:cs="仿宋"/>
          <w:b w:val="0"/>
          <w:bCs w:val="0"/>
          <w:spacing w:val="-4"/>
          <w:sz w:val="32"/>
          <w:szCs w:val="32"/>
        </w:rPr>
        <w:t xml:space="preserve"> 克孜勒苏柯尔克孜自治州政务服务和公共资源交易中心</w:t>
      </w:r>
    </w:p>
    <w:p w14:paraId="145477BC">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9"/>
          <w:rFonts w:hint="eastAsia" w:ascii="仿宋" w:hAnsi="仿宋" w:eastAsia="仿宋" w:cs="仿宋"/>
          <w:b w:val="0"/>
          <w:bCs w:val="0"/>
          <w:spacing w:val="-4"/>
          <w:sz w:val="32"/>
          <w:szCs w:val="32"/>
        </w:rPr>
        <w:t>张志刚</w:t>
      </w:r>
    </w:p>
    <w:p w14:paraId="600169EC">
      <w:pPr>
        <w:spacing w:line="540" w:lineRule="exact"/>
        <w:ind w:firstLine="360" w:firstLineChars="100"/>
        <w:rPr>
          <w:rStyle w:val="19"/>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bookmarkStart w:id="0" w:name="_GoBack"/>
      <w:r>
        <w:rPr>
          <w:rStyle w:val="19"/>
          <w:rFonts w:hint="eastAsia" w:ascii="仿宋" w:hAnsi="仿宋" w:eastAsia="仿宋" w:cs="仿宋"/>
          <w:b w:val="0"/>
          <w:bCs w:val="0"/>
          <w:spacing w:val="-4"/>
          <w:sz w:val="32"/>
          <w:szCs w:val="32"/>
        </w:rPr>
        <w:t>2025年04月24日</w:t>
      </w:r>
      <w:bookmarkEnd w:id="0"/>
    </w:p>
    <w:p w14:paraId="3602654F">
      <w:pPr>
        <w:rPr>
          <w:rStyle w:val="19"/>
          <w:rFonts w:hint="eastAsia" w:ascii="仿宋" w:hAnsi="仿宋" w:eastAsia="仿宋" w:cs="仿宋"/>
          <w:b w:val="0"/>
          <w:bCs w:val="0"/>
          <w:spacing w:val="-4"/>
          <w:sz w:val="32"/>
          <w:szCs w:val="32"/>
        </w:rPr>
      </w:pPr>
      <w:r>
        <w:br w:type="page"/>
      </w:r>
    </w:p>
    <w:p w14:paraId="3BDC229E">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1A5EAE86">
      <w:pPr>
        <w:spacing w:line="570" w:lineRule="exact"/>
        <w:ind w:firstLine="627" w:firstLineChars="200"/>
        <w:rPr>
          <w:rStyle w:val="19"/>
          <w:rFonts w:ascii="方正楷体_GBK" w:hAnsi="方正楷体_GBK" w:eastAsia="方正楷体_GBK" w:cs="方正楷体_GBK"/>
          <w:bCs w:val="0"/>
          <w:spacing w:val="-4"/>
          <w:sz w:val="32"/>
          <w:szCs w:val="32"/>
        </w:rPr>
      </w:pPr>
      <w:r>
        <w:rPr>
          <w:rStyle w:val="19"/>
          <w:rFonts w:hint="eastAsia" w:ascii="楷体" w:hAnsi="楷体" w:eastAsia="楷体" w:cs="楷体"/>
          <w:bCs w:val="0"/>
          <w:spacing w:val="-4"/>
          <w:sz w:val="32"/>
          <w:szCs w:val="32"/>
        </w:rPr>
        <w:t>（一）项目概况。包括项目背景、主要内容及实施情况、资金投入和使用情况等。</w:t>
      </w:r>
    </w:p>
    <w:p w14:paraId="3A74430B">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1.项目背景</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12345政务服务便民热线经费项目实施前期、过程及效果，评价财政预算资金使用的效率及效益。根据《国务院办公厅关于进一步优化地方政务服务便民热线的指导意见》（国办发〔2020〕53号）、印发《关于进一步优化政务服务便民热线的工作方案》的通知（新政办发〔2021〕43号）、《自治州进一步优化政务服务便民热线的工作方案》（克政办发〔2021〕26号）文件要求，自治州“十四五”规划及克州政务服务和公共资源交易行业发展需要，按自治区关于进一步优化政务服务便民热线的工作要求，经人民政府同意，结合本单位12345政务服务便民热线平台方面管理职能、12345政务服务便民热线平台方面工作职责，按照年度工作计划，开展12345政务服务便民热线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2.主要内容及实施情况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（1）主要内容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为政府购买服务类：项目资金69.4万元，其中：财政资金69.4万元，其他资金0万元。引进第三方1家。热线2024年，共受理企业群众诉求95077件，办结率100%，接听率99.93%，满意率99.42%。达到进一步畅通政府与企业和群众互动渠道，有效利用政务资源、提高服务效率和水平，建设人民满意的服务型政府，推进国家治理体系和治理能力现代化，不断增强人民群众的获得感、幸福感、安全感效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（2）实施情况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根据《关于进一步优化政务服务便民热线的工作方案》的通知（新政办发〔2021〕43号），已完善相关工作，同时推进国家治理体系和治理能力现代化，不断增强人民群众的安全感、获得感、幸福感。</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3.项目实施主体</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该项目由克州政务服务和公共资源交易中心实施，内设7个科室，分别是：克州12345政务服务热线管理科、效能督查科、综合管理科、政务服务科、办公室、工程建设与自然资源交易科、政府采购与产权交易科。</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编制人数24人，事业编制24人。实有在职人数20人，其中：事业在职19人、工勤1人、退休人员2人。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4.资金投入和使用情况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年度安排下达资金69.4万元，截至2023年12月31日，已完成：维护服务器数2台，维护系统数1套，聘用话务员人数14人，系统运行维护次数12次；通过该项目的实施，达到进一步畅通政府与企业和群众互动渠道，有效利用政务资源、提高服务效率和水平，建设人民满意的服务型政府，推进国家治理体系和治理能力现代化。</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（1）项目资金安排落实、总投入等情况分析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关于进一步优化政务服务便民热线的工作方案》的通知（新政办发〔2021〕43号）本年度安排下达资金69.4万元，为本级财力安排资金，最终确定项目资金总数为69.4万元。其中：中央财政拨款0万元，自治区财政拨款0万元，本级财政拨款69.4万元，上年结余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（2）项目资金实际使用情况分析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截至2024年12月31日，12345政务服务便民热线项目，实际支出69.2万元，预算执行率99.71%。主要用于主要用克州12345政务服务便民热线服务器租用，软件维护和14名话务员工资，有利于克州12345政务服务便民热线“接诉即办”，通过该项目实施达到推动全州政务服务便民热线归并优化，进一步畅通政府与企业和群众互动渠道，有效利用政务资源、提高服务效率和水平，建设人民满意的服务型政府，推进治理体系和治理能力现代化，不断增强人民群众的获得感、幸福感、安全感效果。</w:t>
      </w:r>
    </w:p>
    <w:p w14:paraId="28A77028">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（二）项目绩效目标。包括总体目标和阶段性目标。</w:t>
      </w:r>
    </w:p>
    <w:p w14:paraId="54F8EB95">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项目绩效目标包括项目绩效总目标和阶段性目标。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1.项目绩效总目标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已完成项目的一级指标、二级指标和三级指标任务，已实现提供“7×24小时”全天候人工服务。优化流程和资源配置，实现热线受理与后台办理服务紧密衔接，与自治区12345热线无缝对接，承担协调、监督和综合分析职责，不断深化接诉即办改革，健全受理、办理、反馈、督办、回访、重办、评价等环节的办理流程，建立“横向到边，纵向到底”的诉求协调办理体系，确保企业和群众反映的问题和合理诉求及时得到处置和办理，使政务服务便民热线接得更快、分得更准、办得更实，打造便捷、高效、规范、智慧的政务服务“总客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2.阶段性目标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(1)项目产出目标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①数量指标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“硬件`维护台数(台)”指标，预期指标值为=4台；</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“软件维护个数（个）”指标，预期指标值为=1个；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“聘用话务员人数（人）”指标，预期指标值为=11人；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“12345热线呼叫中心平台（个）”指标，预期指标值为=1个；</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②质量指标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“系统安全运行达标率（%）”指标，预期指标值为＝100%；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“电话接听率（%）”指标，预期指标值≥99%；</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“工单回访率（%）”指标，预期指标值＝100%；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③时效指标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“资金支付及时率（%）”指标，预期指标值＝100%；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“业务处理完成时限”指标，预期指标值≤5个工作日；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④成本指标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“系统维护费（万元）”指标，预期指标值为≤10万元；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“话务员工资（万元）”指标，预期指标值为≤59.40万元；</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（2）项目效益目标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①经济效益指标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②社会效益指标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“有效保障12345政务服务便民热线工作正常开展，提高工作效率”指标，预期指标值为有效保障；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③生态效益指标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④可持续影响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“满足企业群众诉求”指标，预期指标值为有效提升；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⑤满意度指标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“受益群众满意程度（%）”指标，预期指标值为&gt;=95%;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“受益工作人员满意度（%）”指标，预期指标值为&gt;=95%。</w:t>
      </w:r>
    </w:p>
    <w:p w14:paraId="70FC7F97">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17CC0AC4">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（一）绩效评价目的、对象</w:t>
      </w:r>
      <w:r>
        <w:rPr>
          <w:rStyle w:val="19"/>
          <w:rFonts w:hint="eastAsia" w:ascii="楷体" w:hAnsi="楷体" w:eastAsia="楷体" w:cs="楷体"/>
          <w:bCs w:val="0"/>
          <w:spacing w:val="-4"/>
          <w:sz w:val="32"/>
          <w:szCs w:val="32"/>
          <w:lang w:eastAsia="zh-CN"/>
        </w:rPr>
        <w:t>和</w:t>
      </w:r>
      <w:r>
        <w:rPr>
          <w:rStyle w:val="19"/>
          <w:rFonts w:hint="eastAsia" w:ascii="楷体" w:hAnsi="楷体" w:eastAsia="楷体" w:cs="楷体"/>
          <w:bCs w:val="0"/>
          <w:spacing w:val="-4"/>
          <w:sz w:val="32"/>
          <w:szCs w:val="32"/>
        </w:rPr>
        <w:t>范围。</w:t>
      </w:r>
    </w:p>
    <w:p w14:paraId="449BF42B">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1.绩效评价目的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12345政务服务便民热线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2.绩效评价对象</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3.绩效评价范围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5F826B18">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（二）绩效评价原则、评价指标体系（附表说明）、评价方法、评价标准等。</w:t>
      </w:r>
    </w:p>
    <w:p w14:paraId="53EE4B8C">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1.绩效评价原则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12345政务服务便民热线项目资金进行绩效评价，旨在了解项目资金使用和项目管理情况、取得的成绩及效益，进而分析在政策执行、预算资金安排、项目实施等方面存在的问题并提出针对性建议。本次绩效评价遵循的原则包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（1）科学公正。绩效评价应当运用科学合理的方法，按照规范的程序，对项目绩效进行客观、公正的反映。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（4）公开透明。绩效评价结果应依法依规公开，并自觉接受社会监督。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2.绩效评价指标体系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一级指标为：决策、过程、产出、效益。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3.绩效评价方法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立项依据充分性：比较法、文献法，查找法律法规政策以及规划，对比实际执行内容和政策支持内容是否匹配。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绩效目标合理性：比较法，对比分析年初编制项目支出绩效目标表与项目内容的相关性、资金的匹配性等。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预算编制科学性：成本效益分析法，分析在产出一定的情况下，成本取值是否有依据，是否经过询价，是否按照市场最低成本编制。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资金分配合理性：因素分析法，综合分析资金的分配依据是否充分，分配金额是否与项目实施单位需求金额一致，</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资金到位率：比较法，资金到位率预期指标值应为100.0%，通过实际计算，分析实际完成值和预期指标值之间的差距和原因。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预算执行率：比较法，预算执行率预期指标值应为100.0%，通过实际计算，分析实际完成值和预期指标值之间的差距和原因。</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资金使用合规性：文献法、实地勘察法，一是查找资金管理办法，包括专项资金管理办法和单位自有资金管理办法；二是通过查账了解具体开支情况，是否专款专用，是否按照标准支出。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管理制度健全性：文献法、比较法，查阅项目实施人员提供的财务和业务管理制度，将已建立的制度与现行的法律法规和政策要求进行对比，分析项目制度的合法性、合规性、完整性。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制度执行有效性：比较法，结合项目实际实施过程性文件，根据已建设的财务管理制度和项目管理制度综合分析制度执行的有效性。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定性指标：公众评判法，通过问卷及抽样调查等方式评价本项目实施后社会公众对于其实施效果的满意程度。</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4.绩效评价标准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15852E4F">
      <w:pPr>
        <w:spacing w:line="570" w:lineRule="exact"/>
        <w:ind w:firstLine="627" w:firstLineChars="200"/>
        <w:rPr>
          <w:rStyle w:val="19"/>
          <w:rFonts w:ascii="楷体" w:hAnsi="楷体" w:eastAsia="楷体" w:cs="楷体"/>
          <w:bCs w:val="0"/>
          <w:spacing w:val="-4"/>
          <w:sz w:val="32"/>
          <w:szCs w:val="32"/>
        </w:rPr>
      </w:pPr>
      <w:r>
        <w:rPr>
          <w:rStyle w:val="19"/>
          <w:rFonts w:hint="eastAsia" w:ascii="楷体" w:hAnsi="楷体" w:eastAsia="楷体" w:cs="楷体"/>
          <w:bCs w:val="0"/>
          <w:spacing w:val="-4"/>
          <w:sz w:val="32"/>
          <w:szCs w:val="32"/>
        </w:rPr>
        <w:t>（三）绩效评价工作过程。</w:t>
      </w:r>
    </w:p>
    <w:p w14:paraId="3F296AFD">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1.前期准备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张晓中任评价组组长，职务为中心主任：主要负责绩效评价组织协调工作，上情下达，制定绩效评价目标及考核项目；</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张志刚、杨杰、张鹏涛、郜利平任评价组成员：主要负责对接项目承建单位经办人员，组织收集审核项目相关工程资料，审核项目相关文件、实施方案、招投标档案等资料；</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邢哲、皮力旦木、张志刚：主要负责对接项目相关财务人员，负责收集查阅项目资金支付财务凭证相关附件资料，审核资金使用合规性、管理机制及操作流程。</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3.分析评价</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2025年3月10日-3月19日，评价小组按照绩效评价的原则和规范，对取得的资料进行审查核实，对采集的数据进行分析，按照绩效评价指标评分表逐项进行打分、分析、汇总各方评价结果。</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4.撰写与提交评价报告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2025年3月20日-3月30日，评价小组撰写绩效评价报告，按照新疆维吾尔自治区财政绩效管理信息系统绩效评价模块中统一格式和文本框架撰写绩效评价报告并提交审核。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5.问题整改</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6.档案整理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34042063">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332AD0DE">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12345政务服务便民热线经费项目”项目绩效进行客观公正的评价，本项目总得分为99.96分，绩效评级属于“良”。其中，决策类指标得分20分，过程类指标得分19.98分，产出类指标得分39.98分，效益类指标得分20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（二）综合评价结论</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经评价，本项目达到了年初设立的绩效目标，在实施过程中取得了良好的成效，具体表现在：12345政务服务便民热线经费项目已完成相关工作目标，推动了为民办实事，解决群众生活中的实际困难，加强民族团结，增进民族互信，关心关爱困难群众，实现维护社会稳定和长治久安总目标。同时实现企业和群众反映的问题和合理诉求及时得到处置和办理，使政务服务便民热线接得更快、分得更准、办得更实，打造便捷、高效、规范、智慧的政务服务“总客服”。</w:t>
      </w:r>
    </w:p>
    <w:p w14:paraId="6F92F510">
      <w:pPr>
        <w:spacing w:line="570" w:lineRule="exact"/>
        <w:ind w:firstLine="624" w:firstLineChars="200"/>
        <w:rPr>
          <w:rStyle w:val="19"/>
          <w:rFonts w:ascii="黑体" w:hAnsi="黑体" w:eastAsia="黑体" w:cs="黑体"/>
          <w:b w:val="0"/>
          <w:sz w:val="32"/>
          <w:szCs w:val="32"/>
        </w:rPr>
      </w:pPr>
      <w:r>
        <w:rPr>
          <w:rStyle w:val="19"/>
          <w:rFonts w:hint="eastAsia" w:ascii="黑体" w:hAnsi="黑体" w:eastAsia="黑体" w:cs="黑体"/>
          <w:b w:val="0"/>
          <w:spacing w:val="-4"/>
          <w:sz w:val="32"/>
          <w:szCs w:val="32"/>
        </w:rPr>
        <w:t xml:space="preserve">四、绩效评价指标分析 </w:t>
      </w:r>
    </w:p>
    <w:p w14:paraId="7AC24E1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0660E687">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1.项目立项情况分析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立项依据充分性：《国务院办公厅关于进一步优化地方政务服务便民热线的指导意见》（国办发〔2020〕53号）、印发《关于进一步优化政务服务便民热线的工作方案》的通知（新政办发〔2021〕43号）、《自治州进一步优化政务服务便民热线的工作方案》（克政办发〔2021〕26号）结合克州政务服务和公共资源交易中心职责组织实施。围绕克州政务服务和公共资源交易中心年度工作重点和工作计划制定经费预算，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立项程序规范性：根据决策依据编制工作计划和经费预算，经过与克州政务服务和公共资源交易中心财经领导小组进行沟通、筛选确定经费预算计划，上局务会研究确定最终预算方案，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2.绩效目标情况分析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xml:space="preserve"> </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（1）绩效目标合理性：制定了实施方案，明确了总体思路及目标、并对任务进行了详细分解，对目标进行了细化，根据评分标准，该指标不扣分，得3分。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（2）绩效指标明确性：将项目绩效目标细化分解为具体的绩效指标，根据评分标准，该指标不扣分，得2分。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3.资金投入情况分析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（1）预算编制科学性：预算编制经过自治州财政局按照12345政务服务便民热线经费项目69.40万元下拨，实际完成内容与项目内容匹配，项目投资额与工作任务相匹配，根据评分标准，该指标不扣分，得5分。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（2）资金分配合理性：资金分配按照12345政务服务便民热线经费项目：系统维护费10万元、话务员工资59.4万元,资金分配与实际相适应，根据评分标准，该指标不扣分，得5分。</w:t>
      </w:r>
    </w:p>
    <w:p w14:paraId="50F13D88">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59C4EEB4">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项目过程类指标包括资金管理和组织实施两方面的内容，由 5个三级指标构成，权重分为20分，实际得分19.98分，得分率为99.9%。</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1.资金管理情况分析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（1）资金到位率：该项目总投资69.40万元，克州财政局实际下达经费69.40万元，其中当年财政拨款69.40万元，财政资金足额拨付到位，根据评分标准，该指标不扣分，得5分。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预算执行率：本项目申请预算金额为69.40万元，预算批复实际下达金额为69.40万元，截至2024年12月31日，资金执行69.2万元，资金执行率99.71%。实际得分=（实际支出资金/实际到位资金）×100%*5=9.91。项目资金支出总体能够按照预算执行，根据评分标准，该指标扣0.02分，得4.98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存在偏差：预期绩效目标69.4万元，实际完成值为69.2万元，（3）资金使用合规性：该项目严格按照《克州政务服务和公共资源交易中心财务制度》及克州财政局资金相关的制度和管理规定实施，符合预算批复规定用途，不存在截留、挤占、挪用、虚列支出等情况，未发现违规使用情况，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（3）资金使用合规性：资金分配按照12345政务服务便民热线经费项目：系统维护费10万元、话务员工资59.4万元、资金分配与实际相适应，根据评分标准，该指标不扣分，得5分。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2.组织实施情况分析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管理制度健全性：该项目严格按照《克州政务服务和公共资源交易中心财务制度》及克州财政局资金相关的制度和管理规定实施相关的制度和管理规定实施，对财政专项资金进行严格管理，基本做到了专款专用，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56B1B57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0DD056CD">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项目产出类指标包括产出数量、产出质量、产出时效、产出成本四方面的内容，由12个三级指标构成，权重分为40分，实际得分39.98分，得分率为99.95%。</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1.数量指标完成情况分析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（1）对于“产出数量”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硬件维护台数4台，与预期目标一致，根据评分标准，该指标不扣分，得3分。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软件维护次数1次，与预期目标一致，根据评分标准，该指标不扣分，得3分。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聘用话务员人数11人，与预期目标一致，根据评分标准，该指标不扣分，得2分。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12345热线呼叫中心平台1台，与预期目标一致，根据评分标准，该指标不扣分，得2分。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（2）对于“产出质量”：</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系统安全运行达标率100%，与预期目标一致，根据评分标准，该指标不扣分，得3分。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电话接听率98%，与预期目标一致，根据评分标准，该指标不扣分，得3分。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工单回访率100%，与预期目标一致，根据评分标准，该指标不扣分，得4分。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（3）对于“产出时效”：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资金支付及时率100%，与预期目标指标一致，根据评分标准，该指标不扣分，得5分。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业务处理完成时限为5个工作日，与预期目标指标一致，根据评分标准，该指标不扣分，得5分。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合计得10分。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（4）对于“产出成本”：</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系统维护费10万元，与预期目标指标一致，根据评分标准，该指标不扣分，得5分。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话务员工资59.4万元，实际发放59.2万元，与预期目标指标不一致，有偏差：预期绩效目标69.4万元，实际完成值为69.2万元，偏差原因：因本项目是连续性项目，预算金额按照去年预算制定，本年重新招标，项目金额比去年差额。改进措施：改善预算执行，严格按照预算执行。根据评分标准，扣0.02分，实际得分4.98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合计得9.98分。</w:t>
      </w:r>
    </w:p>
    <w:p w14:paraId="4B125B0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10E12B33">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项目效益类指标由2个二级指标和2个三级指标构成构成，权重分为20分，实际得分20分，得分率为100%。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1.经济效益完成情况分析：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“有效保障12345政务服务便民热线工作正常开展，提高工作效率”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2.社会效益完成情况分析：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3.生态效益完成情况分析：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本项目无该指标。</w:t>
      </w:r>
    </w:p>
    <w:p w14:paraId="3E6B484E">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对于满意度指标：受益群众满意度95%，与预期目标一致，根据评分标准，该指标不扣分，得10分。</w:t>
      </w:r>
    </w:p>
    <w:p w14:paraId="6494E7EE">
      <w:pPr>
        <w:spacing w:line="570" w:lineRule="exact"/>
        <w:ind w:firstLine="624" w:firstLineChars="200"/>
        <w:rPr>
          <w:rStyle w:val="19"/>
          <w:rFonts w:hint="eastAsia" w:ascii="黑体" w:hAnsi="黑体" w:eastAsia="黑体" w:cs="黑体"/>
          <w:b w:val="0"/>
          <w:spacing w:val="-4"/>
          <w:sz w:val="32"/>
          <w:szCs w:val="32"/>
          <w:lang w:eastAsia="zh-CN"/>
        </w:rPr>
      </w:pPr>
      <w:r>
        <w:rPr>
          <w:rStyle w:val="19"/>
          <w:rFonts w:hint="eastAsia" w:ascii="黑体" w:hAnsi="黑体" w:eastAsia="黑体" w:cs="黑体"/>
          <w:b w:val="0"/>
          <w:spacing w:val="-4"/>
          <w:sz w:val="32"/>
          <w:szCs w:val="32"/>
        </w:rPr>
        <w:t>五、主要经验及做法、存在的问题及原因分析</w:t>
      </w:r>
    </w:p>
    <w:p w14:paraId="701487AB">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（一）主要经验及做法</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一是本项目能够严格按照《项目实施方案》执行，项目执行情况较好。</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（二）存在问题及原因分析</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5A46E1CD">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六、有关建议</w:t>
      </w:r>
    </w:p>
    <w:p w14:paraId="1F765113">
      <w:pPr>
        <w:spacing w:line="540" w:lineRule="exact"/>
        <w:ind w:firstLine="567"/>
        <w:rPr>
          <w:rStyle w:val="19"/>
          <w:rFonts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　　1.绩效管理方面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2.资金管理方面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3.项目管理方面</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14:paraId="3E308107">
      <w:pPr>
        <w:spacing w:line="570" w:lineRule="exact"/>
        <w:ind w:firstLine="624" w:firstLineChars="20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七、其他需要说明的问题</w:t>
      </w:r>
    </w:p>
    <w:p w14:paraId="0D1D974E">
      <w:pPr>
        <w:spacing w:line="540" w:lineRule="exact"/>
        <w:ind w:firstLine="567"/>
        <w:rPr>
          <w:rStyle w:val="19"/>
          <w:rFonts w:ascii="仿宋" w:hAnsi="仿宋" w:eastAsia="仿宋"/>
          <w:b w:val="0"/>
          <w:spacing w:val="-4"/>
          <w:sz w:val="32"/>
          <w:szCs w:val="32"/>
        </w:rPr>
      </w:pPr>
      <w:r>
        <w:rPr>
          <w:rStyle w:val="19"/>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　　附件1：《12345政务服务便民热线经费项目》项目绩效评价指标体系及评分标准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仿宋">
    <w:panose1 w:val="02010609060101010101"/>
    <w:charset w:val="86"/>
    <w:family w:val="modern"/>
    <w:pitch w:val="default"/>
    <w:sig w:usb0="800002BF" w:usb1="38CF7CFA" w:usb2="00000016" w:usb3="00000000" w:csb0="00040001" w:csb1="00000000"/>
  </w:font>
  <w:font w:name="方正楷体_GBK">
    <w:panose1 w:val="02000000000000000000"/>
    <w:charset w:val="86"/>
    <w:family w:val="auto"/>
    <w:pitch w:val="default"/>
    <w:sig w:usb0="800002BF" w:usb1="38C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849E43C">
        <w:pPr>
          <w:pStyle w:val="12"/>
          <w:jc w:val="center"/>
        </w:pPr>
        <w:r>
          <w:fldChar w:fldCharType="begin"/>
        </w:r>
        <w:r>
          <w:instrText xml:space="preserve">PAGE   \* MERGEFORMAT</w:instrText>
        </w:r>
        <w:r>
          <w:fldChar w:fldCharType="separate"/>
        </w:r>
        <w:r>
          <w:rPr>
            <w:lang w:val="zh-CN"/>
          </w:rPr>
          <w:t>1</w:t>
        </w:r>
        <w:r>
          <w:fldChar w:fldCharType="end"/>
        </w:r>
      </w:p>
    </w:sdtContent>
  </w:sdt>
  <w:p w14:paraId="04A4250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24298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Props1.xml><?xml version="1.0" encoding="utf-8"?>
<ds:datastoreItem xmlns:ds="http://schemas.openxmlformats.org/officeDocument/2006/customXml" ds:itemID="{62062e58-6034-4630-9bcd-2daf02a09ce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10435</Words>
  <Characters>10989</Characters>
  <Lines>5</Lines>
  <Paragraphs>1</Paragraphs>
  <TotalTime>0</TotalTime>
  <ScaleCrop>false</ScaleCrop>
  <LinksUpToDate>false</LinksUpToDate>
  <CharactersWithSpaces>11343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恺_xFF08_预算处_xFF09_</dc:creator>
  <cp:lastModifiedBy>雨。</cp:lastModifiedBy>
  <cp:lastPrinted>2018-12-31T10:56:00Z</cp:lastPrinted>
  <dcterms:modified xsi:type="dcterms:W3CDTF">2025-09-01T11:21:25Z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eyJoZGlkIjoiN2E1ZDY0MDI5MTE3YjM0ZGMyMzg4N2EwMDI4ZjJiM2YiLCJ1c2VySWQiOiIyNTk4NTcxMjUifQ==</vt:lpwstr>
  </property>
  <property fmtid="{D5CDD505-2E9C-101B-9397-08002B2CF9AE}" pid="4" name="ICV">
    <vt:lpwstr>2434629C2C5F44938E990BE14AE576EA_12</vt:lpwstr>
  </property>
</Properties>
</file>