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912912">
      <w:pPr>
        <w:spacing w:line="570" w:lineRule="exact"/>
        <w:jc w:val="center"/>
        <w:rPr>
          <w:rFonts w:ascii="华文中宋" w:hAnsi="华文中宋" w:eastAsia="华文中宋" w:cs="宋体"/>
          <w:b/>
          <w:kern w:val="0"/>
          <w:sz w:val="52"/>
          <w:szCs w:val="52"/>
        </w:rPr>
      </w:pPr>
    </w:p>
    <w:p w14:paraId="577F24E5">
      <w:pPr>
        <w:spacing w:line="570" w:lineRule="exact"/>
        <w:jc w:val="center"/>
        <w:rPr>
          <w:rFonts w:ascii="华文中宋" w:hAnsi="华文中宋" w:eastAsia="华文中宋" w:cs="宋体"/>
          <w:b/>
          <w:kern w:val="0"/>
          <w:sz w:val="52"/>
          <w:szCs w:val="52"/>
        </w:rPr>
      </w:pPr>
    </w:p>
    <w:p w14:paraId="4B82DE5D">
      <w:pPr>
        <w:spacing w:line="570" w:lineRule="exact"/>
        <w:jc w:val="center"/>
        <w:rPr>
          <w:rFonts w:ascii="华文中宋" w:hAnsi="华文中宋" w:eastAsia="华文中宋" w:cs="宋体"/>
          <w:b/>
          <w:kern w:val="0"/>
          <w:sz w:val="52"/>
          <w:szCs w:val="52"/>
        </w:rPr>
      </w:pPr>
    </w:p>
    <w:p w14:paraId="0A3AC03C">
      <w:pPr>
        <w:spacing w:line="570" w:lineRule="exact"/>
        <w:jc w:val="center"/>
        <w:rPr>
          <w:rFonts w:ascii="华文中宋" w:hAnsi="华文中宋" w:eastAsia="华文中宋" w:cs="宋体"/>
          <w:b/>
          <w:kern w:val="0"/>
          <w:sz w:val="52"/>
          <w:szCs w:val="52"/>
        </w:rPr>
      </w:pPr>
    </w:p>
    <w:p w14:paraId="64416D6E">
      <w:pPr>
        <w:spacing w:line="570" w:lineRule="exact"/>
        <w:rPr>
          <w:rFonts w:ascii="华文中宋" w:hAnsi="华文中宋" w:eastAsia="华文中宋" w:cs="宋体"/>
          <w:b/>
          <w:kern w:val="0"/>
          <w:sz w:val="52"/>
          <w:szCs w:val="52"/>
        </w:rPr>
      </w:pPr>
    </w:p>
    <w:p w14:paraId="4308466F">
      <w:pPr>
        <w:spacing w:line="570" w:lineRule="exact"/>
        <w:jc w:val="center"/>
        <w:rPr>
          <w:rFonts w:ascii="华文中宋" w:hAnsi="华文中宋" w:eastAsia="华文中宋" w:cs="宋体"/>
          <w:b/>
          <w:kern w:val="0"/>
          <w:sz w:val="52"/>
          <w:szCs w:val="52"/>
        </w:rPr>
      </w:pPr>
    </w:p>
    <w:p w14:paraId="4AD0B26F">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14:paraId="59EEA01B">
      <w:pPr>
        <w:spacing w:line="570" w:lineRule="exact"/>
        <w:jc w:val="center"/>
        <w:rPr>
          <w:rFonts w:ascii="华文中宋" w:hAnsi="华文中宋" w:eastAsia="华文中宋" w:cs="宋体"/>
          <w:b/>
          <w:kern w:val="0"/>
          <w:sz w:val="52"/>
          <w:szCs w:val="52"/>
        </w:rPr>
      </w:pPr>
    </w:p>
    <w:p w14:paraId="5B8A164A">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01F4A483">
      <w:pPr>
        <w:spacing w:line="570" w:lineRule="exact"/>
        <w:jc w:val="center"/>
        <w:rPr>
          <w:rFonts w:hAnsi="宋体" w:eastAsia="仿宋_GB2312" w:cs="宋体"/>
          <w:kern w:val="0"/>
          <w:sz w:val="30"/>
          <w:szCs w:val="30"/>
        </w:rPr>
      </w:pPr>
    </w:p>
    <w:p w14:paraId="41AF0D14">
      <w:pPr>
        <w:spacing w:line="570" w:lineRule="exact"/>
        <w:jc w:val="center"/>
        <w:rPr>
          <w:rFonts w:hAnsi="宋体" w:eastAsia="仿宋_GB2312" w:cs="宋体"/>
          <w:kern w:val="0"/>
          <w:sz w:val="30"/>
          <w:szCs w:val="30"/>
        </w:rPr>
      </w:pPr>
    </w:p>
    <w:p w14:paraId="51B2D856">
      <w:pPr>
        <w:spacing w:line="570" w:lineRule="exact"/>
        <w:jc w:val="center"/>
        <w:rPr>
          <w:rFonts w:hAnsi="宋体" w:eastAsia="仿宋_GB2312" w:cs="宋体"/>
          <w:kern w:val="0"/>
          <w:sz w:val="30"/>
          <w:szCs w:val="30"/>
        </w:rPr>
      </w:pPr>
    </w:p>
    <w:p w14:paraId="62E7AC09">
      <w:pPr>
        <w:spacing w:line="570" w:lineRule="exact"/>
        <w:jc w:val="center"/>
        <w:rPr>
          <w:rFonts w:hAnsi="宋体" w:eastAsia="仿宋_GB2312" w:cs="宋体"/>
          <w:kern w:val="0"/>
          <w:sz w:val="30"/>
          <w:szCs w:val="30"/>
        </w:rPr>
      </w:pPr>
    </w:p>
    <w:p w14:paraId="27B20935">
      <w:pPr>
        <w:spacing w:line="570" w:lineRule="exact"/>
        <w:jc w:val="center"/>
        <w:rPr>
          <w:rFonts w:hAnsi="宋体" w:eastAsia="仿宋_GB2312" w:cs="宋体"/>
          <w:kern w:val="0"/>
          <w:sz w:val="30"/>
          <w:szCs w:val="30"/>
        </w:rPr>
      </w:pPr>
    </w:p>
    <w:p w14:paraId="5B3B187D">
      <w:pPr>
        <w:spacing w:line="570" w:lineRule="exact"/>
        <w:jc w:val="center"/>
        <w:rPr>
          <w:rFonts w:hAnsi="宋体" w:eastAsia="仿宋_GB2312" w:cs="宋体"/>
          <w:kern w:val="0"/>
          <w:sz w:val="30"/>
          <w:szCs w:val="30"/>
        </w:rPr>
      </w:pPr>
    </w:p>
    <w:p w14:paraId="2E125112">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全社会节能减排专项资金项目</w:t>
      </w:r>
    </w:p>
    <w:p w14:paraId="59EC39E7">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克孜勒苏柯尔克孜自治州发展和改革委员会</w:t>
      </w:r>
    </w:p>
    <w:p w14:paraId="2430F75F">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克孜勒苏柯尔克孜自治州发展和改革委员会</w:t>
      </w:r>
    </w:p>
    <w:p w14:paraId="045297FD">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杨培鑫</w:t>
      </w:r>
    </w:p>
    <w:p w14:paraId="3D27859A">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2024年05月07日</w:t>
      </w:r>
    </w:p>
    <w:p w14:paraId="3D96DE26">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000033B1">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04C5D56A">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46C682C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遵循财政部《项目支出绩效评价管理办法》（财预〔2020〕10号）和关于印发《新疆维吾尔自治区节能减排专项资金管理暂行办法》的通知（新财建〔2010〕233号）等相关政策文件与规定，旨在评价节能减排资金经费项目实施前期、过程及效果，评价财政预算资金使用的效率及效益。根据自治州相关工作要求，加大自治州碳达峰碳中和工作力度，为深入推进节能减排工作，确保我州节能减排总体目标任务取得积极进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进一步补齐节能减排工作短板，提升节能减排工作质量，达到碳达峰碳中和工作效果，克孜勒苏柯尔克孜自治州发展和改革委员会节能减排专项资金60万元，其中：2022度已下达资金43.2万元，2023年度支付剩余资金16.8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根据《自治区发展改革委关于下达2021年自治区全社会节能减排专项资金</w:t>
      </w:r>
      <w:r>
        <w:rPr>
          <w:rStyle w:val="18"/>
          <w:rFonts w:hint="eastAsia" w:ascii="仿宋" w:hAnsi="仿宋" w:eastAsia="仿宋" w:cs="仿宋"/>
          <w:b w:val="0"/>
          <w:bCs w:val="0"/>
          <w:spacing w:val="-4"/>
          <w:sz w:val="32"/>
          <w:szCs w:val="32"/>
          <w:lang w:eastAsia="zh-CN"/>
        </w:rPr>
        <w:t>项目</w:t>
      </w:r>
      <w:r>
        <w:rPr>
          <w:rStyle w:val="18"/>
          <w:rFonts w:hint="eastAsia" w:ascii="仿宋" w:hAnsi="仿宋" w:eastAsia="仿宋" w:cs="仿宋"/>
          <w:b w:val="0"/>
          <w:bCs w:val="0"/>
          <w:spacing w:val="-4"/>
          <w:sz w:val="32"/>
          <w:szCs w:val="32"/>
        </w:rPr>
        <w:t>计划的通知》（新发改环资〔2021〕370号），宣传国家相关碳峰碳中和政策及法律法规，为深入贯彻落实自治区党委、人民政府关于碳达峰碳中和的重大战略决策，扎实推进自治州碳达峰工作。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由克孜勒苏柯尔克孜自治州发展和改革委员会实施，下设11个内设机构，分别是：办公室，综合规划科（“一带一路”协调推进科），政策法规和经济体制改革科，固定资产投资科（资源节约和环境保护科），项目建设管理科（社会发展科），产业发展和财经贸易科，地区和农村经济科，收费价格管理科，煤炭电力科，油气和可再生能源科，粮食和物资储备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编制人数53人，其中：行政人员编制24人、工勤3人、事业编制26人。实有在职人数83人，其中：行政在职29人、工勤3人、事业在职15人，公益性岗位人员1人。退休人员38人，其中：行政退休人员38人，遗属人员5人。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克财预【2023】1号文本年度自治区安排下达资金16.8万元，为自治区资金，最终确定项目资金总数为16.8万元。其中：中央财政拨款0万元，自治区财政拨款16.8万元，本级财政拨款0万元，上年结余0万元。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截至2023年12月31日，实际支出16.8万元，预算执行率100%。</w:t>
      </w:r>
    </w:p>
    <w:p w14:paraId="27DF9F5B">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29BB7E7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坚持以习近平新时代中国特色社会主义思想为指导，深入贯彻习近平生态文明思想，全面贯彻落实党的二十大精神，立足新发展阶段、贯彻新发展理念、构建新发展格局，坚持系统观念，将碳达峰碳中和纳入经济社会发展和生态文明建设整体布局，从供给、消费、固碳“三端”发力，立足资源禀赋，突出克州特色，科学制定克州碳达峰目标任务和时间表、路线图，加快形成节约资源和保护环境的产业结构、生产方式、生活方式、空间格局，率先推动经济社会发展全面绿色低碳转型，实现能耗“双控”向碳排放总量和强度“双控”转变，实现碳达峰目标，走出生态友好、绿色低碳、具有克州特色的高质量发展道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“支持项目个数（个）”指标，预期指标值为=2个；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“用能单位能耗监测覆盖率（%）”指标，预期指标值为=100%；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“规划编制验收合格率（%）”指标，预期指标值为=100%；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“资金到位及时率（%）”指标，预期指标值为=100%。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“按计划开工率（%）”指标，预期指标值为=100%。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“节能规划编制费用（万元）”指标，预期指标值为≤16.8万元；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“预算成本控制率（%）”指标，预期指标值为≤100%。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“能源资源消耗水平”指标，预期指标值为有效降低；</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“项目对能源可持续利用的影响度”指标，预期指标值为效果明显；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“受益人员满意度（%）”指标，预期指标值为≥95%。</w:t>
      </w:r>
    </w:p>
    <w:p w14:paraId="49E393CA">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67DE3418">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5A97795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2FF5B71B">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0EF1978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全社会节能减排专项经费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28131533">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0E56640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郭庆任评价组组长，职务为副局长，绩效评价工作职责为负责全盘工作。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栗献斌任评价组副组长，绩效评价工作职责为对项目实施情况进行实地调查。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吐尼沙古丽·塞买提任评价组成员，绩效评价工作职责为负责资料审核等工作。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237D9CA4">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660DCEA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全社会节能减排专项经费”项目绩效进行客观公正的评价，本项目总得分为100分，绩效评级属于“优”。其中，决策类指标得分20分，过程类指标得分20分，产出类指标得分40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经评价，本项目达到了年初设立的绩效目标，在实施过程中取得了良好的成效，具体表现在：自治州发改委通过公开招标的方式委托中标企业新疆清风朗月环保科技有限公司已完成《自治州碳达峰实施方案》和《自治州“十四五”节能规划实施方案》的编制，为自治州碳达峰碳中和打下基础。</w:t>
      </w:r>
    </w:p>
    <w:p w14:paraId="41451205">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76A7E54B">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1009459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（1）立项依据充分性：根据《自治区发展改革委关于下达2021年自治区全社会节能减排专项资金</w:t>
      </w:r>
      <w:r>
        <w:rPr>
          <w:rStyle w:val="18"/>
          <w:rFonts w:hint="eastAsia" w:ascii="仿宋" w:hAnsi="仿宋" w:eastAsia="仿宋" w:cs="仿宋"/>
          <w:b w:val="0"/>
          <w:bCs w:val="0"/>
          <w:spacing w:val="-4"/>
          <w:sz w:val="32"/>
          <w:szCs w:val="32"/>
          <w:lang w:eastAsia="zh-CN"/>
        </w:rPr>
        <w:t>项目</w:t>
      </w:r>
      <w:r>
        <w:rPr>
          <w:rStyle w:val="18"/>
          <w:rFonts w:hint="eastAsia" w:ascii="仿宋" w:hAnsi="仿宋" w:eastAsia="仿宋" w:cs="仿宋"/>
          <w:b w:val="0"/>
          <w:bCs w:val="0"/>
          <w:spacing w:val="-4"/>
          <w:sz w:val="32"/>
          <w:szCs w:val="32"/>
        </w:rPr>
        <w:t>计划的通知》（新发改环资〔2021〕370号），宣传国家相关碳峰碳中和政策及法律法规，为深入贯彻落实自治区党委、人民政府关于碳达峰碳中和的重大战略决策，扎实推进自治州碳达峰工作。结合克州发展和改革委员会办公室职责组织实施。围绕克州发展和改革委员会办公室2023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克州发展和改革委员会财经领导小组进行沟通、筛选确定经费预算计划，上党组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（5）预算编制科学性：预算编制经过自治州全社会节能减排专项经费项目下拨，实际完成内容与项目内容匹配，项目投资额与工作任务相匹配，根据评分标准，该指标不扣分，得5分。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关于印发《新疆维吾尔自治区节能减排专项资金管理暂行办法》的通知（新财建〔2010〕233号）等相关政策文件与规定，100%用于编制《自治州碳达峰实施方案》和《自治州十四五节能规划实施方案》资金分配与实际相适应，根据评分标准，该指标不扣分，得5分。</w:t>
      </w:r>
    </w:p>
    <w:p w14:paraId="45D789AF">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119B14D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项目过程类指标包括资金管理和组织实施两方面的内容，由5个三级指标构成，权重分为20分，实际得分20分，得分率为100%。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（1）资金到位率：该项目总投资16.8万元，克州财政局实际下达经费16.8万元，其中当年财政拨款16.8万元，财政资金足额拨付到位，根据评分标准，该指标不扣分，得5分。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16.8万元，预算批复实际下达金额为16.8万元。截至2023年12月31日，资金执行16.8万元，资金执行率100.00%。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（3）资金使用合规性：根据根据《自治区发展改革委关于下达2021年自治区全社会节能减排专项资金</w:t>
      </w:r>
      <w:r>
        <w:rPr>
          <w:rStyle w:val="18"/>
          <w:rFonts w:hint="eastAsia" w:ascii="仿宋" w:hAnsi="仿宋" w:eastAsia="仿宋" w:cs="仿宋"/>
          <w:b w:val="0"/>
          <w:bCs w:val="0"/>
          <w:spacing w:val="-4"/>
          <w:sz w:val="32"/>
          <w:szCs w:val="32"/>
          <w:lang w:eastAsia="zh-CN"/>
        </w:rPr>
        <w:t>项目</w:t>
      </w:r>
      <w:r>
        <w:rPr>
          <w:rStyle w:val="18"/>
          <w:rFonts w:hint="eastAsia" w:ascii="仿宋" w:hAnsi="仿宋" w:eastAsia="仿宋" w:cs="仿宋"/>
          <w:b w:val="0"/>
          <w:bCs w:val="0"/>
          <w:spacing w:val="-4"/>
          <w:sz w:val="32"/>
          <w:szCs w:val="32"/>
        </w:rPr>
        <w:t>计划的通知》（新发改环资〔2021〕370号）和关于印发《新疆维吾尔自治区节能减排专项资金管理暂行办法》的通知（新财建〔2010〕233号）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（4）管理制度健全性：该项目严格按照《克州发展和改革委员会财务制度》对财政专项资金进行严格管理，基本做到了专款专用，根据评分标准，该指标不扣分，得2分。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12E3C485">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19C0041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项目产出类指标包括产出数量、产出质量、产出时效、产出成本四方面的内容，由7个三级指标构成，权重分为40分，实际得分40分，得分率为100%。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支持项目2个，与预期目标一致，根据评分标准，该指标不扣分，得10分。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用能单位能耗监测覆盖率100%，与预期目标一致，根据评分标准，该指标不扣分，得5分。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规划编制验收合格率100%，与预期目标一致，根据评分标准，该指标不扣分，得5分。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资金到位及时率100%，与预期目标一致，根据评分标准，该指标不扣分，得5分。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按计划开工率100%，与预期目标一致，根据评分标准，该指标不扣分，得5分。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节能减排专项资金16.8万元，与预期目标一致，根据评分标准，该指标不扣分，得5分。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预算成本控制率100%，与预期目标一致，根据评分标准，该指标不扣分，得5分。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p>
    <w:p w14:paraId="67D20762">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14:paraId="40099995">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项目效益类指标包括项目效益2个方面的内容，由3个三级指标构成，权重分为20分，实际得分20分，得分率为100%。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能源资源消耗水平指标，与预期指标一致，根据评分标准，该指标不扣分，得5分。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项目对能源可持续利用的影响度指标，与预期指标一致，根据评分标准，该指标不扣分，得5分。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对于满意度指标：受益人员满意度95%，与预期目表一致，根据评分标准，该指标不扣分，得10分。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满意度指标合计得10分</w:t>
      </w:r>
    </w:p>
    <w:p w14:paraId="73D6CBBD">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14:paraId="1630AC7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6A35554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14:paraId="22CD247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1.项目建设的程序进一步规范。项目前期做好工作计划，细化实施方案，严格执行资金管理办法和财政资金管理制度，严格按照项目工作计划及实施方案稳步推进工作，单位根据自己项目的特点进行总结。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2.项目评价资料有待进一步完善。项目启动时同步做好档案的归纳与整理，及时整理、收集、汇总，健全档案资料。项目后续管理有待进一步加强和跟踪。</w:t>
      </w:r>
      <w:bookmarkStart w:id="0" w:name="_GoBack"/>
      <w:bookmarkEnd w:id="0"/>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4．评价工作应从项目实施方案源头抓起，评价工作和意识应贯穿项目整个过程。</w:t>
      </w:r>
    </w:p>
    <w:p w14:paraId="5DC32B4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14:paraId="2AD70FCA">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　　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F2D0860">
        <w:pPr>
          <w:pStyle w:val="12"/>
          <w:jc w:val="center"/>
        </w:pPr>
        <w:r>
          <w:fldChar w:fldCharType="begin"/>
        </w:r>
        <w:r>
          <w:instrText xml:space="preserve">PAGE   \* MERGEFORMAT</w:instrText>
        </w:r>
        <w:r>
          <w:fldChar w:fldCharType="separate"/>
        </w:r>
        <w:r>
          <w:rPr>
            <w:lang w:val="zh-CN"/>
          </w:rPr>
          <w:t>1</w:t>
        </w:r>
        <w:r>
          <w:fldChar w:fldCharType="end"/>
        </w:r>
      </w:p>
    </w:sdtContent>
  </w:sdt>
  <w:p w14:paraId="5BB36498">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1FAD506D"/>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20</Pages>
  <Words>7284</Words>
  <Characters>7566</Characters>
  <Lines>5</Lines>
  <Paragraphs>1</Paragraphs>
  <TotalTime>40</TotalTime>
  <ScaleCrop>false</ScaleCrop>
  <LinksUpToDate>false</LinksUpToDate>
  <CharactersWithSpaces>7844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禅</cp:lastModifiedBy>
  <cp:lastPrinted>2018-12-31T10:56:00Z</cp:lastPrinted>
  <dcterms:modified xsi:type="dcterms:W3CDTF">2024-11-28T09:55:29Z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122696A75B2946FDAF87ED7D124AFC95_12</vt:lpwstr>
  </property>
</Properties>
</file>