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F599CE">
      <w:pPr>
        <w:spacing w:line="570" w:lineRule="exact"/>
        <w:jc w:val="center"/>
        <w:rPr>
          <w:rFonts w:ascii="华文中宋" w:hAnsi="华文中宋" w:eastAsia="华文中宋" w:cs="宋体"/>
          <w:b/>
          <w:kern w:val="0"/>
          <w:sz w:val="52"/>
          <w:szCs w:val="52"/>
        </w:rPr>
      </w:pPr>
      <w:bookmarkStart w:id="0" w:name="_GoBack"/>
    </w:p>
    <w:p w14:paraId="1E444490">
      <w:pPr>
        <w:spacing w:line="570" w:lineRule="exact"/>
        <w:jc w:val="center"/>
        <w:rPr>
          <w:rFonts w:ascii="华文中宋" w:hAnsi="华文中宋" w:eastAsia="华文中宋" w:cs="宋体"/>
          <w:b/>
          <w:kern w:val="0"/>
          <w:sz w:val="52"/>
          <w:szCs w:val="52"/>
        </w:rPr>
      </w:pPr>
    </w:p>
    <w:p w14:paraId="6E037BB7">
      <w:pPr>
        <w:spacing w:line="570" w:lineRule="exact"/>
        <w:jc w:val="center"/>
        <w:rPr>
          <w:rFonts w:ascii="华文中宋" w:hAnsi="华文中宋" w:eastAsia="华文中宋" w:cs="宋体"/>
          <w:b/>
          <w:kern w:val="0"/>
          <w:sz w:val="52"/>
          <w:szCs w:val="52"/>
        </w:rPr>
      </w:pPr>
    </w:p>
    <w:p w14:paraId="32B27B75">
      <w:pPr>
        <w:spacing w:line="570" w:lineRule="exact"/>
        <w:jc w:val="center"/>
        <w:rPr>
          <w:rFonts w:ascii="华文中宋" w:hAnsi="华文中宋" w:eastAsia="华文中宋" w:cs="宋体"/>
          <w:b/>
          <w:kern w:val="0"/>
          <w:sz w:val="52"/>
          <w:szCs w:val="52"/>
        </w:rPr>
      </w:pPr>
    </w:p>
    <w:p w14:paraId="458AF68F">
      <w:pPr>
        <w:spacing w:line="570" w:lineRule="exact"/>
        <w:rPr>
          <w:rFonts w:ascii="华文中宋" w:hAnsi="华文中宋" w:eastAsia="华文中宋" w:cs="宋体"/>
          <w:b/>
          <w:kern w:val="0"/>
          <w:sz w:val="52"/>
          <w:szCs w:val="52"/>
        </w:rPr>
      </w:pPr>
    </w:p>
    <w:p w14:paraId="1EF522F2">
      <w:pPr>
        <w:spacing w:line="570" w:lineRule="exact"/>
        <w:jc w:val="center"/>
        <w:rPr>
          <w:rFonts w:ascii="华文中宋" w:hAnsi="华文中宋" w:eastAsia="华文中宋" w:cs="宋体"/>
          <w:b/>
          <w:kern w:val="0"/>
          <w:sz w:val="52"/>
          <w:szCs w:val="52"/>
        </w:rPr>
      </w:pPr>
    </w:p>
    <w:p w14:paraId="786002C7">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6DC296E6">
      <w:pPr>
        <w:spacing w:line="570" w:lineRule="exact"/>
        <w:jc w:val="center"/>
        <w:rPr>
          <w:rFonts w:ascii="华文中宋" w:hAnsi="华文中宋" w:eastAsia="华文中宋" w:cs="宋体"/>
          <w:b/>
          <w:kern w:val="0"/>
          <w:sz w:val="52"/>
          <w:szCs w:val="52"/>
        </w:rPr>
      </w:pPr>
    </w:p>
    <w:p w14:paraId="1D7E4EE9">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64EFDFEA">
      <w:pPr>
        <w:spacing w:line="570" w:lineRule="exact"/>
        <w:jc w:val="center"/>
        <w:rPr>
          <w:rFonts w:hAnsi="宋体" w:eastAsia="仿宋_GB2312" w:cs="宋体"/>
          <w:kern w:val="0"/>
          <w:sz w:val="30"/>
          <w:szCs w:val="30"/>
        </w:rPr>
      </w:pPr>
    </w:p>
    <w:p w14:paraId="1B8B631F">
      <w:pPr>
        <w:spacing w:line="570" w:lineRule="exact"/>
        <w:jc w:val="center"/>
        <w:rPr>
          <w:rFonts w:hAnsi="宋体" w:eastAsia="仿宋_GB2312" w:cs="宋体"/>
          <w:kern w:val="0"/>
          <w:sz w:val="30"/>
          <w:szCs w:val="30"/>
        </w:rPr>
      </w:pPr>
    </w:p>
    <w:p w14:paraId="7DB56331">
      <w:pPr>
        <w:spacing w:line="570" w:lineRule="exact"/>
        <w:jc w:val="center"/>
        <w:rPr>
          <w:rFonts w:hAnsi="宋体" w:eastAsia="仿宋_GB2312" w:cs="宋体"/>
          <w:kern w:val="0"/>
          <w:sz w:val="30"/>
          <w:szCs w:val="30"/>
        </w:rPr>
      </w:pPr>
    </w:p>
    <w:p w14:paraId="02F8BF6A">
      <w:pPr>
        <w:spacing w:line="570" w:lineRule="exact"/>
        <w:jc w:val="center"/>
        <w:rPr>
          <w:rFonts w:hAnsi="宋体" w:eastAsia="仿宋_GB2312" w:cs="宋体"/>
          <w:kern w:val="0"/>
          <w:sz w:val="30"/>
          <w:szCs w:val="30"/>
        </w:rPr>
      </w:pPr>
    </w:p>
    <w:p w14:paraId="645D2782">
      <w:pPr>
        <w:spacing w:line="570" w:lineRule="exact"/>
        <w:jc w:val="center"/>
        <w:rPr>
          <w:rFonts w:hAnsi="宋体" w:eastAsia="仿宋_GB2312" w:cs="宋体"/>
          <w:kern w:val="0"/>
          <w:sz w:val="30"/>
          <w:szCs w:val="30"/>
        </w:rPr>
      </w:pPr>
    </w:p>
    <w:p w14:paraId="7D88409D">
      <w:pPr>
        <w:spacing w:line="570" w:lineRule="exact"/>
        <w:jc w:val="center"/>
        <w:rPr>
          <w:rFonts w:hAnsi="宋体" w:eastAsia="仿宋_GB2312" w:cs="宋体"/>
          <w:kern w:val="0"/>
          <w:sz w:val="30"/>
          <w:szCs w:val="30"/>
        </w:rPr>
      </w:pPr>
    </w:p>
    <w:p w14:paraId="152CDEF5">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克州老年养护院建设项目</w:t>
      </w:r>
    </w:p>
    <w:p w14:paraId="74B1C084">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克孜勒苏柯尔克孜自治州民政局</w:t>
      </w:r>
    </w:p>
    <w:p w14:paraId="67059ED0">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克孜勒苏柯尔克孜自治州民政局</w:t>
      </w:r>
    </w:p>
    <w:p w14:paraId="04AFE4DF">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赵超</w:t>
      </w:r>
    </w:p>
    <w:p w14:paraId="4A0D43E8">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2024年04月19日</w:t>
      </w:r>
    </w:p>
    <w:p w14:paraId="62F896D1">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78092F7E">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69864507">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07908ED3">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 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据世界卫生组织的资料称，一个国家的老年人口系数达到 10%以 上（60 岁以上人口）或 7%（65 岁以上人口）时，标志着这个国家或 地区进入老年型。我国已成为老龄化速度最快，老年人口最多的国家。 自 1999 年我国步入老龄化社会以来，人口老龄化加速发展，老年人 口基数大、增长快并日益呈现高龄化、空巢化趋势，需要照料的失能、 半失能老人数量剧增。第六次全国人口普查显示，我国 60 岁及以上 老年人口已达 1.78 亿，占总人口的 13.26%，到 2050 年的将达到 3.34 亿占总人口的 22.6%，有关资料显示，我国现有 2360 多万老年人“独 守空巢”。随着人口老龄化的来临，老年人问题已成为一个世界问题， 同样是我国面临的一个严峻问题。加强社会养老服务体系建设的任务 十分繁重。近年来，在党和政府的高度重视下，各地出台政策措施，加大资 金支持力度，使我国的社会养老服务体系建设取得了长足发展。养老 机构数量不断增加，服务规模不断扩大，老年人的精神文化生活日益 丰富。截至 2010 年底，全国各类收养性养老机构已达 4 万个,养老床 位达 314.9 万张。社区养老服务设施进一步改善，社区日间照料服务 逐步拓展，已建成含日间照料功能的综合性社区服务中心 1.2 万个， 留宿照料床位 1.2 万张，日间照料床位 4.7 万张。以保障三无、五保、 高龄、独居、空巢、失能失智和低收入老人为重点，借助专业化养老 服务组织，提供生活照料、家政服务、康复护理、医疗保健等服务的 居家养老服务网络初步形成。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加强社会养老服务体系建设，已越来越成为各级党委政府关心、 社会广泛关注、群众迫切期待解决的重大民生问题。但是，我国社会养老服务体系建设仍然处于起步阶段，还存在着 与新形势、新任务、新需求不相适应的问题,如缺乏统筹规划，体系 建设缺乏整体性和连续性；社区养老服务和养老机构床位严重不足， 供需矛盾突出；设施简陋、功能单一，难以提供照料护理、医疗康复、 精神慰藉等多方面服务；布局不合理，区域之间、城乡之间发展不平 衡；政府投入不足，民间投资规模有限；服务队伍专业化程度不高， 行业发展缺乏后劲等等。克州人口 65 万，随着老龄化的发展，失能、失智的老年人逐渐 增多。但是克州养老服务机构数量有限，难以满足社会需要。根据克 州的实际，建设一所具有一定规模的机构养老院，为失能、失智的老 年人提供专门服务。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 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建设一座克州老年养护院，设置总床位 200 张，总建筑总面积 8500 ㎡。室内室外装饰装修，给排水、强弱电、消 防监控、设备购置、道路、停车场、绿化、景观等。</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建设面积8500平方米，设置总床位 200 张。通过该项目的实施，完善养老福利机构的设施配备，为保障完善养老福利机构的设施配备，提高养老服务水平。</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3.项目实施主体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（1）主要职能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孜苏柯尔克孜自治州民政局(以下简称自治州民政局)是自治州人民政府工作部门，为正县级。自治州民政局贯彻落实党中央关于民政工作的方针政策和决策部署以及自治区、自治州党委工作要求，在履行职责过程中坚持和加强党对民政工作的集中统一领导。主要职责是：贯彻执行国家、自治区关于民政工作的法律、法规规章、政策;拟订自治州民政事业发展规划并组织实施。拟订社会救助规划、政策和标准，健全城乡社会救助体系，指导有意愿的特困老人集中供养和孤儿集中收养;拟订社会保障兜底脱贫政策和标准，指导城乡最低生活保障、临时救助。承担自治州社会团体、民办非企业、社会服务机构的登记管理、监督责任;依法对自治州社会团体、民办非企业进行登记、年检和监督;指导社会组织党建工作。拟订自治州城乡基层群众自治建设和社区治理的规划、政策和标准;指导加强和完善城乡基层政权及社区治理，推动基层民主政治建设;指导城多社区服务体系建设。拟订行政区划、行政区城界线和地名管理政策和标准指导自治州行政区划调整、行政区城界线勘定和管理、地名管理负责县(市)、乡(镇)级行政区划设立、撤销、命名、变更和政府驻地迁移的初审上报工作。拟订</w:t>
      </w:r>
      <w:r>
        <w:rPr>
          <w:rStyle w:val="18"/>
          <w:rFonts w:hint="eastAsia" w:ascii="仿宋" w:hAnsi="仿宋" w:eastAsia="仿宋" w:cs="仿宋"/>
          <w:b w:val="0"/>
          <w:bCs w:val="0"/>
          <w:spacing w:val="-4"/>
          <w:sz w:val="32"/>
          <w:szCs w:val="32"/>
          <w:lang w:eastAsia="zh-CN"/>
        </w:rPr>
        <w:t>婚姻</w:t>
      </w:r>
      <w:r>
        <w:rPr>
          <w:rStyle w:val="18"/>
          <w:rFonts w:hint="eastAsia" w:ascii="仿宋" w:hAnsi="仿宋" w:eastAsia="仿宋" w:cs="仿宋"/>
          <w:b w:val="0"/>
          <w:bCs w:val="0"/>
          <w:spacing w:val="-4"/>
          <w:sz w:val="32"/>
          <w:szCs w:val="32"/>
        </w:rPr>
        <w:t>登记、殡葬管理办法;指导婚姻登记、殡葬服务机构管理，推进婚俗和殡葬改革。拟订老年人福利和养老服务业发展规划、政策和标准，推进社会养老服务体系建设;指导养老机构和特困人员救助供养机构建设和管理。拟订儿童福利、儿童收养和儿童保护政策、标准;健全农村留守儿童关爱体系和困境儿童保障制度;指导儿童福利收养登记、未成年人保护机构管理。拟订生活无着的流浪、乞讨人员救助政策和标准;指导救助管理和机构建设工作。拟订促进慈善事业发展规划、政策和标准;指导社会捐助，监管慈善行为;负责福利彩票发行管理。拟订残障福利发展政策和标准;指导残障福利和康复辅助器具行业发展;负责民政职责范围内的精神卫生工作。拟订社会工作发展规划、政策和职业规范，指导社会工作人才和志愿者队伍建设。按照“管行业必须管安全、管业务必须管安全”的要求，对本行业领城安全生产负行业监管(行业主管)职责，组织开展本行业领城安全生产宣传教育、日常监督检查工作。完成自治州党委、自治州人民政府交办的其他任务。克州民政局无下属预算单位，下设3个处室，分别是：办公室(基层政权和社会治理科)、社会救助和民间组织管理科、社会事务和区划地名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克州民政局所属事业单位包括：克州殡葬管理所、克州慈善总会、克州福利彩票发行中心、克州居民家庭经济状况核对中心，自治州低保中心，克孜勒苏柯尔克孜自治州民间组织登记服务中心。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克州民政局编制数28，实有人数26人，其中：在职26人，减少1人，增加3人； 退休19人，增加2人；离休1人，增加或减少0人。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 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中央安排&lt;关于下达2023年积极应对人口老龄化工程和托育建设中央基建投资预算的通知克财建【2023】15号&gt;克州老年养护院项目总资金3000万元，上年结余1187.65万元。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截至2023年12月31日，实际支出1812.35万元，预算执行率60.41%。</w:t>
      </w:r>
    </w:p>
    <w:p w14:paraId="565B24C6">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4B7544C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增加养老服务福利机构的床位供给，增强服务保障能力，完善养老服务福利机构的设施配备，建立健全优美舒适环境。项目总投资3000万元，建筑面积8500平方米，通过该项目的实施，完善养老福利机构的设施配备，为保障完善养老福利机构的设施配备，提高养老服务水平。</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p>
    <w:p w14:paraId="4702B9C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398D187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2DE3277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 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 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 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2C0A8109">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0D9269E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 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 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本次评价采用定量与定性评价相结合的比较法，公众评判法，总分由各项指标得分汇总形成。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 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44B6213D">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38B366E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1F0CA97F">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01508B48">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克州老年养护院项目”项目绩效进行客观公正的评价，本项目总得分为82.05分，绩效评级属于“良”。项目决策类指标得分20分，项目过程类指标得分18.02分，项目产出类指标得分27.99分，项目效益类指标得分16.04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w:t>
      </w:r>
      <w:r>
        <w:rPr>
          <w:rStyle w:val="18"/>
          <w:rFonts w:hint="eastAsia" w:ascii="仿宋" w:hAnsi="仿宋" w:eastAsia="仿宋" w:cs="仿宋"/>
          <w:b w:val="0"/>
          <w:bCs w:val="0"/>
          <w:spacing w:val="-4"/>
          <w:sz w:val="32"/>
          <w:szCs w:val="32"/>
        </w:rPr>
        <w:tab/>
        <w:t>经评价，本项目达到了年初设立的绩效目标，在实施过程中取得了良好的成效，具体表现在：做好精神卫生工作，关系到广大人民群众心身健康和社会稳定，对保障社会经济发展及社会稳定具有重要意义。克州精神病院是一家神经、精神防治的社会福利机构，在全州繁重的精神卫生工作中，起着极其重要的作用。如何在适应社会经济发展过程中构建全州精神卫生工作框架，有效综合防治各类精神疾患，保护广大群众的心身健康和社会安定，已成为全州人民的共同愿望与需求。为促进全州及周边地区精神病防治和心理卫生工作的全面发展，以满足全市及周边地区人民群众的健康需求。本项目建设的克州老年养护院是养老服务机构，为老年人、特殊困难群体提供集中救治、救助、护理、康复和照料等服务的社会福利机构。本项目的实施，实现“老有所养、老有所医、 老有所教、老有所学、老有所为、老有所乐”，是解决目前我国人口 老龄化的工作目标。近些年来，不少城市尤其是南方城市凭借丰富的 旅游资源、自然资源、人文环境优势，发展老年产业，提升了城市的知名度与影响力，促进经济又好又快发展。该项目的实施，是构建社会主义和谐社会的重要内容，是社会文 明进步的重要标志，对于塑造特色文化、提升克州形象，发展克州老龄产业具有积极深远的意义。同时，通过项目的实施，该项目建设是加强克州社会养老服务体系建设，是应对人口老龄 化、保障和改善民生的必然要求，符合国家、自治区、州政策和规划。</w:t>
      </w:r>
    </w:p>
    <w:p w14:paraId="579BD299">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2A6CA119">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323710D0">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1.项目决策情况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克财建【2023】15号）《关于下达2023年积极应对人口老龄化工程和托育建设中央基建投资预算的通知》，并结合克州民政局职责组织实施。围绕2023年度工作重点和工作计划制定经费预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（2）立项程序规范性：根据决策依据编制工作计划和经费预算，经过与克州民政局财经领导小组进行沟通、筛选确定经费预算计划，上局务会研究确定最终预算方案，根据评分标准，该指标不扣分，得2分。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 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克财建【2023】15号）《关于下达2023年积极应对人口老龄化工程和托育建设中央基建投资预算的通知》要求下拨，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克财建【2023】15号）《关于下达2023年积极应对人口老龄化工程和托育建设中央基建投资预算的通知》知要求，开展活动资金分配与实际相适应，根据评分标准，该指标不扣分，得5分。</w:t>
      </w:r>
    </w:p>
    <w:p w14:paraId="453682B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594A09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5个三级指标构成，权重分为20分，实际得分18.02分，得分率为90.1%。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中央安排&lt;关于下达2023年积极应对人口老龄化工程和托育建设中央基建投资预算的通知克财建【2023】15号&gt;克州老年养护院项目总资金3000万元，克州财政局实际下达经费3000万，其中当年财政拨款0万元，上年结转资金1187.65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（2）预算执行率：中央安排&lt;关于下达2023年积极应对人口老龄化工程和托育建设中央基建投资预算的通知克财建【2023】15号&gt;克州老年养护院项目总资金3000万元，预算批复实际下达金额为3000万元。截至 2023年 12 月 31日，资金执行1812.35万元，资金执行率60.41%。项目资金支出总体能够按照预算执行，根据评分标准（执行率*5）=（60.41%*5）=3.02，该指标扣1.98分，得3.02分。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根据（克财建【2023】15号）《关于下达2023年积极应对人口老龄化工程和托育建设中央基建投资预算的通知》，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（4）管理制度健全性：该项目严格按照《克州民政局财务制度》及访惠聚资金相关的制度和管理规定实施，对财政专项资金进行严格管理，基本做到了专款专用，根据评分标准，该指标不扣分，得2分。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1B4552CE">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738389B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项目产出类指标包括产出数量、产出质量、产出时效、产出成本四方面的内容，由7个三级指标构成，权重分为40分，实际得分27.99分，得分率为69.98%。</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老年养护院建设面积完成率60.41%，偏差原因：因项目进度未到，未及时进行支付，验收；改进措施：及时进行验收，加快资金支付。根据评分标准(完成率*5)=60.41%*5=3.02，该指标扣1.98分，得3.02分。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新建安全疏散出口4（处），与预期目标一致，根据评分标准，该指标不扣分，得5分。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产出数量合计得8.02分。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竣工验收完成率60.41%，偏差率39.59%，偏差原因：因项目进度未达到未进行支付，验收；改进措施：及时进行验收，加快资金支付根据评分标准（实际完成值/预期目标值）*100%*10=6.04，该指标扣3.96分，得6.04分。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合计得6.04分。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工程按期完成率60.41%，实际完成值60.41%，偏差率39.59%，偏差原因：因项目进度未达到未进行支付，验收；改进措施：及时进行验收，加快资金支付根据评分标准（实际完成值/预期目标值）*100%*10=6.04，该指标扣3.96分，得6.04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产出时效合计得6.04分。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建设工程经费1692.96万元，与预期目标指标不一致，预期指标值2813万元，实际完成值1692.96万元，偏差率42.22%，偏差原因：因项目进度未达到及时进行支付，验收；改进措施：及时进行验收，加快资金支付根据评分标准（实际完成值/预期目标值）*100%*10=（1692.96/2813）*100%*5=2.89，该指标扣2.11分，得2.89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工程前期建设费用187万元，与预期目标指标一致，预根据评分标准，该指标扣分，得5分。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合计得7.89分。</w:t>
      </w:r>
    </w:p>
    <w:p w14:paraId="194B5F96">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40382C1B">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项目效益类指标包括项目效益2个方面的内容，由2个三级指标构成，权重分为20分，实际得分16.04分，得分率为80.2%。</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养老服务水平，与预期指标不一致，偏差原因：因项目进度未达到及时进行支付，验收；改进措施：及时进行验收，加快资金支付。根据评分标准（实际完成值/预期指标值）*100%*5=（未达成年度指标且效果较差/逐步加快）*100%*10=60.41%*10=6.04，该指标扣3.96分，得6.04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实施效益指标合计得6.04分。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对于满意度指标：受益人员满意度98%，根据评分标准，该指标不扣分，得10分。</w:t>
      </w:r>
    </w:p>
    <w:p w14:paraId="086200C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319B78C7">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本项目能够严格按照《项目实施方案》执行，项目执行情况较好。二是加强组织领导，本项目绩效评价工作，江楠亲自负责，分管财务领导具体负责，从项目到资金，均能后很好地执行。三是强沟通协调，我单位及时向绩效评价项目小组汇报项目进度，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524F33CB">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2A66C73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1.项目建设的程序进一步规范。项目前期做好工作计划，细化实施方案，严格执行资金管理办法和财政资金管理制度，严格按照项目工作计划及实施方案稳步推进工作，单位根据自己项目的特点进行总结。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2.项目评价资料有待进一步完善。项目启动时同步做好档案的归纳与整理，及时整理、收集、汇总，健全档案资料。项目后续管理有待进一步加强和跟踪。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3.通过绩效管理，发现实施中存在漏洞，以后加强管理，及时掌握与之相关的各类信息，减少成本，使资金效益最大化。</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4．评价工作应从项目实施方案源头抓起，评价工作和意识应贯穿项目整个过程。</w:t>
      </w:r>
    </w:p>
    <w:p w14:paraId="5A46DF72">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4AFBEE1E">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附件1：2023年度老年养护院建设项目绩效评价指标体系及评分标准</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7CE5E8B2">
        <w:pPr>
          <w:pStyle w:val="12"/>
          <w:jc w:val="center"/>
        </w:pPr>
        <w:r>
          <w:fldChar w:fldCharType="begin"/>
        </w:r>
        <w:r>
          <w:instrText xml:space="preserve">PAGE   \* MERGEFORMAT</w:instrText>
        </w:r>
        <w:r>
          <w:fldChar w:fldCharType="separate"/>
        </w:r>
        <w:r>
          <w:rPr>
            <w:lang w:val="zh-CN"/>
          </w:rPr>
          <w:t>1</w:t>
        </w:r>
        <w:r>
          <w:fldChar w:fldCharType="end"/>
        </w:r>
      </w:p>
    </w:sdtContent>
  </w:sdt>
  <w:p w14:paraId="39956EEA">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2AE11386"/>
    <w:rsid w:val="2D4C6AD2"/>
    <w:rsid w:val="2D5A6638"/>
    <w:rsid w:val="340D5924"/>
    <w:rsid w:val="43B04001"/>
    <w:rsid w:val="45687296"/>
    <w:rsid w:val="4609551D"/>
    <w:rsid w:val="4D2606A1"/>
    <w:rsid w:val="4DD42C22"/>
    <w:rsid w:val="50796DE0"/>
    <w:rsid w:val="5BDB5DEC"/>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21</Pages>
  <Words>8428</Words>
  <Characters>8946</Characters>
  <Lines>5</Lines>
  <Paragraphs>1</Paragraphs>
  <TotalTime>40</TotalTime>
  <ScaleCrop>false</ScaleCrop>
  <LinksUpToDate>false</LinksUpToDate>
  <CharactersWithSpaces>9263</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2024-11-28T11:00:13Z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C95779A993B5498BBBEE34EF145C9EE0_12</vt:lpwstr>
  </property>
</Properties>
</file>