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</w:rPr>
        <w:t>附件4：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3" w:firstLineChars="20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克州财政局</w:t>
      </w:r>
      <w:r>
        <w:rPr>
          <w:rFonts w:hint="eastAsia" w:ascii="仿宋" w:hAnsi="仿宋" w:eastAsia="仿宋" w:cs="仿宋"/>
          <w:b/>
          <w:bCs/>
          <w:sz w:val="44"/>
          <w:szCs w:val="44"/>
        </w:rPr>
        <w:t>部门单位整体支出绩效自评报告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（2023年度）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5" w:firstLineChars="4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部门单位名称（公章）：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克州第二幼儿园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5" w:firstLineChars="4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填报时间：2024年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3" w:firstLineChars="200"/>
        <w:jc w:val="left"/>
        <w:textAlignment w:val="auto"/>
        <w:outlineLvl w:val="0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一、基本概况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3" w:firstLineChars="200"/>
        <w:jc w:val="left"/>
        <w:textAlignment w:val="auto"/>
        <w:outlineLvl w:val="1"/>
        <w:rPr>
          <w:rFonts w:hint="eastAsia" w:ascii="仿宋" w:hAnsi="仿宋" w:eastAsia="仿宋" w:cs="仿宋"/>
          <w:b/>
          <w:bCs/>
          <w:color w:val="FF0000"/>
          <w:sz w:val="32"/>
          <w:szCs w:val="32"/>
          <w:lang w:eastAsia="zh-CN" w:bidi="ar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 w:bidi="ar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 w:bidi="ar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.部门机构设置及人员构成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2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克州第二幼儿园无下属预算单位，下设9个科室，分别是：书记室、园长室、副园长室、党建办公室、行政办公室、财务室、总务室、保健室、保教室。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2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克州克州第二幼儿园编制数33人，实有人数61人，其中：在职61人，退休0人。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2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.部门主要职能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） 克孜勒苏柯尔克孜自治州第二幼儿园经2017年8月16日自治州党委编委会研究决定成立，隶属于克州教育局管理的城市公办幼儿园。全面贯彻执行党和国家的教育方针、政策、法规，坚持社会主义办学方向，努力培养德、智、体全面发展的社会主义事业建设者和接班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）实行保育与教育相结合的原则，促进幼儿身体机能协调发展，增强体质，培养良好的行为习惯；同时，加强幼儿国家通用语言文字的掌握和使用。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outlineLvl w:val="1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部门单位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年度重点工作计划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1.持续深化开展把党建工作作为办学治园的重要内容，发挥党支部作用，力推党风廉政建设和师德师风工作，使党支部成为幼儿园教书育人的坚强战斗堡垒。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2.依法办园、以德立园，完善发展规划，明晰幼儿园办学理念、办园目标以及分年度、分部门的目标、措施等，增强规划的执行意识，推动教育发展，促进幼儿成长。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3.加强家园共育，促进和谐发展，安全教育贯穿于幼儿生活的每一个环节，进一步提高家长对教育幼儿时有关安全教育的认识，同时让幼儿了解更多有关自身安全的知识，全力确保校园安全稳定。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4.加强内部管理，提高办园质量；加大教研力度，全方位地开展教研活动；加强教师队伍建设，提高师资素质；加强教育教学管理，促进保教质量提高；架起家园联系的桥梁，促进幼儿协调发展；做好保健工作，确保幼儿的安全，保障幼儿快乐健康成长。抓好幼小衔接工作，为进一步的学习打好基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3" w:firstLineChars="200"/>
        <w:jc w:val="left"/>
        <w:textAlignment w:val="auto"/>
        <w:outlineLvl w:val="1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（三）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部门单位整体预算规模及安排情况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outlineLvl w:val="0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1.年初预算安排情况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我单位年初预算数为1074.17万元，实际预算执行数993.78万元，预算执行率为92.52%。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综上所述，部门预算安排与单位职能关联度较高，预算安排结构清晰明了，能够直观展示各项费用的分配情况，预算规模合理，为单位的稳健发展和高效运行提供了有力保障。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outlineLvl w:val="0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2.预算调整情况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我单位年初批复预算数1074.17万元，年中调整数88.76万元，调整后全年预算数1162.92万元，预算调整率8%。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综上所述，年中预算调整幅度与单位运转情况和履职情况相匹配，未出现资金收支不平衡以及债务风险等负面影响，确保了预算调整的合理性和必要性。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outlineLvl w:val="0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3.全年预算执行情况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全年预算数为1162.92万元，全年实际支出资金1162.72万元，预算执行率为99.98%。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综上所述，本年度在执行预算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过程中不存在闲置、浪费或挪用等情况，执行预算在预期可控范围内，严格按照项目进度支付资金，不存在超进度付款情况，资金支出方向合理，资金支出流程规范。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outlineLvl w:val="0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4.资金使用主要内容及范围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我单位2023年全年预算支出金额共计1162.72万元。其中：基本支出为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938.43万元，主要用于工资福利、办公费、水电网、取暖费、物业管理费、差旅培训、维修费、工会福利费、其他商品和服务、对个人和家庭的补助、办公设备购置；项目支出224.29万元，主要用于学前发展专项164.99万元、保安工资9.34万元、幼儿伙食费49.96万元等地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3" w:firstLineChars="200"/>
        <w:jc w:val="left"/>
        <w:textAlignment w:val="auto"/>
        <w:outlineLvl w:val="0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二、部门单位整体支出管理及使用情况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outlineLvl w:val="1"/>
        <w:rPr>
          <w:rFonts w:hint="default" w:ascii="仿宋" w:hAnsi="仿宋" w:eastAsia="仿宋" w:cs="仿宋"/>
          <w:b/>
          <w:bCs/>
          <w:color w:val="000000" w:themeColor="text1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 w:bidi="ar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 w:bidi="ar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整体支出规模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2023年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度本单位部门整体支出资金总额为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1162.72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万元，预算执行率为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99.98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%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outlineLvl w:val="1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 w:bidi="ar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 w:bidi="ar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基本支出管理和使用情况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2023年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度我单位基本支出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年初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预算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总额为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819.45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万元，年中调增预算总额为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118.98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,全年预算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总额为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938.43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万元，预算调整率为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14.52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%。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执行总额为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938.43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预算执行率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基本支出严格按照财务管理制度执行。人员工资由编办、人社局、社保局、医保局、住房公积金管理办公室及财政局等部门逐个审核，按月申报及发放。基本公用经费用于支付办公室日常的邮电费、水电费、差旅培训费、取暖费、物业管理费、维修费、办公用品、办公耗材款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outlineLvl w:val="1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（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en-US"/>
        </w:rPr>
        <w:t>三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）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支出管理和使用情况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outlineLvl w:val="1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1.项目管理情况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（1）管理制度健全性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本单位从预算收支管理、资产管理、政府采购管理、合同管理等方面，健全和完善单位财务管理制度、坚定实施各项内部控制制度；为加强预算管理，规范财务行为，已制定《克州第二幼儿园预算绩效管理工作实施办法》，《克州第二幼儿园财务管理制度》等健全完整的各项管理制度，有效保障了我单位高效的履行工作职能，较好的促进事业发展。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both"/>
        <w:rPr>
          <w:rStyle w:val="8"/>
          <w:rFonts w:ascii="Times New Roman" w:hAnsi="Times New Roman" w:eastAsia="方正仿宋_GBK" w:cs="仿宋_GB2312"/>
          <w:b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b/>
          <w:bCs/>
          <w:color w:val="000000" w:themeColor="text1"/>
          <w:kern w:val="2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（2）资金使用合规性和安全性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据自评小组对账务、会计凭证核查显示，我单位2023年预算资金使用符合国家法规和财务管理制度；预算资金拨付有完整的审批程序和手续，符合项目预算批复或合同规定的用途；我单位建立了内部沟通协调机制，资金预算和计划的编制、调整、资金申请、信息及资料有效传递。采购合同和验收报告作为财务室采购资金支付的主要依据，在达到合同约定的付款条件时，采购需求部门及时向财务室递交采购公告、中标通知书、采购合同、验收报告以及原始发票等，由财务室按资金拨付规定及流程实行国库集中支付；不存在截留、挤占、挪用、虚列支出等情况，确保我单位预算资金规范运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outlineLvl w:val="1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2.项目使用情况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2023年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度本单位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年初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项目预算总额为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254.71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，本年追减项目预算数合计30.22万元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全年项目预算数合计224.49万元；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实际执行资金总额为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224.29</w:t>
      </w:r>
      <w:r>
        <w:rPr>
          <w:rFonts w:hint="eastAsia" w:ascii="仿宋" w:hAnsi="仿宋" w:eastAsia="仿宋" w:cs="仿宋"/>
          <w:sz w:val="32"/>
          <w:szCs w:val="32"/>
        </w:rPr>
        <w:t>万元，预算执行率为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99.91</w:t>
      </w:r>
      <w:r>
        <w:rPr>
          <w:rFonts w:hint="eastAsia" w:ascii="仿宋" w:hAnsi="仿宋" w:eastAsia="仿宋" w:cs="仿宋"/>
          <w:sz w:val="32"/>
          <w:szCs w:val="32"/>
        </w:rPr>
        <w:t>%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2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 w:bidi="ar"/>
        </w:rPr>
        <w:t>（1）专项支出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管理和使用情况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2023年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度预算安排专项资金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174.45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万元，实际支出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资金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174.33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万元。</w:t>
      </w:r>
      <w:r>
        <w:rPr>
          <w:rFonts w:hint="eastAsia" w:ascii="仿宋" w:hAnsi="仿宋" w:eastAsia="仿宋" w:cs="仿宋"/>
          <w:sz w:val="32"/>
          <w:szCs w:val="32"/>
        </w:rPr>
        <w:t>预算执行率为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99.93</w:t>
      </w:r>
      <w:r>
        <w:rPr>
          <w:rFonts w:hint="eastAsia" w:ascii="仿宋" w:hAnsi="仿宋" w:eastAsia="仿宋" w:cs="仿宋"/>
          <w:sz w:val="32"/>
          <w:szCs w:val="32"/>
        </w:rPr>
        <w:t>%，涉及项目个数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个。各项目详细执行情况如下：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支持学前教育发展资金项目：预算数165万元，预算执行数为164.99万元，预算执行率为99.99%，主要用于安吉游戏项目1个，设施设备维护12月，改造户外场地1个，有利于提高了我园办园条件，达到保障幼儿生活、学习的安全,提升幼儿园教学质量的效益。</w:t>
      </w: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南疆四地州中小学幼儿园保安人员补助</w:t>
      </w:r>
      <w:r>
        <w:rPr>
          <w:rFonts w:hint="default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项目：预算数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9.45</w:t>
      </w:r>
      <w:r>
        <w:rPr>
          <w:rFonts w:hint="default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万元，预算执行数为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9.34</w:t>
      </w:r>
      <w:r>
        <w:rPr>
          <w:rFonts w:hint="default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万元，预算执行率为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98.84</w:t>
      </w:r>
      <w:r>
        <w:rPr>
          <w:rFonts w:hint="default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%，主要用于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6名保安工资和保险</w:t>
      </w:r>
      <w:r>
        <w:rPr>
          <w:rFonts w:hint="default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，有利于提高保安生活质量水平，达到加强了学校安全防范工作，幼儿园可持续稳定发展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的</w:t>
      </w:r>
      <w:r>
        <w:rPr>
          <w:rFonts w:hint="default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效益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2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 w:bidi="ar"/>
        </w:rPr>
        <w:t>（2）非财政拨款资金项目管理和使用情况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2023年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度预算安排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 w:bidi="ar"/>
        </w:rPr>
        <w:t>非财政拨款资金项目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50.04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万元，实际支出资金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49.96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万元。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预算执行率为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99.84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%，涉及项目个数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个。各项目详细执行情况如下：</w:t>
      </w:r>
    </w:p>
    <w:p>
      <w:pPr>
        <w:pStyle w:val="3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i w:val="0"/>
          <w:iCs w:val="0"/>
          <w:color w:val="auto"/>
          <w:sz w:val="32"/>
          <w:szCs w:val="32"/>
          <w:highlight w:val="none"/>
          <w:lang w:val="en-US" w:eastAsia="zh-CN"/>
        </w:rPr>
        <w:t>幼儿伙食费项目：预算数50.04万元，预算执行数为49.96万元，预算执行率为99.84%；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主要用于417名幼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儿，150天的伙食费用，有利于保障幼儿食品安全健康，达到促进幼儿健康发展，同时使家长放心满意的效益。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3" w:firstLineChars="200"/>
        <w:jc w:val="left"/>
        <w:textAlignment w:val="auto"/>
        <w:outlineLvl w:val="0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部门单位整体支出绩效情况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jc w:val="both"/>
        <w:rPr>
          <w:rFonts w:hint="eastAsia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我单位2023年全年预算金额为1162.92万元，执行金额为1162.72万元，执行率为99.98%，得9.99分。</w:t>
      </w:r>
    </w:p>
    <w:p>
      <w:pPr>
        <w:snapToGrid w:val="0"/>
        <w:spacing w:line="560" w:lineRule="exact"/>
        <w:jc w:val="left"/>
        <w:outlineLvl w:val="1"/>
        <w:rPr>
          <w:rFonts w:ascii="仿宋" w:hAnsi="仿宋" w:eastAsia="仿宋" w:cs="仿宋"/>
          <w:b/>
          <w:bCs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（一）运行成本指标完成情况分析</w:t>
      </w:r>
    </w:p>
    <w:p>
      <w:pPr>
        <w:snapToGrid w:val="0"/>
        <w:spacing w:line="560" w:lineRule="exact"/>
        <w:jc w:val="left"/>
        <w:outlineLvl w:val="1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本单位无此指标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outlineLvl w:val="1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 w:bidi="ar"/>
          <w14:textFill>
            <w14:solidFill>
              <w14:schemeClr w14:val="tx1"/>
            </w14:solidFill>
          </w14:textFill>
        </w:rPr>
        <w:t>（二）管理效率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outlineLvl w:val="1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 w:bidi="ar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督促学生持续做好八大习惯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”指标：预期指标值为﹦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%，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年中监控实际完成值50%，根据我单位“克州第二幼儿园八大习惯开展情况总结”显示，本次评价实际完成值为100%，该指标完成率为100%，实施情况描述：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 w:bidi="ar"/>
          <w14:textFill>
            <w14:solidFill>
              <w14:schemeClr w14:val="tx1"/>
            </w14:solidFill>
          </w14:textFill>
        </w:rPr>
        <w:t>以一日生活为抓手，抓住一切教育契机，把良好习惯的养成教育贯穿到集体教学、区域游戏、生活活动、游戏活动中，使八大习惯养成教育的开展更加系统化、目标化</w:t>
      </w:r>
      <w:r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  <w:highlight w:val="none"/>
          <w:lang w:val="en-US" w:eastAsia="zh-CN" w:bidi="ar"/>
        </w:rPr>
        <w:t>。该指标权重分值为15分，自评得分15分。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outlineLvl w:val="1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highlight w:val="none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highlight w:val="none"/>
          <w:lang w:eastAsia="zh-CN" w:bidi="ar"/>
          <w14:textFill>
            <w14:solidFill>
              <w14:schemeClr w14:val="tx1"/>
            </w14:solidFill>
          </w14:textFill>
        </w:rPr>
        <w:t>（三）履职效能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highlight w:val="none"/>
          <w:lang w:bidi="ar"/>
          <w14:textFill>
            <w14:solidFill>
              <w14:schemeClr w14:val="tx1"/>
            </w14:solidFill>
          </w14:textFill>
        </w:rPr>
        <w:t>指标完成情况分析</w:t>
      </w:r>
    </w:p>
    <w:p>
      <w:pPr>
        <w:pStyle w:val="5"/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i w:val="0"/>
          <w:iCs w:val="0"/>
          <w:kern w:val="0"/>
          <w:sz w:val="32"/>
          <w:szCs w:val="32"/>
          <w:highlight w:val="none"/>
          <w:lang w:eastAsia="zh-CN" w:bidi="en-US"/>
        </w:rPr>
        <w:t>（</w:t>
      </w:r>
      <w:r>
        <w:rPr>
          <w:rFonts w:hint="eastAsia" w:ascii="仿宋" w:hAnsi="仿宋" w:eastAsia="仿宋" w:cs="仿宋"/>
          <w:i w:val="0"/>
          <w:iCs w:val="0"/>
          <w:kern w:val="0"/>
          <w:sz w:val="32"/>
          <w:szCs w:val="32"/>
          <w:highlight w:val="none"/>
          <w:lang w:val="en-US" w:eastAsia="zh-CN" w:bidi="en-US"/>
        </w:rPr>
        <w:t>1</w:t>
      </w:r>
      <w:r>
        <w:rPr>
          <w:rFonts w:hint="eastAsia" w:ascii="仿宋" w:hAnsi="仿宋" w:eastAsia="仿宋" w:cs="仿宋"/>
          <w:i w:val="0"/>
          <w:iCs w:val="0"/>
          <w:kern w:val="0"/>
          <w:sz w:val="32"/>
          <w:szCs w:val="32"/>
          <w:highlight w:val="none"/>
          <w:lang w:eastAsia="zh-CN" w:bidi="en-US"/>
        </w:rPr>
        <w:t>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“完成2023年招聘工作”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eastAsia="zh-CN" w:bidi="ar"/>
          <w14:textFill>
            <w14:solidFill>
              <w14:schemeClr w14:val="tx1"/>
            </w14:solidFill>
          </w14:textFill>
        </w:rPr>
        <w:t>指标：预期指标值为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eastAsia="zh-CN" w:bidi="ar"/>
          <w14:textFill>
            <w14:solidFill>
              <w14:schemeClr w14:val="tx1"/>
            </w14:solidFill>
          </w14:textFill>
        </w:rPr>
        <w:t>人，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年中监控实际完成值9人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eastAsia="zh-CN" w:bidi="ar"/>
          <w14:textFill>
            <w14:solidFill>
              <w14:schemeClr w14:val="tx1"/>
            </w14:solidFill>
          </w14:textFill>
        </w:rPr>
        <w:t>。根据我单位“2023年教师招聘文件、教师招聘情况说明”资料显示，本次招聘教师到岗总数共计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eastAsia="zh-CN" w:bidi="ar"/>
          <w14:textFill>
            <w14:solidFill>
              <w14:schemeClr w14:val="tx1"/>
            </w14:solidFill>
          </w14:textFill>
        </w:rPr>
        <w:t>人，实施情况：教师招聘工作按照发布招聘信息、报名及资格审查、考试（考核）、体检、考察、公示、聘用等程序进行。本次招聘通过州教育局面向社会公开招聘（1人），我园赴其他省市高校招聘（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eastAsia="zh-CN" w:bidi="ar"/>
          <w14:textFill>
            <w14:solidFill>
              <w14:schemeClr w14:val="tx1"/>
            </w14:solidFill>
          </w14:textFill>
        </w:rPr>
        <w:t>人）两种招聘形式。招聘考试采用笔试加面试（考核）的方式进行，参考人员需现场参加笔试和面试（由赴内地招聘工作组负责组织考试），该指标完成率为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eastAsia="zh-CN" w:bidi="ar"/>
          <w14:textFill>
            <w14:solidFill>
              <w14:schemeClr w14:val="tx1"/>
            </w14:solidFill>
          </w14:textFill>
        </w:rPr>
        <w:t>%。该指标权重分值为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eastAsia="zh-CN" w:bidi="ar"/>
          <w14:textFill>
            <w14:solidFill>
              <w14:schemeClr w14:val="tx1"/>
            </w14:solidFill>
          </w14:textFill>
        </w:rPr>
        <w:t>分，自评得分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eastAsia="zh-CN" w:bidi="ar"/>
          <w14:textFill>
            <w14:solidFill>
              <w14:schemeClr w14:val="tx1"/>
            </w14:solidFill>
          </w14:textFill>
        </w:rPr>
        <w:t>分。</w:t>
      </w:r>
    </w:p>
    <w:p>
      <w:pPr>
        <w:pStyle w:val="5"/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i w:val="0"/>
          <w:iCs w:val="0"/>
          <w:kern w:val="0"/>
          <w:sz w:val="32"/>
          <w:szCs w:val="32"/>
          <w:highlight w:val="none"/>
          <w:lang w:eastAsia="zh-CN" w:bidi="en-US"/>
        </w:rPr>
        <w:t>（</w:t>
      </w:r>
      <w:r>
        <w:rPr>
          <w:rFonts w:hint="eastAsia" w:ascii="仿宋" w:hAnsi="仿宋" w:eastAsia="仿宋" w:cs="仿宋"/>
          <w:i w:val="0"/>
          <w:iCs w:val="0"/>
          <w:kern w:val="0"/>
          <w:sz w:val="32"/>
          <w:szCs w:val="32"/>
          <w:highlight w:val="none"/>
          <w:lang w:val="en-US" w:eastAsia="zh-CN" w:bidi="en-US"/>
        </w:rPr>
        <w:t>2</w:t>
      </w:r>
      <w:r>
        <w:rPr>
          <w:rFonts w:hint="eastAsia" w:ascii="仿宋" w:hAnsi="仿宋" w:eastAsia="仿宋" w:cs="仿宋"/>
          <w:i w:val="0"/>
          <w:iCs w:val="0"/>
          <w:kern w:val="0"/>
          <w:sz w:val="32"/>
          <w:szCs w:val="32"/>
          <w:highlight w:val="none"/>
          <w:lang w:eastAsia="zh-CN" w:bidi="en-US"/>
        </w:rPr>
        <w:t>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eastAsia="zh-CN" w:bidi="ar"/>
          <w14:textFill>
            <w14:solidFill>
              <w14:schemeClr w14:val="tx1"/>
            </w14:solidFill>
          </w14:textFill>
        </w:rPr>
        <w:t>“加强安全保障，保证教学工作正常开展提高教师队伍建设，加强培训，安排组织全体教师参加培训率”指标：预期指标值为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100%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eastAsia="zh-CN" w:bidi="ar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年中监控实际完成值50%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eastAsia="zh-CN" w:bidi="ar"/>
          <w14:textFill>
            <w14:solidFill>
              <w14:schemeClr w14:val="tx1"/>
            </w14:solidFill>
          </w14:textFill>
        </w:rPr>
        <w:t>。根据我单位“2023年教师参加培训工作总结”资料显示，本年教师参加培训完成率为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98%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eastAsia="zh-CN" w:bidi="ar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实施情况：采取多样化的培训形式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eastAsia="zh-CN" w:bidi="ar"/>
          <w14:textFill>
            <w14:solidFill>
              <w14:schemeClr w14:val="tx1"/>
            </w14:solidFill>
          </w14:textFill>
        </w:rPr>
        <w:t>，“国培计划”优秀园长培训覆盖率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3.7%；教育管理、行政管理干部培训覆盖率5.6%；骨干教师培训覆盖率16.7%；膳食营养搭配覆盖率3.7%；教育评估培训覆盖率1.9%;园本培训覆盖率66.4%，培训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eastAsia="zh-CN" w:bidi="ar"/>
          <w14:textFill>
            <w14:solidFill>
              <w14:schemeClr w14:val="tx1"/>
            </w14:solidFill>
          </w14:textFill>
        </w:rPr>
        <w:t>该指标完成率为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98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eastAsia="zh-CN" w:bidi="ar"/>
          <w14:textFill>
            <w14:solidFill>
              <w14:schemeClr w14:val="tx1"/>
            </w14:solidFill>
          </w14:textFill>
        </w:rPr>
        <w:t>%，偏差原因：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2023年辞职两人，未能全年参加培训，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eastAsia="zh-CN" w:bidi="ar"/>
          <w14:textFill>
            <w14:solidFill>
              <w14:schemeClr w14:val="tx1"/>
            </w14:solidFill>
          </w14:textFill>
        </w:rPr>
        <w:t>改进措施：加强教师教师队伍建设，增强教师幸福感，全方位做好预算工作。该指标权重分值为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eastAsia="zh-CN" w:bidi="ar"/>
          <w14:textFill>
            <w14:solidFill>
              <w14:schemeClr w14:val="tx1"/>
            </w14:solidFill>
          </w14:textFill>
        </w:rPr>
        <w:t>分，自评得分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29.4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eastAsia="zh-CN" w:bidi="ar"/>
          <w14:textFill>
            <w14:solidFill>
              <w14:schemeClr w14:val="tx1"/>
            </w14:solidFill>
          </w14:textFill>
        </w:rPr>
        <w:t>分。</w:t>
      </w:r>
    </w:p>
    <w:p>
      <w:pPr>
        <w:pStyle w:val="5"/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i w:val="0"/>
          <w:iCs w:val="0"/>
          <w:kern w:val="0"/>
          <w:sz w:val="32"/>
          <w:szCs w:val="32"/>
          <w:highlight w:val="none"/>
          <w:lang w:eastAsia="zh-CN" w:bidi="en-US"/>
        </w:rPr>
        <w:t>（</w:t>
      </w:r>
      <w:r>
        <w:rPr>
          <w:rFonts w:hint="eastAsia" w:ascii="仿宋" w:hAnsi="仿宋" w:eastAsia="仿宋" w:cs="仿宋"/>
          <w:i w:val="0"/>
          <w:iCs w:val="0"/>
          <w:kern w:val="0"/>
          <w:sz w:val="32"/>
          <w:szCs w:val="32"/>
          <w:highlight w:val="none"/>
          <w:lang w:val="en-US" w:eastAsia="zh-CN" w:bidi="en-US"/>
        </w:rPr>
        <w:t>3</w:t>
      </w:r>
      <w:r>
        <w:rPr>
          <w:rFonts w:hint="eastAsia" w:ascii="仿宋" w:hAnsi="仿宋" w:eastAsia="仿宋" w:cs="仿宋"/>
          <w:i w:val="0"/>
          <w:iCs w:val="0"/>
          <w:kern w:val="0"/>
          <w:sz w:val="32"/>
          <w:szCs w:val="32"/>
          <w:highlight w:val="none"/>
          <w:lang w:eastAsia="zh-CN" w:bidi="en-US"/>
        </w:rPr>
        <w:t>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eastAsia="zh-CN" w:bidi="ar"/>
          <w14:textFill>
            <w14:solidFill>
              <w14:schemeClr w14:val="tx1"/>
            </w14:solidFill>
          </w14:textFill>
        </w:rPr>
        <w:t>“开展丰富多彩的各种主题教育活动，持续将中华传统文化进校园活动推向深入。利用妇女节、劳动节、植树节、六一、亲子活动”指标：预期指标值为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7次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eastAsia="zh-CN" w:bidi="ar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年中监控实际完成值4次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eastAsia="zh-CN" w:bidi="ar"/>
          <w14:textFill>
            <w14:solidFill>
              <w14:schemeClr w14:val="tx1"/>
            </w14:solidFill>
          </w14:textFill>
        </w:rPr>
        <w:t>，指标完成率为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100%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eastAsia="zh-CN" w:bidi="ar"/>
          <w14:textFill>
            <w14:solidFill>
              <w14:schemeClr w14:val="tx1"/>
            </w14:solidFill>
          </w14:textFill>
        </w:rPr>
        <w:t>。根据我单位“2023年主题教育活动开展”资料显示，本年主题教育活动开展次数为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7次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eastAsia="zh-CN" w:bidi="ar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实施情况：坚持以儿童为中心，以游戏为基本活动，培养幼儿主动性、合作性和创作性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eastAsia="zh-CN" w:bidi="ar"/>
          <w14:textFill>
            <w14:solidFill>
              <w14:schemeClr w14:val="tx1"/>
            </w14:solidFill>
          </w14:textFill>
        </w:rPr>
        <w:t>，围绕亲子活动、传统节假、社会实践、手工制作等多方面开展丰富多彩的教育活动，激发幼儿学习兴趣，培养幼儿动手能力和创作精神，该指标完成率为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eastAsia="zh-CN" w:bidi="ar"/>
          <w14:textFill>
            <w14:solidFill>
              <w14:schemeClr w14:val="tx1"/>
            </w14:solidFill>
          </w14:textFill>
        </w:rPr>
        <w:t>%。该指标权重分值为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eastAsia="zh-CN" w:bidi="ar"/>
          <w14:textFill>
            <w14:solidFill>
              <w14:schemeClr w14:val="tx1"/>
            </w14:solidFill>
          </w14:textFill>
        </w:rPr>
        <w:t>分，自评得分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eastAsia="zh-CN" w:bidi="ar"/>
          <w14:textFill>
            <w14:solidFill>
              <w14:schemeClr w14:val="tx1"/>
            </w14:solidFill>
          </w14:textFill>
        </w:rPr>
        <w:t>分。</w:t>
      </w:r>
    </w:p>
    <w:p>
      <w:pPr>
        <w:pStyle w:val="5"/>
        <w:rPr>
          <w:rFonts w:hint="default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default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（四）社会效益指标完成情况分析</w:t>
      </w:r>
    </w:p>
    <w:p>
      <w:pPr>
        <w:pStyle w:val="5"/>
        <w:rPr>
          <w:rFonts w:hint="default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default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本单位无此指标</w:t>
      </w:r>
    </w:p>
    <w:p>
      <w:pPr>
        <w:pStyle w:val="5"/>
        <w:rPr>
          <w:rFonts w:hint="default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default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（五）服务对象满意度指标完成情况分析</w:t>
      </w:r>
    </w:p>
    <w:p>
      <w:pPr>
        <w:pStyle w:val="5"/>
        <w:rPr>
          <w:rFonts w:hint="default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default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本单位无此指标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3" w:firstLineChars="200"/>
        <w:jc w:val="left"/>
        <w:textAlignment w:val="auto"/>
        <w:outlineLvl w:val="0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四、评价结论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 w:bidi="ar"/>
        </w:rPr>
        <w:t>2023年度部门整体支出绩效自评综合得分99.39分，评价结果为“优”。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3" w:firstLineChars="200"/>
        <w:jc w:val="left"/>
        <w:textAlignment w:val="auto"/>
        <w:outlineLvl w:val="0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、存在的主要问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sz w:val="32"/>
          <w:szCs w:val="32"/>
        </w:rPr>
        <w:t>1.部分业务人员绩效管理意识有待增强，未能全面深入认识理解绩效管理工作的意义。绩效管理经验不足，预算绩效管理工作有待进一步落实。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sz w:val="32"/>
          <w:szCs w:val="32"/>
        </w:rPr>
        <w:t>2.绩效指标的明确性、可衡量性、相关性还需进一步提升。预算精细化管理还需完善，预算编制管理水平仍有进一步提升的空间。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3" w:firstLineChars="200"/>
        <w:jc w:val="left"/>
        <w:textAlignment w:val="auto"/>
        <w:outlineLvl w:val="0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、改进措施和理议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sz w:val="32"/>
          <w:szCs w:val="32"/>
        </w:rPr>
        <w:t>（一）改进措施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sz w:val="32"/>
          <w:szCs w:val="32"/>
        </w:rPr>
        <w:t>1.继续加大绩效工作宣传力度，强化绩效理念。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sz w:val="32"/>
          <w:szCs w:val="32"/>
        </w:rPr>
        <w:t>2.继续完善绩效指标，提高整体绩效目标质量。提升预算精细化管理水平。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sz w:val="32"/>
          <w:szCs w:val="32"/>
        </w:rPr>
        <w:t>3.继续完善预算绩效管理相关工作制度，建立全过程预算绩效管理链条，有效贯彻落实全面实施绩效管理的精神。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sz w:val="32"/>
          <w:szCs w:val="32"/>
        </w:rPr>
        <w:t>（二）建议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sz w:val="32"/>
          <w:szCs w:val="32"/>
        </w:rPr>
        <w:t>1.加强预算绩效目标管理工作。明确预算项目绩效目标编制要求，分类别建立科学合理、细化量化、可比可测预算绩效指标体系，突出结果导向，重点考核实绩。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sz w:val="32"/>
          <w:szCs w:val="32"/>
        </w:rPr>
        <w:t>2.加强绩效业务学习及培训，提高业务人员绩效管理意识，进一步加强预算绩效管理工作，优化项目支出绩效指标体系，完善预算绩效管理制度，有效推动我单位下一年度预算绩效管理工作常态化、规范化。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sz w:val="32"/>
          <w:szCs w:val="32"/>
        </w:rPr>
        <w:t>3.通过强化专业培训、学习考察、业务交流等措施，帮助和促进本单位现有人员提高绩效管理业务水平、实际工作能力。强化预算绩效执行工作，指定专人负责预算执行监督管理，进一步推动预算绩效管理工作。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 w:bidi="en-US"/>
        </w:rPr>
        <w:t>　　</w:t>
      </w:r>
      <w:r>
        <w:rPr>
          <w:rFonts w:hint="eastAsia" w:ascii="仿宋" w:hAnsi="仿宋" w:eastAsia="仿宋" w:cs="仿宋"/>
          <w:sz w:val="32"/>
          <w:szCs w:val="32"/>
        </w:rPr>
        <w:t>4.借助第三方专业机构力量，贯彻落实全面预算绩效管理工作，建立全过程预算绩效管理链条，将绩效各个环节紧密贯通。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3" w:firstLineChars="200"/>
        <w:jc w:val="left"/>
        <w:textAlignment w:val="auto"/>
        <w:outlineLvl w:val="0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、附表：《部门整体支出绩效目标自评表》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8A7FEF2"/>
    <w:multiLevelType w:val="singleLevel"/>
    <w:tmpl w:val="B8A7FEF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iYjRmNTcwNGNhOGY5Y2I2MjUyNzE1NmNiMWMwYmYifQ=="/>
  </w:docVars>
  <w:rsids>
    <w:rsidRoot w:val="14E171EC"/>
    <w:rsid w:val="03FB5B2F"/>
    <w:rsid w:val="04F224C1"/>
    <w:rsid w:val="0A602E63"/>
    <w:rsid w:val="0D76371D"/>
    <w:rsid w:val="113A6CCE"/>
    <w:rsid w:val="14E171EC"/>
    <w:rsid w:val="1506521C"/>
    <w:rsid w:val="165D1DA4"/>
    <w:rsid w:val="1A6A3BDB"/>
    <w:rsid w:val="1ABC044C"/>
    <w:rsid w:val="1BF9747E"/>
    <w:rsid w:val="1E0A24A5"/>
    <w:rsid w:val="1E7B450E"/>
    <w:rsid w:val="200D4289"/>
    <w:rsid w:val="233214D6"/>
    <w:rsid w:val="265213ED"/>
    <w:rsid w:val="2B3C1B2D"/>
    <w:rsid w:val="301711AB"/>
    <w:rsid w:val="311635D2"/>
    <w:rsid w:val="37FA538C"/>
    <w:rsid w:val="39CD05ED"/>
    <w:rsid w:val="3C5E715D"/>
    <w:rsid w:val="3EC776DE"/>
    <w:rsid w:val="40431B92"/>
    <w:rsid w:val="40D00770"/>
    <w:rsid w:val="41DF489C"/>
    <w:rsid w:val="42C90F74"/>
    <w:rsid w:val="44531C2F"/>
    <w:rsid w:val="44E865FD"/>
    <w:rsid w:val="46D859F3"/>
    <w:rsid w:val="4A03145C"/>
    <w:rsid w:val="4C3605C0"/>
    <w:rsid w:val="4C6E3827"/>
    <w:rsid w:val="4E1A6667"/>
    <w:rsid w:val="4E743499"/>
    <w:rsid w:val="59171C4F"/>
    <w:rsid w:val="5A5569F0"/>
    <w:rsid w:val="5B767A69"/>
    <w:rsid w:val="5B983BD2"/>
    <w:rsid w:val="5CBA6CEB"/>
    <w:rsid w:val="633066C6"/>
    <w:rsid w:val="66020866"/>
    <w:rsid w:val="69AC382B"/>
    <w:rsid w:val="69B92905"/>
    <w:rsid w:val="6AE64DAA"/>
    <w:rsid w:val="6BB20C3E"/>
    <w:rsid w:val="6BC21EFB"/>
    <w:rsid w:val="6D09572A"/>
    <w:rsid w:val="70A95EF1"/>
    <w:rsid w:val="71774A76"/>
    <w:rsid w:val="725935E0"/>
    <w:rsid w:val="78262C0D"/>
    <w:rsid w:val="7CBF111A"/>
    <w:rsid w:val="7ECA3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3"/>
    <w:next w:val="3"/>
    <w:qFormat/>
    <w:uiPriority w:val="0"/>
    <w:pPr>
      <w:keepNext/>
      <w:keepLines/>
      <w:outlineLvl w:val="2"/>
    </w:pPr>
    <w:rPr>
      <w:rFonts w:ascii="仿宋_GB2312" w:hAnsi="仿宋_GB2312" w:eastAsia="仿宋_GB2312"/>
      <w:b/>
      <w:bCs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able of authorities"/>
    <w:basedOn w:val="1"/>
    <w:next w:val="1"/>
    <w:qFormat/>
    <w:uiPriority w:val="0"/>
    <w:pPr>
      <w:ind w:left="200" w:leftChars="200"/>
    </w:p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HTML Address"/>
    <w:basedOn w:val="1"/>
    <w:qFormat/>
    <w:uiPriority w:val="0"/>
    <w:rPr>
      <w:i/>
      <w:iCs/>
    </w:r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annotation reference"/>
    <w:basedOn w:val="7"/>
    <w:semiHidden/>
    <w:unhideWhenUsed/>
    <w:qFormat/>
    <w:uiPriority w:val="99"/>
    <w:rPr>
      <w:sz w:val="21"/>
      <w:szCs w:val="21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2024-03-18T10:21:00Z</dcterms:created>
  <dc:creator>赵鑫</dc:creator>
  <cp:lastModifiedBy>Administrator</cp:lastModifiedBy>
  <dcterms:modified xsi:type="dcterms:W3CDTF">2024-08-23T04:31:52Z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382D97C4724440BCA38AEAD31A57649F_11</vt:lpwstr>
  </property>
</Properties>
</file>