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2"/>
          <w:szCs w:val="32"/>
        </w:rPr>
        <w:t>附件4：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83" w:firstLineChars="200"/>
        <w:jc w:val="center"/>
        <w:textAlignment w:val="auto"/>
        <w:outlineLvl w:val="0"/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克州乡村振兴局</w:t>
      </w:r>
      <w:r>
        <w:rPr>
          <w:rFonts w:hint="eastAsia" w:ascii="仿宋" w:hAnsi="仿宋" w:eastAsia="仿宋" w:cs="仿宋"/>
          <w:b/>
          <w:bCs/>
          <w:sz w:val="44"/>
          <w:szCs w:val="44"/>
        </w:rPr>
        <w:t>整体支出绩效自评报告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（2023年度）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285" w:firstLineChars="4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部门单位名称（公章）：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克州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乡村振兴局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285" w:firstLineChars="4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填报时间：2024年03月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left"/>
        <w:textAlignment w:val="auto"/>
        <w:outlineLvl w:val="0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一、基本概况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left"/>
        <w:textAlignment w:val="auto"/>
        <w:outlineLvl w:val="1"/>
        <w:rPr>
          <w:rFonts w:hint="eastAsia" w:ascii="仿宋" w:hAnsi="仿宋" w:eastAsia="仿宋" w:cs="仿宋"/>
          <w:b/>
          <w:bCs/>
          <w:color w:val="FF0000"/>
          <w:sz w:val="32"/>
          <w:szCs w:val="32"/>
          <w:lang w:eastAsia="zh-CN" w:bidi="ar"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 w:bidi="ar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 w:bidi="ar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部门单位基本情况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2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.部门机构设置及人员构成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克州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乡村振兴局无下属预算单位，下设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6个处室，分别是：综合科、规划科、社会扶贫科、扶贫信息中心、扶贫项目管理中心、扶贫宣传教育培训中心。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克州乡村振兴局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编制数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31名，其中</w:t>
      </w:r>
      <w:r>
        <w:rPr>
          <w:rFonts w:hint="eastAsia" w:ascii="仿宋" w:hAnsi="仿宋" w:eastAsia="仿宋" w:cs="仿宋"/>
          <w:sz w:val="32"/>
          <w:szCs w:val="32"/>
        </w:rPr>
        <w:t>机关行政编制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名，机关工勤事业编制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，事业编制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23名，</w:t>
      </w:r>
      <w:r>
        <w:rPr>
          <w:rFonts w:hint="eastAsia" w:ascii="仿宋" w:hAnsi="仿宋" w:eastAsia="仿宋" w:cs="仿宋"/>
          <w:sz w:val="32"/>
          <w:szCs w:val="32"/>
        </w:rPr>
        <w:t>实有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33人，其中行政人员6人，机关工勤人</w:t>
      </w:r>
      <w:r>
        <w:rPr>
          <w:rFonts w:hint="eastAsia" w:ascii="仿宋" w:hAnsi="仿宋" w:eastAsia="仿宋" w:cs="仿宋"/>
          <w:sz w:val="32"/>
          <w:szCs w:val="32"/>
        </w:rPr>
        <w:t>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事业人员16人，退休10人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2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.部门主要职能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1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贯彻执行国家、自治区扶贫方针政策，研究制定克州扶贫开发战略规划、政策措施并组织实施。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1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统筹编制国家和自治区用于克州扶贫开发的专项资金、物资分配方案，制定完善扶贫专项资金、物资的管理办法，监督检查物资的管理和使用情况。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1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会同有关部门提出、审核扶贫开发项目计划，组织、协调和监管扶贫开发项目。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1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组织实施产业化扶贫计划，引导、扶持扶贫龙头企业发展，协调管理信贷扶贫工作。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1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编制并组织实施贫困劳动力、贫困地区干部培训计划，协调贫困地区人力资源工作；研究建立贫困地区自然灾害应对机制，指导贫困地区应对自然灾害和灾后重建工作。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1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组织协调并开展对口支援贫困地区、中央定点帮扶新疆、自治区定点帮扶和东西部扶贫协作工作；动员社会各界扶贫济困，协助有关部门向克州引进人才、技术、资金和设备。开展与国际组织、区域组织和非政府组织的反贫困交流合作，组织实施外资扶贫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1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组织开展扶贫考核评价、扶贫经验交流、扶贫信息搜集、扶贫宣传工作。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1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贯彻落实国家、自治区关于脱贫攻坚大数据平台建设运用管理工作要求。指导各县（市）做好脱贫攻坚大数据平台建设运用管理工作，加强建设运营管理，统筹抓好组织实施，加强技术支持，强化监督管理，为打好精准脱贫攻坚战奠定坚实基础。负责贫困户建档立卡管理，配合开展扶贫审计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1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承办克州党委、克州人民政府交办的其他任务。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outlineLvl w:val="1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部门单位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年度重点工作计划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强力推进“千万工程</w:t>
      </w:r>
      <w:r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  <w:t>”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坚持以提升乡村产业、乡村建设、乡村治理水平为重点，不断完善防止返贫动态监测预警和帮扶机制，推动产业就业创业“三业”联动发展；千方百计壮大村集体经济，全面推进可耕种土地“零撂荒”、集体资产“零闲置”、一村一个“小产业”，一户一片小菜地，小果园、小养殖，让农牧民“钱包”更鼓、“家底”更厚；创新实施“清脏、治乱、增绿、美化、管护”五大行动，积极改善农村人居环境，着力打造美丽乡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left"/>
        <w:textAlignment w:val="auto"/>
        <w:outlineLvl w:val="1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（三）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部门单位整体预算规模及安排情况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567" w:firstLineChars="181"/>
        <w:jc w:val="both"/>
        <w:rPr>
          <w:rStyle w:val="8"/>
          <w:rFonts w:ascii="Times New Roman" w:hAnsi="Times New Roman" w:eastAsia="方正仿宋_GBK"/>
          <w:spacing w:val="-4"/>
          <w:sz w:val="32"/>
          <w:szCs w:val="32"/>
        </w:rPr>
      </w:pPr>
      <w:r>
        <w:rPr>
          <w:rStyle w:val="8"/>
          <w:rFonts w:hint="eastAsia" w:ascii="Times New Roman" w:hAnsi="Times New Roman" w:eastAsia="方正仿宋_GBK" w:cs="Times New Roman"/>
          <w:spacing w:val="-4"/>
          <w:sz w:val="32"/>
          <w:szCs w:val="32"/>
        </w:rPr>
        <w:t>1.</w:t>
      </w:r>
      <w:r>
        <w:rPr>
          <w:rStyle w:val="8"/>
          <w:rFonts w:hint="eastAsia" w:ascii="Times New Roman" w:hAnsi="Times New Roman" w:eastAsia="方正仿宋_GBK" w:cs="宋体"/>
          <w:spacing w:val="-4"/>
          <w:sz w:val="32"/>
          <w:szCs w:val="32"/>
        </w:rPr>
        <w:t>年初预算安排情况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我单位年初预算数为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632.68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万元，实际预算执行数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630.54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万元，预算执行率为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99.66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综上所述，部门预算安排与单位职能关联度较高，预算安排结构清晰明了，能够直观展示各项费用的分配情况，预算规模合理，为单位的稳健发展和高效运行提供了有力保障。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567" w:firstLineChars="181"/>
        <w:jc w:val="both"/>
        <w:rPr>
          <w:rStyle w:val="8"/>
          <w:rFonts w:ascii="Times New Roman" w:hAnsi="Times New Roman" w:eastAsia="方正仿宋_GBK"/>
          <w:spacing w:val="-4"/>
          <w:sz w:val="32"/>
          <w:szCs w:val="32"/>
        </w:rPr>
      </w:pPr>
      <w:r>
        <w:rPr>
          <w:rStyle w:val="8"/>
          <w:rFonts w:hint="eastAsia" w:ascii="Times New Roman" w:hAnsi="Times New Roman" w:eastAsia="方正仿宋_GBK" w:cs="Times New Roman"/>
          <w:spacing w:val="-4"/>
          <w:sz w:val="32"/>
          <w:szCs w:val="32"/>
        </w:rPr>
        <w:t>2.</w:t>
      </w:r>
      <w:r>
        <w:rPr>
          <w:rStyle w:val="8"/>
          <w:rFonts w:hint="eastAsia" w:ascii="Times New Roman" w:hAnsi="Times New Roman" w:eastAsia="方正仿宋_GBK"/>
          <w:spacing w:val="-4"/>
          <w:sz w:val="32"/>
          <w:szCs w:val="32"/>
        </w:rPr>
        <w:t>预算调整情况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我单位年初批复预算数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632.68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万元，年中调整数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805.63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万元，调整后全年预算数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1438.31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万元，预算调整率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127.34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综上所述，年中预算调整幅度与单位运转情况和履职情况相匹配，未出现资金收支不平衡以及债务风险等负面影响，确保了预算调整的合理性和必要性。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567" w:firstLineChars="181"/>
        <w:jc w:val="both"/>
        <w:rPr>
          <w:rStyle w:val="8"/>
          <w:rFonts w:ascii="Times New Roman" w:hAnsi="Times New Roman" w:eastAsia="方正仿宋_GBK"/>
          <w:spacing w:val="-4"/>
          <w:sz w:val="32"/>
          <w:szCs w:val="32"/>
        </w:rPr>
      </w:pPr>
      <w:r>
        <w:rPr>
          <w:rStyle w:val="8"/>
          <w:rFonts w:hint="eastAsia" w:ascii="Times New Roman" w:hAnsi="Times New Roman" w:eastAsia="方正仿宋_GBK" w:cs="Times New Roman"/>
          <w:spacing w:val="-4"/>
          <w:sz w:val="32"/>
          <w:szCs w:val="32"/>
        </w:rPr>
        <w:t>3.</w:t>
      </w:r>
      <w:r>
        <w:rPr>
          <w:rStyle w:val="8"/>
          <w:rFonts w:hint="eastAsia" w:ascii="Times New Roman" w:hAnsi="Times New Roman" w:eastAsia="方正仿宋_GBK"/>
          <w:spacing w:val="-4"/>
          <w:sz w:val="32"/>
          <w:szCs w:val="32"/>
        </w:rPr>
        <w:t>全年预算执行情况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全年预算数为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1438.31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万元，全年实际支出资金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1423.67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万元，预算执行率为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98.98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综上所述，本年度在执行预算过程中不存在闲置、浪费或挪用等情况，执行预算在预期可控范围内，严格按照项目进度支付资金，不存在超进度付款情况，资金支出方向合理，资金支出流程规范。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567" w:firstLineChars="181"/>
        <w:jc w:val="both"/>
        <w:rPr>
          <w:rStyle w:val="8"/>
          <w:rFonts w:ascii="Times New Roman" w:hAnsi="Times New Roman" w:eastAsia="方正仿宋_GBK"/>
          <w:spacing w:val="-4"/>
          <w:sz w:val="32"/>
          <w:szCs w:val="32"/>
        </w:rPr>
      </w:pPr>
      <w:r>
        <w:rPr>
          <w:rStyle w:val="8"/>
          <w:rFonts w:hint="eastAsia" w:ascii="Times New Roman" w:hAnsi="Times New Roman" w:eastAsia="方正仿宋_GBK" w:cs="Times New Roman"/>
          <w:spacing w:val="-4"/>
          <w:sz w:val="32"/>
          <w:szCs w:val="32"/>
        </w:rPr>
        <w:t>4.</w:t>
      </w:r>
      <w:r>
        <w:rPr>
          <w:rStyle w:val="8"/>
          <w:rFonts w:hint="eastAsia" w:ascii="Times New Roman" w:hAnsi="Times New Roman" w:eastAsia="方正仿宋_GBK"/>
          <w:spacing w:val="-4"/>
          <w:sz w:val="32"/>
          <w:szCs w:val="32"/>
        </w:rPr>
        <w:t>资金使用主要内容及范围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我单位2023年全年预算支出金额共计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1423.67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。其中：基本支出为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1235.81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万元，主要用于人员工资、养老保险、医疗保险、住房公积金等地方；项目支出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187.86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万元，主要用于为了改善农村人居环境，着力打造美丽乡村所需的办公费，人员差旅费，车辆维护费，培训费、规划费等。</w:t>
      </w:r>
    </w:p>
    <w:p>
      <w:pPr>
        <w:pStyle w:val="3"/>
        <w:rPr>
          <w:rFonts w:hint="eastAsi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left"/>
        <w:textAlignment w:val="auto"/>
        <w:outlineLvl w:val="0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二、部门单位整体支出管理及使用情况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left"/>
        <w:textAlignment w:val="auto"/>
        <w:outlineLvl w:val="1"/>
        <w:rPr>
          <w:rFonts w:hint="default" w:ascii="仿宋" w:hAnsi="仿宋" w:eastAsia="仿宋" w:cs="仿宋"/>
          <w:b/>
          <w:bCs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 w:bidi="ar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 w:bidi="ar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整体支出规模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2023年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度本单位部门整体支出资金总额为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1423.66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万元，预算执行率为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98.98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%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left"/>
        <w:textAlignment w:val="auto"/>
        <w:outlineLvl w:val="1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 w:bidi="ar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 w:bidi="ar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基本支出管理和使用情况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2023年度我单位基本支出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年初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预算总额为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442.68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万元，年中调增预算总额为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793.13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,全年预算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总额为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1235.81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万元，预算调整率为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179.17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%。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预算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执行总额为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1235.81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万元，预算执行率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基本支出严格按照财务管理制度执行。人员工资由编办、人社局、社保局、医保局、住房公积金管理办公室及乡村振兴局等部门逐个审核，按月申报及发放。基本公用经费用于支付办公室日常的邮电费、办公用品、办公耗材、水电费等，公务用车运行维护费主要用于车辆加油、维修及购买车辆保险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left"/>
        <w:textAlignment w:val="auto"/>
        <w:outlineLvl w:val="1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支出管理和使用情况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567" w:firstLineChars="181"/>
        <w:jc w:val="both"/>
        <w:rPr>
          <w:rStyle w:val="8"/>
          <w:rFonts w:ascii="Times New Roman" w:hAnsi="Times New Roman" w:eastAsia="方正仿宋_GBK" w:cs="Times New Roman"/>
          <w:spacing w:val="-4"/>
          <w:sz w:val="32"/>
          <w:szCs w:val="32"/>
        </w:rPr>
      </w:pPr>
      <w:r>
        <w:rPr>
          <w:rStyle w:val="8"/>
          <w:rFonts w:hint="eastAsia" w:ascii="Times New Roman" w:hAnsi="Times New Roman" w:eastAsia="方正仿宋_GBK" w:cs="Times New Roman"/>
          <w:spacing w:val="-4"/>
          <w:sz w:val="32"/>
          <w:szCs w:val="32"/>
        </w:rPr>
        <w:t>1.项目管理情况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（1）管理制度健全性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本单位从预算收支管理、资产管理、政府采购管理、合同管理等方面，健全和完善单位财务管理制度、坚定实施各项内部控制制度；为加强预算管理，规范财务行为，已制定《乡村振兴局预算绩效管理工作实施办法》，《乡村振兴局财务管理制度》等健全完整的各项管理制度，有效保障了我单位高效的履行工作职能，较好的促进事业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（2）资金使用合规性和安全性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部门预算资金使用符合国家法规和财务管理制度；预算资金拨付有完整的审批程序和手续，符合项目预算批复或合同规定的用途；不存在截留、挤占、挪用、虚列支出等情况，确保我单位预算资金规范运行。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567" w:firstLineChars="181"/>
        <w:jc w:val="both"/>
        <w:rPr>
          <w:rFonts w:hint="eastAsia"/>
          <w:lang w:eastAsia="zh-CN"/>
        </w:rPr>
      </w:pPr>
      <w:r>
        <w:rPr>
          <w:rStyle w:val="8"/>
          <w:rFonts w:hint="eastAsia" w:ascii="Times New Roman" w:hAnsi="Times New Roman" w:eastAsia="方正仿宋_GBK" w:cs="Times New Roman"/>
          <w:spacing w:val="-4"/>
          <w:sz w:val="32"/>
          <w:szCs w:val="32"/>
        </w:rPr>
        <w:t>2.项目使用情况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2023年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度本单位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年初预算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项目总额为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190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本年度追加追减项目预算数合计12.5万元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，实际执行资金总额为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187.86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万元，预算执行率为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92.77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2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本级财力预算安排支出管理和使用情况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2023年度预算安排本级财力资金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190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万元，实际支出资金额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175.36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万元，预算执行率为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92.29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%，涉及项目个数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个。各项目详细</w:t>
      </w:r>
      <w:r>
        <w:rPr>
          <w:rFonts w:hint="eastAsia" w:ascii="仿宋" w:hAnsi="仿宋" w:eastAsia="仿宋" w:cs="仿宋"/>
          <w:sz w:val="32"/>
          <w:szCs w:val="32"/>
        </w:rPr>
        <w:t>执行情况如下：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乡村振兴项目管理费项目：预算数60万元，预算执行数为54.91万元，预算执行率为91.52%，该项目实施助推了乡村产业发展，确保乡产业发挥效益，使巩固拓展脱贫攻坚成果上了一个新台阶，全面推进乡村振兴见到了实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乡村振兴工作经费项目：预算数130万元，预算执行数为120.45万元，预算执行率为92.65% ，该项目实施，积极改善农村人居环境，着力打造美丽乡村。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（2）专项支出管理和使用情况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2023年度预算安排专项资金12.5万元，实际支出资金12.5万元。预算执行率为100%，涉及项目个数1个。各项目详细执行情况如下：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第一书记和为民办实事工作经费项目项目：预算数12.5万元，预算执行数为12.5万元，预算执行率为100%，该项目实施增进了农牧民对党的感恩之心，使农牧民群众获得感和幸福感不断提升。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left"/>
        <w:textAlignment w:val="auto"/>
        <w:outlineLvl w:val="0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、部门单位整体支出绩效情况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left"/>
        <w:textAlignment w:val="auto"/>
        <w:outlineLvl w:val="1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 w:bidi="ar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 w:bidi="ar"/>
          <w14:textFill>
            <w14:solidFill>
              <w14:schemeClr w14:val="tx1"/>
            </w14:solidFill>
          </w14:textFill>
        </w:rPr>
        <w:t>）履职效能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指标完成情况分析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b w:val="0"/>
          <w:bCs w:val="0"/>
          <w:i w:val="0"/>
          <w:iCs w:val="0"/>
          <w:color w:val="FF0000"/>
          <w:kern w:val="2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FF0000"/>
          <w:kern w:val="2"/>
          <w:sz w:val="32"/>
          <w:szCs w:val="32"/>
          <w:lang w:val="en-US" w:eastAsia="zh-CN" w:bidi="ar"/>
        </w:rPr>
        <w:t>我单位2023年全年预算金额1438.31万元，执行金额1423.67万元，执行率98.98%，得9.898分。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ar"/>
        </w:rPr>
        <w:t>1.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bidi="ar"/>
        </w:rPr>
        <w:t>“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ar"/>
        </w:rPr>
        <w:t>农村居民人均可之支配收入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bidi="ar"/>
        </w:rPr>
        <w:t>”指标：预期指标值为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ar"/>
        </w:rPr>
        <w:t>≥1500元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bidi="ar"/>
        </w:rPr>
        <w:t>，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年中监控实际完成值0元，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ar"/>
        </w:rPr>
        <w:t>根据《克州乡村振兴局2023年工作总结和2024年工作计划》资料显示，本次评价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bidi="ar"/>
        </w:rPr>
        <w:t>实际完成指标值为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ar"/>
        </w:rPr>
        <w:t>1500元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bidi="ar"/>
        </w:rPr>
        <w:t>，指标完成率为100%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 w:bidi="ar"/>
        </w:rPr>
        <w:t>。</w:t>
      </w:r>
      <w:r>
        <w:rPr>
          <w:rFonts w:hint="eastAsia" w:ascii="仿宋" w:hAnsi="仿宋" w:eastAsia="仿宋" w:cs="仿宋"/>
          <w:b w:val="0"/>
          <w:bCs w:val="0"/>
          <w:color w:val="FF0000"/>
          <w:sz w:val="32"/>
          <w:szCs w:val="32"/>
          <w:lang w:val="en-US" w:eastAsia="zh-CN" w:bidi="ar"/>
        </w:rPr>
        <w:t>该指标权重分值为18分，自评得分18分。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ar"/>
        </w:rPr>
        <w:t>2.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bidi="ar"/>
        </w:rPr>
        <w:t>“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ar"/>
        </w:rPr>
        <w:t>创建自治区乡村振兴示范村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bidi="ar"/>
        </w:rPr>
        <w:t>”指标：预期指标值为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ar"/>
        </w:rPr>
        <w:t>≥8个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bidi="ar"/>
        </w:rPr>
        <w:t>，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年中监控实际完成值5个，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ar"/>
        </w:rPr>
        <w:t>根据《克州乡村振兴局2023年工作总结和2024年工作计划》资料显示，本次评价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bidi="ar"/>
        </w:rPr>
        <w:t>实际完成指标值为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ar"/>
        </w:rPr>
        <w:t>8个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bidi="ar"/>
        </w:rPr>
        <w:t>，指标完成率为100%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 w:bidi="ar"/>
        </w:rPr>
        <w:t>。</w:t>
      </w:r>
      <w:r>
        <w:rPr>
          <w:rFonts w:hint="eastAsia" w:ascii="仿宋" w:hAnsi="仿宋" w:eastAsia="仿宋" w:cs="仿宋"/>
          <w:b w:val="0"/>
          <w:bCs w:val="0"/>
          <w:color w:val="FF0000"/>
          <w:sz w:val="32"/>
          <w:szCs w:val="32"/>
          <w:lang w:val="en-US" w:eastAsia="zh-CN" w:bidi="ar"/>
        </w:rPr>
        <w:t>该指标权重分值为18分，自评得分18分。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2"/>
          <w:sz w:val="32"/>
          <w:szCs w:val="32"/>
          <w:lang w:val="en-US" w:eastAsia="zh-CN" w:bidi="ar"/>
        </w:rPr>
        <w:t>3.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bidi="ar"/>
        </w:rPr>
        <w:t>“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ar"/>
        </w:rPr>
        <w:t>新建、改建农村户厕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bidi="ar"/>
        </w:rPr>
        <w:t>”指标：预期指标值为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ar"/>
        </w:rPr>
        <w:t>≥1.28万座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bidi="ar"/>
        </w:rPr>
        <w:t>，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年中监控实际完成值0.88万座，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ar"/>
        </w:rPr>
        <w:t>根据《克州乡村振兴局2023年工作总结和2024年工作计划》资料显示，本次评价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bidi="ar"/>
        </w:rPr>
        <w:t>实际完成指标值为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ar"/>
        </w:rPr>
        <w:t>1.28万座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bidi="ar"/>
        </w:rPr>
        <w:t>，指标完成率为100%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 w:bidi="ar"/>
        </w:rPr>
        <w:t>。</w:t>
      </w:r>
      <w:r>
        <w:rPr>
          <w:rFonts w:hint="eastAsia" w:ascii="仿宋" w:hAnsi="仿宋" w:eastAsia="仿宋" w:cs="仿宋"/>
          <w:b w:val="0"/>
          <w:bCs w:val="0"/>
          <w:color w:val="FF0000"/>
          <w:sz w:val="32"/>
          <w:szCs w:val="32"/>
          <w:lang w:val="en-US" w:eastAsia="zh-CN" w:bidi="ar"/>
        </w:rPr>
        <w:t>该指标权重分值为18分，自评得分18分。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olor w:val="000000" w:themeColor="text1"/>
          <w:kern w:val="2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000000" w:themeColor="text1"/>
          <w:kern w:val="2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4.“生活垃圾处理率”指标：预期指标值为≥76%，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年中监控实际完成值0%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olor w:val="000000" w:themeColor="text1"/>
          <w:kern w:val="2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。根据《克州2023年巩固拓展脱贫攻坚成果同乡村振兴有效衔接工作自评主总结》资料显示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ar"/>
        </w:rPr>
        <w:t>，本次评价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bidi="ar"/>
        </w:rPr>
        <w:t>实际完成指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olor w:val="000000" w:themeColor="text1"/>
          <w:kern w:val="2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为88.3%，完成率偏116.18%，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olor w:val="FFC000"/>
          <w:kern w:val="2"/>
          <w:sz w:val="32"/>
          <w:szCs w:val="32"/>
          <w:lang w:val="en-US" w:eastAsia="zh-CN" w:bidi="ar"/>
        </w:rPr>
        <w:t>偏差原因：增加修建农村垃圾掩埋池项目，为长期满足垃圾全部掩埋。改进措施：为了达到长期垃圾无害处理，新增项目完成率较高，超过了现有的垃圾处理率。</w:t>
      </w:r>
      <w:r>
        <w:rPr>
          <w:rFonts w:hint="eastAsia" w:ascii="仿宋" w:hAnsi="仿宋" w:eastAsia="仿宋" w:cs="仿宋"/>
          <w:b w:val="0"/>
          <w:bCs w:val="0"/>
          <w:color w:val="FF0000"/>
          <w:sz w:val="32"/>
          <w:szCs w:val="32"/>
          <w:lang w:val="en-US" w:eastAsia="zh-CN" w:bidi="ar"/>
        </w:rPr>
        <w:t>该指标权重分值为18分，自评得分18分。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olor w:val="000000" w:themeColor="text1"/>
          <w:kern w:val="2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000000" w:themeColor="text1"/>
          <w:kern w:val="2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5.“农村生活污水处理率”指标：预期指标值为≥27%，年中监控实际完成值0%，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 w:bidi="ar"/>
        </w:rPr>
        <w:t>据《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ar"/>
        </w:rPr>
        <w:t>克州乡村振兴局2023年工作总结和2024年工作计划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olor w:val="000000" w:themeColor="text1"/>
          <w:kern w:val="2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》资料显示，实本年评价际完成指标值为25.18%，指标完成率为93.26%。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 w:bidi="ar"/>
        </w:rPr>
        <w:t>根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olor w:val="000000" w:themeColor="text1"/>
          <w:kern w:val="2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偏差原因：农村污水处理设备和基础设施不健全；改进措施：加大环保知识宣传，对增加农村基础设施建设力度，对污水进行集中处理和处理后排放。</w:t>
      </w:r>
      <w:r>
        <w:rPr>
          <w:rFonts w:hint="eastAsia" w:ascii="仿宋" w:hAnsi="仿宋" w:eastAsia="仿宋" w:cs="仿宋"/>
          <w:b w:val="0"/>
          <w:bCs w:val="0"/>
          <w:color w:val="FF0000"/>
          <w:sz w:val="32"/>
          <w:szCs w:val="32"/>
          <w:lang w:val="en-US" w:eastAsia="zh-CN" w:bidi="ar"/>
        </w:rPr>
        <w:t>该指标权重分值为18分，自评得分16.776分。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olor w:val="000000" w:themeColor="text1"/>
          <w:kern w:val="2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000000" w:themeColor="text1"/>
          <w:kern w:val="2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四、评价结论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 w:bidi="ar"/>
        </w:rPr>
        <w:t>2023年度部门整体支出绩效自评综合得分98.67分，评价结果为“优”。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left"/>
        <w:textAlignment w:val="auto"/>
        <w:outlineLvl w:val="0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 w:bidi="ar"/>
        </w:rPr>
        <w:t>五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bidi="ar"/>
        </w:rPr>
        <w:t>、存在的主要问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 w:bidi="ar"/>
        </w:rPr>
        <w:t>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1.部分业务人员绩效</w:t>
      </w:r>
      <w:r>
        <w:rPr>
          <w:rFonts w:hint="eastAsia" w:ascii="仿宋" w:hAnsi="仿宋" w:eastAsia="仿宋" w:cs="仿宋"/>
          <w:sz w:val="32"/>
          <w:szCs w:val="32"/>
        </w:rPr>
        <w:t>管理意识有待增强，未能全面深入认识理解绩效管理工作的意义。绩效管理经验不足，预算绩效管理工作有待进一步落实。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sz w:val="32"/>
          <w:szCs w:val="32"/>
        </w:rPr>
        <w:t>2.绩效指标的明确性、可衡量性、相关性还需进一步提升。预算精细化管理还需完善，预算编制管理水平仍有进一步提升的空间。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left"/>
        <w:textAlignment w:val="auto"/>
        <w:outlineLvl w:val="0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六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、改进措施和理议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1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2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1.继续加大绩效工作宣传力度，强化绩效理念。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2.继续完善绩效指标，提高整体绩效目标质量。提升预算精细化管理水平。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3.继续完善预算绩效管理相关工作制度，建立全过程预算绩效管理链条，有效贯彻落实全面实施绩效管理的精神。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1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1.加强预算绩效目标管理工作。明确预算项目绩效目标编制要求，分类别建立科学合理、细化量化、可比可测预算绩效指标体系，突出结果导向，重点考核实绩。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2.加强绩效业务学习及培训，提高业务人员绩效管理意识，进一步加强预算绩效管理工作，优化项目支出绩效指标体系，完善预算绩效管理制度，有效推动我单位下一年度预算绩效管理工作常态化、规范化。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3.通过强化专业培训、学习考察、业务交流等措施，帮助和促进本单位现有人员提高绩效管理业务水平、实际工作能力。强化预算绩效执行工作，指定专人负责预算执行监督管理，进一步推动预算绩效管理工作。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4.借助第三方专业机构力量，贯彻落实全面预算绩效管理工作，建立全过程预算绩效管理链条，将绩效各个环节紧密贯通。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left"/>
        <w:textAlignment w:val="auto"/>
        <w:outlineLvl w:val="0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七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、附表：《部门整体支出绩效目标自评表》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C497D"/>
    <w:multiLevelType w:val="singleLevel"/>
    <w:tmpl w:val="09BC497D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hiYjRmNTcwNGNhOGY5Y2I2MjUyNzE1NmNiMWMwYmYifQ=="/>
  </w:docVars>
  <w:rsids>
    <w:rsidRoot w:val="14E171EC"/>
    <w:rsid w:val="08E74263"/>
    <w:rsid w:val="0B0A4CCA"/>
    <w:rsid w:val="0C3606E3"/>
    <w:rsid w:val="0D76371D"/>
    <w:rsid w:val="0E2C28A3"/>
    <w:rsid w:val="10445BBA"/>
    <w:rsid w:val="113A6CCE"/>
    <w:rsid w:val="14E171EC"/>
    <w:rsid w:val="1506521C"/>
    <w:rsid w:val="165D1DA4"/>
    <w:rsid w:val="17D84015"/>
    <w:rsid w:val="1A6A3BDB"/>
    <w:rsid w:val="1ABC044C"/>
    <w:rsid w:val="1AE14180"/>
    <w:rsid w:val="1BF9747E"/>
    <w:rsid w:val="200D4289"/>
    <w:rsid w:val="233214D6"/>
    <w:rsid w:val="265213ED"/>
    <w:rsid w:val="26E720D9"/>
    <w:rsid w:val="271E4A56"/>
    <w:rsid w:val="28CD492F"/>
    <w:rsid w:val="311635D2"/>
    <w:rsid w:val="3137401B"/>
    <w:rsid w:val="359C67B0"/>
    <w:rsid w:val="36B463A7"/>
    <w:rsid w:val="37751465"/>
    <w:rsid w:val="3C5E715D"/>
    <w:rsid w:val="40D00770"/>
    <w:rsid w:val="41DF489C"/>
    <w:rsid w:val="42C90F74"/>
    <w:rsid w:val="44E865FD"/>
    <w:rsid w:val="4A03145C"/>
    <w:rsid w:val="4A324EBD"/>
    <w:rsid w:val="4C6E3827"/>
    <w:rsid w:val="50F35A33"/>
    <w:rsid w:val="515531C3"/>
    <w:rsid w:val="522A19E3"/>
    <w:rsid w:val="53957327"/>
    <w:rsid w:val="5435103B"/>
    <w:rsid w:val="54E44BB5"/>
    <w:rsid w:val="5B767A69"/>
    <w:rsid w:val="5B983BD2"/>
    <w:rsid w:val="633066C6"/>
    <w:rsid w:val="66020866"/>
    <w:rsid w:val="6AE64DAA"/>
    <w:rsid w:val="6B2504FA"/>
    <w:rsid w:val="6D343D85"/>
    <w:rsid w:val="709E68AB"/>
    <w:rsid w:val="70A95EF1"/>
    <w:rsid w:val="71774A76"/>
    <w:rsid w:val="763E13B7"/>
    <w:rsid w:val="779D762C"/>
    <w:rsid w:val="7E421A04"/>
    <w:rsid w:val="7ECA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qFormat="1"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4"/>
    <w:next w:val="4"/>
    <w:qFormat/>
    <w:uiPriority w:val="0"/>
    <w:pPr>
      <w:keepNext/>
      <w:keepLines/>
      <w:outlineLvl w:val="2"/>
    </w:pPr>
    <w:rPr>
      <w:rFonts w:ascii="仿宋_GB2312" w:hAnsi="仿宋_GB2312" w:eastAsia="仿宋_GB2312"/>
      <w:b/>
      <w:bCs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Address"/>
    <w:basedOn w:val="1"/>
    <w:qFormat/>
    <w:uiPriority w:val="0"/>
    <w:rPr>
      <w:i/>
      <w:iCs/>
    </w:rPr>
  </w:style>
  <w:style w:type="paragraph" w:styleId="4">
    <w:name w:val="table of authorities"/>
    <w:basedOn w:val="1"/>
    <w:next w:val="1"/>
    <w:qFormat/>
    <w:uiPriority w:val="0"/>
    <w:pPr>
      <w:ind w:left="200" w:leftChars="200"/>
    </w:pPr>
  </w:style>
  <w:style w:type="paragraph" w:styleId="5">
    <w:name w:val="annotation text"/>
    <w:basedOn w:val="1"/>
    <w:qFormat/>
    <w:uiPriority w:val="0"/>
    <w:pPr>
      <w:jc w:val="left"/>
    </w:pPr>
  </w:style>
  <w:style w:type="character" w:styleId="8">
    <w:name w:val="Strong"/>
    <w:basedOn w:val="7"/>
    <w:qFormat/>
    <w:uiPriority w:val="0"/>
    <w:rPr>
      <w:b/>
      <w:bCs/>
    </w:rPr>
  </w:style>
  <w:style w:type="character" w:styleId="9">
    <w:name w:val="annotation reference"/>
    <w:basedOn w:val="7"/>
    <w:semiHidden/>
    <w:unhideWhenUsed/>
    <w:qFormat/>
    <w:uiPriority w:val="99"/>
    <w:rPr>
      <w:sz w:val="21"/>
      <w:szCs w:val="21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2024-03-18T10:21:00Z</dcterms:created>
  <dc:creator>赵鑫</dc:creator>
  <cp:lastModifiedBy>Administrator</cp:lastModifiedBy>
  <dcterms:modified xsi:type="dcterms:W3CDTF">2024-04-22T08:51:38Z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382D97C4724440BCA38AEAD31A57649F_11</vt:lpwstr>
  </property>
</Properties>
</file>