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克州财政项目支出绩效自评报告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7"/>
          <w:rFonts w:hint="eastAsia" w:ascii="仿宋_GB2312" w:hAnsi="楷体" w:eastAsia="仿宋_GB2312"/>
          <w:spacing w:val="-4"/>
          <w:sz w:val="32"/>
          <w:szCs w:val="32"/>
        </w:rPr>
        <w:t>2023</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7"/>
          <w:rFonts w:hint="eastAsia" w:ascii="仿宋" w:hAnsi="仿宋" w:eastAsia="仿宋" w:cs="仿宋"/>
          <w:b w:val="0"/>
          <w:bCs w:val="0"/>
          <w:spacing w:val="-4"/>
          <w:sz w:val="32"/>
          <w:szCs w:val="32"/>
        </w:rPr>
        <w:t>聘用人员工资项目</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7"/>
          <w:rFonts w:hint="eastAsia" w:ascii="仿宋" w:hAnsi="仿宋" w:eastAsia="仿宋" w:cs="仿宋"/>
          <w:b w:val="0"/>
          <w:bCs w:val="0"/>
          <w:spacing w:val="-4"/>
          <w:sz w:val="32"/>
          <w:szCs w:val="32"/>
        </w:rPr>
        <w:t>克孜勒苏柯尔克孜自治州驻乌干休所</w:t>
      </w:r>
    </w:p>
    <w:p>
      <w:pPr>
        <w:spacing w:line="54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主管部门（公章）：</w:t>
      </w:r>
      <w:r>
        <w:rPr>
          <w:rStyle w:val="17"/>
          <w:rFonts w:hint="eastAsia" w:ascii="仿宋" w:hAnsi="仿宋" w:eastAsia="仿宋" w:cs="仿宋"/>
          <w:b w:val="0"/>
          <w:bCs w:val="0"/>
          <w:spacing w:val="-4"/>
          <w:sz w:val="32"/>
          <w:szCs w:val="32"/>
        </w:rPr>
        <w:t>克州党委老干部局</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7"/>
          <w:rFonts w:hint="eastAsia" w:ascii="仿宋" w:hAnsi="仿宋" w:eastAsia="仿宋" w:cs="仿宋"/>
          <w:b w:val="0"/>
          <w:bCs w:val="0"/>
          <w:spacing w:val="-4"/>
          <w:sz w:val="32"/>
          <w:szCs w:val="32"/>
        </w:rPr>
        <w:t>王文波</w:t>
      </w:r>
    </w:p>
    <w:p>
      <w:pPr>
        <w:spacing w:line="540" w:lineRule="exact"/>
        <w:ind w:firstLine="360" w:firstLineChars="100"/>
        <w:rPr>
          <w:rStyle w:val="17"/>
          <w:rFonts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7"/>
          <w:rFonts w:hint="eastAsia" w:ascii="仿宋" w:hAnsi="仿宋" w:eastAsia="仿宋" w:cs="仿宋"/>
          <w:b w:val="0"/>
          <w:bCs w:val="0"/>
          <w:spacing w:val="-4"/>
          <w:sz w:val="32"/>
          <w:szCs w:val="32"/>
        </w:rPr>
        <w:t>2024年04月25日</w:t>
      </w:r>
    </w:p>
    <w:p>
      <w:pPr>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br w:type="page"/>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一、基本情况</w:t>
      </w:r>
    </w:p>
    <w:p>
      <w:pPr>
        <w:spacing w:line="570" w:lineRule="exact"/>
        <w:ind w:firstLine="627" w:firstLineChars="200"/>
        <w:rPr>
          <w:rStyle w:val="17"/>
          <w:rFonts w:ascii="方正楷体_GBK" w:hAnsi="方正楷体_GBK" w:eastAsia="方正楷体_GBK" w:cs="方正楷体_GBK"/>
          <w:bCs w:val="0"/>
          <w:spacing w:val="-4"/>
          <w:sz w:val="32"/>
          <w:szCs w:val="32"/>
        </w:rPr>
      </w:pPr>
      <w:r>
        <w:rPr>
          <w:rStyle w:val="17"/>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1.项目背景</w:t>
        <w:br/>
        <w:t>　　本项目遵循财政部《项目支出绩效评价管理办法》（财预〔2020〕10号）和自治区财政厅《自治区财政支出绩效评价管理暂行办法》（新财预〔2018〕189号）等相关政策文件与规定，旨在评价聘用人员工资项目实施前期、过程及效果，评价财政预算资金使用的效率及效益。根据干休所离退休老干部的需要，聘用保安4名，驾驶员2名，代办员1名，共7名聘用人员服务老干部，通过该项目的实施，解决了聘用人员的就业，同时为老干部的出行、就医、日常生活提供方便，干休所院内安全、环境优美得到保障。</w:t>
        <w:br/>
        <w:t>　　2.主要内容及实施情况</w:t>
        <w:br/>
        <w:t>　　（1）主要内容</w:t>
        <w:br/>
        <w:t>　　该项目资金用于2023年聘用人员工资发放使用。通过该项目的实施，聘用7名人员服务老干部，使老干部的日常生活、车辆服务、安全保卫、环境优美得到保障。</w:t>
        <w:br/>
        <w:t>　　（2）实施情况</w:t>
        <w:br/>
        <w:t>　　该项目负责落实老干部的政治待遇，协助有关方面落实生活待遇；组织老干部开展各种有益身心健康的文化娱乐活动和体育健身活动，就近参观经济建设；负责解决老干部生活中的实际困难；负责干休所的安全保卫，环境卫生工作。</w:t>
        <w:br/>
        <w:t>　　3.项目实施主体</w:t>
        <w:br/>
        <w:t>　　该项目由克孜勒苏柯尔克孜自治州驻乌干休所实施，为副县级事业参公单位，编制人数13人，实有在职人数9人，其中：行政在职7人、工勤2人；离退休人员13，其中：离休2人、退休11人。内设2个科室，分别是：办公室、医务所。主要职能是负责落实老干部的政治待遇，协助有关方面落实生活待遇；组织老干部开展各种有益身心健康的文化娱乐活动和体育健身活动，就近参观经济建设；负责解决老干部生活中的实际困难；负责干休所的安全保卫，环境卫生工作。</w:t>
        <w:br/>
        <w:t>　　4.资金投入和使用情况</w:t>
        <w:br/>
        <w:t>　　聘用人员工资项目预算安排总额29.22万元，其中财政资金29.22万元，其他资金0万元，2023年实际收到预算资金29.22万元，预算资金到位率为100%。</w:t>
        <w:br/>
        <w:t>　　截至2023年12月31日，本项目实际支付资金27.32万元，预算执行率93.5%，项目资金主要用于支付7名聘用人员工资。</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（二）项目绩效目标。包括总体目标和阶段性目标。</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项目绩效目标包括项目绩效总目标和阶段性目标。</w:t>
        <w:br/>
        <w:t>　　1.项目绩效总目标</w:t>
        <w:br/>
        <w:t>　　该项目资金用于2023年聘用人员工资发放使用。根据老干部的需要，聘用保安4名，小车驾驶员2名，克州代办员1名，共7名聘用人员服务老干部，服务老干部，通过该项目的实施，使老干部的日常生活、车辆服务、安全保卫、环境优美得到保障。</w:t>
        <w:br/>
        <w:t>　　2.阶段性目标</w:t>
        <w:br/>
        <w:t>　　根据《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项目实施单位的规章制度以及财务相关资料，评价小组对项目绩效目标进行了进一步的完善，完善后绩效目标如下：</w:t>
        <w:br/>
        <w:t>　　（1）项目产出目标</w:t>
        <w:br/>
        <w:t>　　①数量指标</w:t>
        <w:br/>
        <w:t>　　“聘用人员数量（人）”指标，预期指标值为=7人；</w:t>
        <w:br/>
        <w:t>　　“发放工资次数（次）”指标，预期指标值为=12次；</w:t>
        <w:br/>
        <w:t>　　“积雪清扫面积（平方米）”指标，预期指标值为&gt;=4120平方米；</w:t>
        <w:br/>
        <w:t>　　②质量指标</w:t>
        <w:br/>
        <w:t>　　“发放工资覆盖率（%）”指标，预期指标值为=100%；</w:t>
        <w:br/>
        <w:t>　　③时效指标</w:t>
        <w:br/>
        <w:t>　　“发放工资及时率（%）”指标，预期指标值为=100%；</w:t>
        <w:br/>
        <w:t>　　“项目完成时间”指标，预期指标值为2023年12月；</w:t>
        <w:br/>
        <w:t>　　④成本指标</w:t>
        <w:br/>
        <w:t>　　“聘用人员工资发放金额（万元）”指标，预期指标值为&lt;=28.14万元；</w:t>
        <w:br/>
        <w:t>　　“积雪清扫费（万元）”指标，预期指标值为&lt;=1.08万元。</w:t>
        <w:br/>
        <w:t>　　（2）项目效益目标</w:t>
        <w:br/>
        <w:t>　　①经济效益指标</w:t>
        <w:br/>
        <w:t>　　无</w:t>
        <w:br/>
        <w:t>　　②社会效益指标</w:t>
        <w:br/>
        <w:t>　　“保障安全居住环境”指标，预期指标值为有效保障；</w:t>
        <w:br/>
        <w:t>　　“提升老干部生活水平”指标，预期指标值为有效提升；</w:t>
        <w:br/>
        <w:t>　　③生态效益指标</w:t>
        <w:br/>
        <w:t>　　无</w:t>
        <w:br/>
        <w:t>　　④满意度指标</w:t>
        <w:br/>
        <w:t>　　“受益人员满意度（%）”指标，预期指标值为≥95%；</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二、绩效评价工作开展情况</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（一）绩效评价目的、对象和范围。</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1.绩效评价目的</w:t>
        <w:br/>
        <w:t>　　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</w:t>
        <w:br/>
        <w:t>　　2.绩效评价对象</w:t>
        <w:br/>
        <w:t>　　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</w:t>
        <w:br/>
        <w:t>　　3.绩效评价范围</w:t>
        <w:br/>
        <w:t>　　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1.绩效评价原则</w:t>
        <w:br/>
        <w:t>　　本次评价坚持定量优先、定量与定性相结合的方式，始终遵循科学规范、公正公开、分级分类、绩效相关的基本原则。通过对聘用人员工资项目资金进行绩效评价，旨在了解项目资金使用和项目管理情况、取得的成绩及效益，进而分析在政策执行、预算资金安排、项目实施等方面存在的问题并提出针对性建议。本次绩效评价遵循的原则包括：</w:t>
        <w:br/>
        <w:t>　　（1）科学公正。绩效评价应当运用科学合理的方法，按照规范的程序，对项目绩效进行客观、公正的反映。</w:t>
        <w:br/>
        <w:t>　　（2）统筹兼顾。单位自评、部门评价和财政评价应职责明确，各有侧重，相互衔接。单位自评应由项目单位自主实施，即“谁支出、谁自评”。部门评价和财政评价应在单位自评的基础上开展，必要时可委托第三方机构实施。</w:t>
        <w:br/>
        <w:t>　　（3）激励约束。绩效评价结果应与预算安排、政策调整、改进管理实质性挂钩，体现奖优罚劣和激励相容导向，有效要安排、低效要压减、无效要问责。</w:t>
        <w:br/>
        <w:t>　　（4）公开透明。绩效评价结果应依法依规公开，并自觉接受社会监督。</w:t>
        <w:br/>
        <w:t>　　2.绩效评价指标体系</w:t>
        <w:br/>
        <w:t>　　绩效评价指标体系根据《预算绩效评价共性指标体系框架》（财预〔2013〕53号）、《自治区党委 自治区人民政府关于全面实施预算绩效管理的实施意见》（新党发〔2018〕30号）、《关于印发〈项目支出绩效评价管理办法〉的通知》（财预﹝2020﹞10号）等文件精神，结合专项特点，在与专家组、项目充分协商的基础上，评价工作组细化了该项目的绩效评价指标体系（详见附表1）：</w:t>
        <w:br/>
        <w:t>　　一级指标为：决策、过程、产出、效益。</w:t>
        <w:br/>
        <w:t>　　二级指标为：项目立项、绩效目标、资金投入、资金管理、组织实施、产出数量、产出质量、产出时效、产出成本、项目效益。</w:t>
        <w:br/>
        <w:t>　　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</w:t>
        <w:br/>
        <w:t>　　3.绩效评价方法</w:t>
        <w:br/>
        <w:t>　　本次绩效评价方法的选用坚持简便有效的原则采用成本效益分析法、比较法、综合指数评价法、公众评判法等多种方法，具体评价方法如下：</w:t>
        <w:br/>
        <w:t>　　（1）成本效益分析法，是指将一定时期内总成本与总效益进行对比分析，以评价绩效目标实现程度。</w:t>
        <w:br/>
        <w:t>　　（2）比较法，通过整理本项目相关资料和数据，评价数量指标的完成情况；通过分析项目的实施情况与绩效目标实现情况，评价项目实施的效果；通过分析项目资金使用情况及产生的效果，评价预算资金分配的合理性。 </w:t>
        <w:br/>
        <w:t>　　（3）综合指数评价法，是指把各项绩效指标的实际水平，对照评价标准值，分别计算各项指标评价得分，再按照设定的各项指标权数计算出综合评价得分，分析评价绩效目标实现情况的评价方法。</w:t>
        <w:br/>
        <w:t>　　（4）公众评判法，评价组采用实地访谈、远程访谈相结合方式，对本项目的实施情况进行充分调研，了解掌握资金分配、资金管理、资金使用、制度建设、制度执行情况。采用问卷调查方式，对受益对象开展满意度调查，进行综合评价。</w:t>
        <w:br/>
        <w:t>　　4.绩效评价标准</w:t>
        <w:br/>
        <w:t>　　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（三）绩效评价工作过程。</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本次评价成立了评价工作组，成员如下：</w:t>
        <w:br/>
        <w:t>　　本次评价设计了评价方案、评价指标体系，通过资料分析、调研、访谈满意度调查等方式形成评价结论，在与项目单位沟通后确定评价意见，并出具评价报告。</w:t>
        <w:br/>
        <w:t>　　第一阶段：前期准备。认真学习相关要求与规定，成立绩效评价工作组，作为绩效评价工作具体实施机构。成员构成如下：</w:t>
        <w:br/>
        <w:t>　　王文波，任评价组组长，职务为干休所书记、所长，绩效评价工作职责为负责全盘工作。</w:t>
        <w:br/>
        <w:t>　　黄新燕，任副组长，绩效评价工作职责为对项目实施情况进行实地调查。</w:t>
        <w:br/>
        <w:t>　　杨金研、吴燕勤2人任成员，绩效评价工作职责为负责资料审核等工作。</w:t>
        <w:br/>
        <w:t>　　第二阶段：组织实施。经评价组通过实地调研等方式，采用综合分析法对项目的决策、管理、绩效进行的综合评价分析。</w:t>
        <w:br/>
        <w:t>　　第三阶段：分析评价。首先按照指标体系进行定量、定性分析。其次开展量化打分、综合评价工作，形成初步评价结论。最后归纳整体项目情况与存在问题，撰写部门绩效评价报告。</w:t>
        <w:br/>
        <w:t>　　第四阶段：撰写与提交评价报告</w:t>
        <w:br/>
        <w:t>　　项目撰写绩效评价报告，按照财政局大平台绩效系统中统一格式和文本框架撰写绩效评价报告。</w:t>
        <w:br/>
        <w:t>　　第五阶段：归集档案</w:t>
        <w:br/>
        <w:t>　　建立和落实档案管理制度，将项目相关资料存档，包括但不限于：评价项目基本情况和相关文件、评价实施方案、项目支付资料等相关档案。</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三、综合评价情况及评价结论</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（一）综合评价情况</w:t>
        <w:br/>
        <w:t>　　依据《项目支出绩效评价管理办法》财预（2020）10号文件精神，评价工作组从绩效目标、绩效控制、产出及效果进行评价分析。绩效目标主要针对目标明确性、目标合理性和目标细化程度进行分析；绩效控制主要针对资金使用及管理情况、项目组织情况、项目管理情况进行分析；项目产出及效果主要针对项目的经济性、效率性和效益性进行分析。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</w:t>
        <w:br/>
        <w:t>　　评价组对照项目绩效评价指标体系，从决策、过程、产出和效益四个维度，通过数据采集、实地调研和问卷访谈等方式，对“聘用人员工资”项目绩效进行客观公正的评价，本项目总得分为99.28分，绩效评级属于“优”。其中，决策类指标得分20分，过程类指标得分19.62分，产出类指标得分39.66分，效益类指标得分20分。</w:t>
        <w:br/>
        <w:t>　　（二）综合评价结论</w:t>
        <w:br/>
        <w:t>　　经经评价，本项目达到了年初设立的绩效目标，在实施过程中取得了良好的成效，具体表现在：克州驻乌干休所已完成聘用人员工资项目：通过该项目的实施，聘用7名人员服务老干部，使老干部的日常生活、车辆服务、安全保卫、环境优美得到保障。</w:t>
      </w:r>
    </w:p>
    <w:p>
      <w:pPr>
        <w:spacing w:line="570" w:lineRule="exact"/>
        <w:ind w:firstLine="624" w:firstLineChars="200"/>
        <w:rPr>
          <w:rStyle w:val="17"/>
          <w:rFonts w:ascii="黑体" w:hAnsi="黑体" w:eastAsia="黑体" w:cs="黑体"/>
          <w:b w:val="0"/>
          <w:sz w:val="32"/>
          <w:szCs w:val="32"/>
        </w:rPr>
      </w:pPr>
      <w:r>
        <w:rPr>
          <w:rStyle w:val="17"/>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项目决策类指标包括项目立项、绩效目标和资金投入三方面的内容，由6个三级指标构成，权重分为20分，实际得分20分，得分率为100%。</w:t>
        <w:br/>
        <w:t>　　（1）立项依据充分性：结合克州驻乌干休所职责职责，并组织实施。围绕克州驻乌干休所年度工作重点和工作计划制定经费预算，根据评分标准，该指标不扣分，得3分。</w:t>
        <w:br/>
        <w:t>　　（2）立项程序规范性：根据决策依据编制工作计划和经费预算，经过与所领导进行沟通、筛选确定经费预算计划，上内部控制领导小组会议研究确定最终预算方案，根据评分标准，该指标不扣分，得2分。</w:t>
        <w:br/>
        <w:t>　　（3）绩效目标合理性：制定了实施方案，明确了总体思路及目标、并对任务进行了详细分解，对目标进行了细化，根据评分标准，该指标不扣分，得3分。</w:t>
        <w:br/>
        <w:t>　　（4）绩效指标明确性： 将项目绩效目标细化分解为具体的绩效指标，根据评分标准，该指标不扣分，得2分。</w:t>
        <w:br/>
        <w:t>　　（5）预算编制科学性： 预算编制经过科学论证，内容与项目内容匹配，项目投资额与工作任务相匹配，根据评分标准，该指标不扣分，得5分。</w:t>
        <w:br/>
        <w:t>　　（6）资金分配合理性：资金分配与实际相适应，根据评分标准，该指标不扣分，得5分。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项目过程类指标包括资金管理和组织实施两方面的内容，由5个三级指标构成，权重分为20分，实际得分19.62 分，得分率为98.1%。</w:t>
        <w:br/>
        <w:t>　　（1）资金到位率：该项目总投资29.22万元，克州财政局实际下达经费29.22万元，其中当年财政拨款29.22万元，上年结转资金0万元，财政资金足额拨付到位，根据评分标准，该指标不扣分，得5分。</w:t>
        <w:br/>
        <w:t>　　（2）预算执行率：本项目申请预算金额为29.22万元，预算批复实际下达金额为29.22万元。截至2023年12月31日，资金执行27.32万元，资金执行率93.5%。项目资金支出总体能够按照预算执行，根据评分标准（27.32/29.22）*100%*5=4.62，该指标扣0.38分，得4.62分。</w:t>
        <w:br/>
        <w:t>　　（3）资金使用合规性：制定了相关的制度和管理规定对经费使用进行规范管理，财务制度健全、执行严格，根据评分标准，该指标不扣分，得5分。</w:t>
        <w:br/>
        <w:t>　　（4）管理制度健全性：制定了克州驻乌干休所相关管理办法，对项目资金进行严格管理，基本做到了专款专用，根据评分标准，该指标不扣分，得2分。</w:t>
        <w:br/>
        <w:t>　　（5）制度执行有效性：由部门提出经费预算支出可行性方案，经过与所领导沟通后，经内部控制领导小组会议会议研究执行，财务对资金的使用合法合规性进行监督，年底对资金使用效果进行自评，根据评分标准，该指标不扣分，得3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项目产出类指标包括产出数量、产出质量、产出时效、产出成本四方面的内容，由8个三级指标构成，权重分为40分，实际得分39.66，得分率为99.15%。</w:t>
        <w:br/>
        <w:t>　　（1）对于“产出数量”</w:t>
        <w:br/>
        <w:t>　　聘用人员数量7人，与预期目标一致，根据评分标准，该指标不扣分，得3分。</w:t>
        <w:br/>
        <w:t>　　发放工资次数12次，与预期目标一致，根据评分标准，该指标不扣分，得4分。</w:t>
        <w:br/>
        <w:t>　　积雪清扫面积4120平方米，与预期目标一致，根据评分标准，该指标不扣分，得3分。</w:t>
        <w:br/>
        <w:t>　　合计得10分。</w:t>
        <w:br/>
        <w:t>　　（2）对于“产出质量”：</w:t>
        <w:br/>
        <w:t>　　发放工资覆盖率100%，与预期目标一致，根据评分标准，该指标不扣分，得10分。</w:t>
        <w:br/>
        <w:t>　　合计得10分。</w:t>
        <w:br/>
        <w:t>　　（3）对于“产出时效”：</w:t>
        <w:br/>
        <w:t>　　发放工资及时率100%，与预期目标一致，根据评分标准，该指标不扣分，得5分。</w:t>
        <w:br/>
        <w:t>　　项目完成时间2023年12月，与预期目标一致，根据评分标准，该指标不扣分，得5分。</w:t>
        <w:br/>
        <w:t>　　合计得10分。</w:t>
        <w:br/>
        <w:t>　　（4）对于“产出成本”：</w:t>
        <w:br/>
        <w:t>　　聘用人员工资发放金额26.24万元，与预期目标不一致，存在偏差：预期绩效目标28.14万元，实际完成值为26.24万元，偏差率为6.76% ，偏差原因：聘用人员有请假情况，使实发工资小于应发工资，改进措施：优化实施方案，序时推进。根据评分标准（26.24/28.14）*100%*5=4.66，该指标扣0.34分，得4.66分。</w:t>
        <w:br/>
        <w:t>　　积雪清扫费1.08万元，与预期目标一致，根据评分标准，该指标需扣分，得5分</w:t>
        <w:br/>
        <w:t>　　合计得9.66分。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w:t>
      </w:r>
      <w:r>
        <w:rPr>
          <w:rFonts w:hint="eastAsia" w:ascii="楷体" w:hAnsi="楷体" w:eastAsia="楷体" w:cs="楷体"/>
          <w:b/>
          <w:spacing w:val="-4"/>
          <w:sz w:val="32"/>
          <w:szCs w:val="32"/>
          <w:lang w:val="en-US" w:eastAsia="zh-CN"/>
        </w:rPr>
        <w:t>四</w:t>
      </w:r>
      <w:r>
        <w:rPr>
          <w:rFonts w:hint="eastAsia" w:ascii="楷体" w:hAnsi="楷体" w:eastAsia="楷体" w:cs="楷体"/>
          <w:b/>
          <w:spacing w:val="-4"/>
          <w:sz w:val="32"/>
          <w:szCs w:val="32"/>
        </w:rPr>
        <w:t>）项目效益情况。</w:t>
      </w:r>
    </w:p>
    <w:p>
      <w:pPr>
        <w:spacing w:line="540" w:lineRule="exact"/>
        <w:ind w:firstLine="567"/>
        <w:rPr>
          <w:rStyle w:val="17"/>
          <w:rFonts w:hint="eastAsia"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项目效益类指标包括项目效益2个方面的内容，由3个三级指标构成，权重分为20分，实际得分20分，得分率为100%。</w:t>
        <w:br/>
        <w:t>　　（1）实施效益指标：</w:t>
        <w:br/>
        <w:t>　　①对于“经济效益指标”：</w:t>
        <w:br/>
        <w:t>　　本项目无该指标。</w:t>
        <w:br/>
        <w:t>　　②对于“社会效益指标”：</w:t>
        <w:br/>
        <w:t>　　保障安全居住环境有效保障，与预期指标一致，根据评分标准，该指标不扣分，得5分</w:t>
        <w:br/>
        <w:t>　　提升老干部生活水平有效提升，与预期指标一致，根据评分标准，该指标不扣分，得5分。</w:t>
        <w:br/>
        <w:t>　　③对于“生态效益指标”：</w:t>
        <w:br/>
        <w:t>　　本项目无该指标。</w:t>
        <w:br/>
        <w:t>　　实施效益指标合计得10分。</w:t>
        <w:br/>
        <w:t>　　（2）满意度指标:</w:t>
        <w:br/>
        <w:t>　　对于“满意度指标：受益人员满意度95%，与预期目标一致，根据评分标准，该指标不扣分,得10分。</w:t>
        <w:br/>
        <w:t>　　满意度指标合计得10分。</w:t>
      </w:r>
      <w:bookmarkStart w:id="0" w:name="_GoBack"/>
      <w:bookmarkEnd w:id="0"/>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五、主要经验及做法、存在的问题及原因分析</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（一）主要经验及做法</w:t>
        <w:br/>
        <w:t>　　主要经验及做法一：一是本项目能够严格按照《项目实施方案》执行，项目执行情况较好。</w:t>
        <w:br/>
        <w:t>　　二是加强组织领导，本项目绩效评价工作，有县政府主要领导亲自挂帅，分管县领导具体负责，从项目到资金，均能后很好的执行。</w:t>
        <w:br/>
        <w:t>三是加强沟通协调，我单位及时向县领导汇报项目建设进度，加强与实施单位的沟通，确保项目按期完工。</w:t>
        <w:br/>
        <w:t>　　（二）存在问题及原因分析</w:t>
        <w:br/>
        <w:t>　　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六、有关建议</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1.项目决策方面</w:t>
        <w:br/>
        <w:t>　　项目建设的程序进一步规范。项目前期做好工作计划，细化实施方案，严格执行资金管理办法和财政资金管理制度，严格按照项目工作计划及实施方案稳步推进工作，单位根据自己项目的特点进行总结。</w:t>
        <w:br/>
        <w:t>　　2.预算安排与执行方面</w:t>
        <w:br/>
        <w:t>　　年初预算加强沟通协调，及时向单位领导汇报，做好项目预算准确。年中做好项目建设监督与资金使用进度，加强与实施单位的沟通，确保项目按期完工。</w:t>
        <w:br/>
        <w:t>　　3.资金管理方面 </w:t>
        <w:br/>
        <w:t>　　建议预算单位要树立起预算执行主体责任意识和效率意 识，强化预算执行管理，根据项目实施计划，严格把控项目资金支出进度，对项目实施过程中遇到影响项目完成进度或资金支付进度的问题，在自身不能采取有效措施进行解决的情况下应尽快向财政部门反馈，使财政部门能够对涉及的资金进行适当调整，充分提高财政资金使用效益。 </w:t>
        <w:br/>
        <w:t>　　4.项目管理方面 </w:t>
        <w:br/>
        <w:t>　　建议预算单位加强对项目建设、实施进度以及质量的管控，定期监督检查项目执行进度和实施质量，及时采取措施对发现的问题进行纠偏整改，对需要及时协调各方共同解决的问题，应加强各责任部门之间的沟通，共同推动项目管理水平的提升。</w:t>
        <w:br/>
        <w:t>　　5.其它方面</w:t>
        <w:br/>
        <w:t>　　项目评价资料有待进一步完善。项目启动时同步做好档案的归纳与整理，及时整理、收集、汇总，健全档案资料。项目后续管理有待进一步加强和跟踪。</w:t>
        <w:br/>
        <w:t>　　通过绩效管理，发现实施中存在漏洞，以后加强管理，及时掌握与之相关的各类信息，减少成本，使资金效益最大化。</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七、其他需要说明的问题</w:t>
      </w:r>
    </w:p>
    <w:p>
      <w:pPr>
        <w:spacing w:line="540" w:lineRule="exact"/>
        <w:ind w:firstLine="567"/>
        <w:rPr>
          <w:rStyle w:val="17"/>
          <w:rFonts w:ascii="仿宋" w:hAnsi="仿宋" w:eastAsia="仿宋"/>
          <w:b w:val="0"/>
          <w:spacing w:val="-4"/>
          <w:sz w:val="32"/>
          <w:szCs w:val="32"/>
        </w:rPr>
      </w:pPr>
      <w:r>
        <w:rPr>
          <w:rStyle w:val="17"/>
          <w:rFonts w:hint="eastAsia" w:ascii="仿宋" w:hAnsi="仿宋" w:eastAsia="仿宋" w:cs="仿宋"/>
          <w:b w:val="0"/>
          <w:bCs w:val="0"/>
          <w:spacing w:val="-4"/>
          <w:sz w:val="32"/>
          <w:szCs w:val="32"/>
        </w:rPr>
        <w:t>　　我单位对上述项目支出绩效评价报告内反映内容的真实性、完整性负责，接受上级部门及社会监督。</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3000509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1A33"/>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E6335"/>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46021"/>
    <w:rsid w:val="00E655F7"/>
    <w:rsid w:val="00E7612A"/>
    <w:rsid w:val="00E769FE"/>
    <w:rsid w:val="00E774CE"/>
    <w:rsid w:val="00E96D03"/>
    <w:rsid w:val="00EA2CBE"/>
    <w:rsid w:val="00EB10A0"/>
    <w:rsid w:val="00F32FEE"/>
    <w:rsid w:val="00FB10BB"/>
    <w:rsid w:val="00FF3B44"/>
    <w:rsid w:val="07D931EA"/>
    <w:rsid w:val="2AE11386"/>
    <w:rsid w:val="2D4C6AD2"/>
    <w:rsid w:val="2D5A6638"/>
    <w:rsid w:val="340D5924"/>
    <w:rsid w:val="43B04001"/>
    <w:rsid w:val="45687296"/>
    <w:rsid w:val="4609551D"/>
    <w:rsid w:val="4D2606A1"/>
    <w:rsid w:val="4DD42C22"/>
    <w:rsid w:val="50796DE0"/>
    <w:rsid w:val="5DA70C36"/>
    <w:rsid w:val="716B6B6A"/>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6">
    <w:name w:val="Default Paragraph Font"/>
    <w:semiHidden/>
    <w:unhideWhenUsed/>
    <w:uiPriority w:val="1"/>
  </w:style>
  <w:style w:type="table" w:default="1" w:styleId="19">
    <w:name w:val="Normal Table"/>
    <w:semiHidden/>
    <w:unhideWhenUsed/>
    <w:uiPriority w:val="99"/>
    <w:tblPr>
      <w:tblLayout w:type="fixed"/>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7">
    <w:name w:val="Strong"/>
    <w:basedOn w:val="16"/>
    <w:qFormat/>
    <w:uiPriority w:val="0"/>
    <w:rPr>
      <w:b/>
      <w:bCs/>
    </w:rPr>
  </w:style>
  <w:style w:type="character" w:styleId="18">
    <w:name w:val="Emphasis"/>
    <w:basedOn w:val="16"/>
    <w:qFormat/>
    <w:uiPriority w:val="20"/>
    <w:rPr>
      <w:rFonts w:asciiTheme="minorHAnsi" w:hAnsiTheme="minorHAnsi"/>
      <w:b/>
      <w:i/>
      <w:iCs/>
    </w:rPr>
  </w:style>
  <w:style w:type="character" w:customStyle="1" w:styleId="20">
    <w:name w:val="标题 1 字符"/>
    <w:basedOn w:val="16"/>
    <w:link w:val="2"/>
    <w:qFormat/>
    <w:uiPriority w:val="9"/>
    <w:rPr>
      <w:rFonts w:asciiTheme="majorHAnsi" w:hAnsiTheme="majorHAnsi" w:eastAsiaTheme="majorEastAsia"/>
      <w:b/>
      <w:bCs/>
      <w:kern w:val="32"/>
      <w:sz w:val="32"/>
      <w:szCs w:val="32"/>
    </w:rPr>
  </w:style>
  <w:style w:type="character" w:customStyle="1" w:styleId="21">
    <w:name w:val="标题 2 字符"/>
    <w:basedOn w:val="16"/>
    <w:link w:val="3"/>
    <w:semiHidden/>
    <w:qFormat/>
    <w:uiPriority w:val="9"/>
    <w:rPr>
      <w:rFonts w:asciiTheme="majorHAnsi" w:hAnsiTheme="majorHAnsi" w:eastAsiaTheme="majorEastAsia"/>
      <w:b/>
      <w:bCs/>
      <w:i/>
      <w:iCs/>
      <w:sz w:val="28"/>
      <w:szCs w:val="28"/>
    </w:rPr>
  </w:style>
  <w:style w:type="character" w:customStyle="1" w:styleId="22">
    <w:name w:val="标题 3 字符"/>
    <w:basedOn w:val="16"/>
    <w:link w:val="4"/>
    <w:semiHidden/>
    <w:qFormat/>
    <w:uiPriority w:val="9"/>
    <w:rPr>
      <w:rFonts w:asciiTheme="majorHAnsi" w:hAnsiTheme="majorHAnsi" w:eastAsiaTheme="majorEastAsia"/>
      <w:b/>
      <w:bCs/>
      <w:sz w:val="26"/>
      <w:szCs w:val="26"/>
    </w:rPr>
  </w:style>
  <w:style w:type="character" w:customStyle="1" w:styleId="23">
    <w:name w:val="标题 4 字符"/>
    <w:basedOn w:val="16"/>
    <w:link w:val="5"/>
    <w:qFormat/>
    <w:uiPriority w:val="9"/>
    <w:rPr>
      <w:b/>
      <w:bCs/>
      <w:sz w:val="28"/>
      <w:szCs w:val="28"/>
    </w:rPr>
  </w:style>
  <w:style w:type="character" w:customStyle="1" w:styleId="24">
    <w:name w:val="标题 5 字符"/>
    <w:basedOn w:val="16"/>
    <w:link w:val="6"/>
    <w:semiHidden/>
    <w:qFormat/>
    <w:uiPriority w:val="9"/>
    <w:rPr>
      <w:b/>
      <w:bCs/>
      <w:i/>
      <w:iCs/>
      <w:sz w:val="26"/>
      <w:szCs w:val="26"/>
    </w:rPr>
  </w:style>
  <w:style w:type="character" w:customStyle="1" w:styleId="25">
    <w:name w:val="标题 6 字符"/>
    <w:basedOn w:val="16"/>
    <w:link w:val="7"/>
    <w:semiHidden/>
    <w:qFormat/>
    <w:uiPriority w:val="9"/>
    <w:rPr>
      <w:b/>
      <w:bCs/>
    </w:rPr>
  </w:style>
  <w:style w:type="character" w:customStyle="1" w:styleId="26">
    <w:name w:val="标题 7 字符"/>
    <w:basedOn w:val="16"/>
    <w:link w:val="8"/>
    <w:semiHidden/>
    <w:qFormat/>
    <w:uiPriority w:val="9"/>
    <w:rPr>
      <w:sz w:val="24"/>
      <w:szCs w:val="24"/>
    </w:rPr>
  </w:style>
  <w:style w:type="character" w:customStyle="1" w:styleId="27">
    <w:name w:val="标题 8 字符"/>
    <w:basedOn w:val="16"/>
    <w:link w:val="9"/>
    <w:semiHidden/>
    <w:qFormat/>
    <w:uiPriority w:val="9"/>
    <w:rPr>
      <w:i/>
      <w:iCs/>
      <w:sz w:val="24"/>
      <w:szCs w:val="24"/>
    </w:rPr>
  </w:style>
  <w:style w:type="character" w:customStyle="1" w:styleId="28">
    <w:name w:val="标题 9 字符"/>
    <w:basedOn w:val="16"/>
    <w:link w:val="10"/>
    <w:semiHidden/>
    <w:qFormat/>
    <w:uiPriority w:val="9"/>
    <w:rPr>
      <w:rFonts w:asciiTheme="majorHAnsi" w:hAnsiTheme="majorHAnsi" w:eastAsiaTheme="majorEastAsia"/>
    </w:rPr>
  </w:style>
  <w:style w:type="character" w:customStyle="1" w:styleId="29">
    <w:name w:val="标题 字符"/>
    <w:basedOn w:val="16"/>
    <w:link w:val="15"/>
    <w:qFormat/>
    <w:uiPriority w:val="10"/>
    <w:rPr>
      <w:rFonts w:asciiTheme="majorHAnsi" w:hAnsiTheme="majorHAnsi" w:eastAsiaTheme="majorEastAsia"/>
      <w:b/>
      <w:bCs/>
      <w:kern w:val="28"/>
      <w:sz w:val="32"/>
      <w:szCs w:val="32"/>
    </w:rPr>
  </w:style>
  <w:style w:type="character" w:customStyle="1" w:styleId="30">
    <w:name w:val="副标题 字符"/>
    <w:basedOn w:val="16"/>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6"/>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6"/>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6"/>
    <w:qFormat/>
    <w:uiPriority w:val="21"/>
    <w:rPr>
      <w:b/>
      <w:i/>
      <w:sz w:val="24"/>
      <w:szCs w:val="24"/>
      <w:u w:val="single"/>
    </w:rPr>
  </w:style>
  <w:style w:type="character" w:customStyle="1" w:styleId="39">
    <w:name w:val="不明显参考1"/>
    <w:basedOn w:val="16"/>
    <w:qFormat/>
    <w:uiPriority w:val="31"/>
    <w:rPr>
      <w:sz w:val="24"/>
      <w:szCs w:val="24"/>
      <w:u w:val="single"/>
    </w:rPr>
  </w:style>
  <w:style w:type="character" w:customStyle="1" w:styleId="40">
    <w:name w:val="明显参考1"/>
    <w:basedOn w:val="16"/>
    <w:qFormat/>
    <w:uiPriority w:val="32"/>
    <w:rPr>
      <w:b/>
      <w:sz w:val="24"/>
      <w:u w:val="single"/>
    </w:rPr>
  </w:style>
  <w:style w:type="character" w:customStyle="1" w:styleId="41">
    <w:name w:val="书籍标题1"/>
    <w:basedOn w:val="16"/>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6"/>
    <w:link w:val="13"/>
    <w:qFormat/>
    <w:uiPriority w:val="99"/>
    <w:rPr>
      <w:rFonts w:ascii="Calibri" w:hAnsi="Calibri" w:eastAsia="宋体"/>
      <w:kern w:val="2"/>
      <w:sz w:val="18"/>
      <w:szCs w:val="18"/>
    </w:rPr>
  </w:style>
  <w:style w:type="character" w:customStyle="1" w:styleId="44">
    <w:name w:val="页脚 字符"/>
    <w:basedOn w:val="16"/>
    <w:link w:val="12"/>
    <w:qFormat/>
    <w:uiPriority w:val="99"/>
    <w:rPr>
      <w:rFonts w:ascii="Calibri" w:hAnsi="Calibri" w:eastAsia="宋体"/>
      <w:kern w:val="2"/>
      <w:sz w:val="18"/>
      <w:szCs w:val="18"/>
    </w:rPr>
  </w:style>
  <w:style w:type="character" w:customStyle="1" w:styleId="45">
    <w:name w:val="批注框文本 字符"/>
    <w:basedOn w:val="16"/>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customXml/item1.xml" Type="http://schemas.openxmlformats.org/officeDocument/2006/relationships/customXml"/>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3</Pages>
  <Words>107</Words>
  <Characters>615</Characters>
  <Lines>5</Lines>
  <Paragraphs>1</Paragraphs>
  <TotalTime>40</TotalTime>
  <ScaleCrop>false</ScaleCrop>
  <LinksUpToDate>false</LinksUpToDate>
  <CharactersWithSpaces>721</CharactersWithSpaces>
  <Application>WPS Office_11.1.0.7989_F1E327BC-269C-435d-A152-05C5408002CA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2022-01-14T05:11:00Z</dcterms:created>
  <dc:creator>赵 恺（预算处）</dc:creator>
  <cp:lastModifiedBy>Administrator</cp:lastModifiedBy>
  <cp:lastPrinted>2018-12-31T10:56:00Z</cp:lastPrinted>
  <dcterms:modified xsi:type="dcterms:W3CDTF">2024-03-04T10:45:17Z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2052-11.1.0.7989</vt:lpwstr>
  </property>
</Properties>
</file>