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367BE">
      <w:pPr>
        <w:spacing w:line="570" w:lineRule="exact"/>
        <w:jc w:val="center"/>
        <w:rPr>
          <w:rFonts w:ascii="华文中宋" w:hAnsi="华文中宋" w:eastAsia="华文中宋" w:cs="宋体"/>
          <w:b/>
          <w:kern w:val="0"/>
          <w:sz w:val="52"/>
          <w:szCs w:val="52"/>
        </w:rPr>
      </w:pPr>
      <w:bookmarkStart w:id="0" w:name="_GoBack"/>
    </w:p>
    <w:p w14:paraId="6D90D046">
      <w:pPr>
        <w:spacing w:line="570" w:lineRule="exact"/>
        <w:jc w:val="center"/>
        <w:rPr>
          <w:rFonts w:ascii="华文中宋" w:hAnsi="华文中宋" w:eastAsia="华文中宋" w:cs="宋体"/>
          <w:b/>
          <w:kern w:val="0"/>
          <w:sz w:val="52"/>
          <w:szCs w:val="52"/>
        </w:rPr>
      </w:pPr>
    </w:p>
    <w:p w14:paraId="5DAD20A9">
      <w:pPr>
        <w:spacing w:line="570" w:lineRule="exact"/>
        <w:jc w:val="center"/>
        <w:rPr>
          <w:rFonts w:ascii="华文中宋" w:hAnsi="华文中宋" w:eastAsia="华文中宋" w:cs="宋体"/>
          <w:b/>
          <w:kern w:val="0"/>
          <w:sz w:val="52"/>
          <w:szCs w:val="52"/>
        </w:rPr>
      </w:pPr>
    </w:p>
    <w:p w14:paraId="39C592DB">
      <w:pPr>
        <w:spacing w:line="570" w:lineRule="exact"/>
        <w:jc w:val="center"/>
        <w:rPr>
          <w:rFonts w:ascii="华文中宋" w:hAnsi="华文中宋" w:eastAsia="华文中宋" w:cs="宋体"/>
          <w:b/>
          <w:kern w:val="0"/>
          <w:sz w:val="52"/>
          <w:szCs w:val="52"/>
        </w:rPr>
      </w:pPr>
    </w:p>
    <w:p w14:paraId="3994CDA0">
      <w:pPr>
        <w:spacing w:line="570" w:lineRule="exact"/>
        <w:rPr>
          <w:rFonts w:ascii="华文中宋" w:hAnsi="华文中宋" w:eastAsia="华文中宋" w:cs="宋体"/>
          <w:b/>
          <w:kern w:val="0"/>
          <w:sz w:val="52"/>
          <w:szCs w:val="52"/>
        </w:rPr>
      </w:pPr>
    </w:p>
    <w:p w14:paraId="7B951394">
      <w:pPr>
        <w:spacing w:line="570" w:lineRule="exact"/>
        <w:jc w:val="center"/>
        <w:rPr>
          <w:rFonts w:ascii="华文中宋" w:hAnsi="华文中宋" w:eastAsia="华文中宋" w:cs="宋体"/>
          <w:b/>
          <w:kern w:val="0"/>
          <w:sz w:val="52"/>
          <w:szCs w:val="52"/>
        </w:rPr>
      </w:pPr>
    </w:p>
    <w:p w14:paraId="704741B4">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0E83F8AB">
      <w:pPr>
        <w:spacing w:line="570" w:lineRule="exact"/>
        <w:jc w:val="center"/>
        <w:rPr>
          <w:rFonts w:ascii="华文中宋" w:hAnsi="华文中宋" w:eastAsia="华文中宋" w:cs="宋体"/>
          <w:b/>
          <w:kern w:val="0"/>
          <w:sz w:val="52"/>
          <w:szCs w:val="52"/>
        </w:rPr>
      </w:pPr>
    </w:p>
    <w:p w14:paraId="2B26A646">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66356A05">
      <w:pPr>
        <w:spacing w:line="570" w:lineRule="exact"/>
        <w:jc w:val="center"/>
        <w:rPr>
          <w:rFonts w:hAnsi="宋体" w:eastAsia="仿宋_GB2312" w:cs="宋体"/>
          <w:kern w:val="0"/>
          <w:sz w:val="30"/>
          <w:szCs w:val="30"/>
        </w:rPr>
      </w:pPr>
    </w:p>
    <w:p w14:paraId="1D8CA783">
      <w:pPr>
        <w:spacing w:line="570" w:lineRule="exact"/>
        <w:jc w:val="center"/>
        <w:rPr>
          <w:rFonts w:hAnsi="宋体" w:eastAsia="仿宋_GB2312" w:cs="宋体"/>
          <w:kern w:val="0"/>
          <w:sz w:val="30"/>
          <w:szCs w:val="30"/>
        </w:rPr>
      </w:pPr>
    </w:p>
    <w:p w14:paraId="72A4B3C7">
      <w:pPr>
        <w:spacing w:line="570" w:lineRule="exact"/>
        <w:jc w:val="center"/>
        <w:rPr>
          <w:rFonts w:hAnsi="宋体" w:eastAsia="仿宋_GB2312" w:cs="宋体"/>
          <w:kern w:val="0"/>
          <w:sz w:val="30"/>
          <w:szCs w:val="30"/>
        </w:rPr>
      </w:pPr>
    </w:p>
    <w:p w14:paraId="25D9E0B1">
      <w:pPr>
        <w:spacing w:line="570" w:lineRule="exact"/>
        <w:jc w:val="center"/>
        <w:rPr>
          <w:rFonts w:hAnsi="宋体" w:eastAsia="仿宋_GB2312" w:cs="宋体"/>
          <w:kern w:val="0"/>
          <w:sz w:val="30"/>
          <w:szCs w:val="30"/>
        </w:rPr>
      </w:pPr>
    </w:p>
    <w:p w14:paraId="033A009F">
      <w:pPr>
        <w:spacing w:line="570" w:lineRule="exact"/>
        <w:jc w:val="center"/>
        <w:rPr>
          <w:rFonts w:hAnsi="宋体" w:eastAsia="仿宋_GB2312" w:cs="宋体"/>
          <w:kern w:val="0"/>
          <w:sz w:val="30"/>
          <w:szCs w:val="30"/>
        </w:rPr>
      </w:pPr>
    </w:p>
    <w:p w14:paraId="703496DC">
      <w:pPr>
        <w:spacing w:line="570" w:lineRule="exact"/>
        <w:jc w:val="center"/>
        <w:rPr>
          <w:rFonts w:hAnsi="宋体" w:eastAsia="仿宋_GB2312" w:cs="宋体"/>
          <w:kern w:val="0"/>
          <w:sz w:val="30"/>
          <w:szCs w:val="30"/>
        </w:rPr>
      </w:pPr>
    </w:p>
    <w:p w14:paraId="6D3650F9">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克州玛尔坎恰提水利工程前期费</w:t>
      </w:r>
    </w:p>
    <w:p w14:paraId="6EBE80FE">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克孜勒苏柯尔克孜自治州水利局</w:t>
      </w:r>
    </w:p>
    <w:p w14:paraId="2CDC91DC">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克孜勒苏柯尔克孜自治州水利局</w:t>
      </w:r>
    </w:p>
    <w:p w14:paraId="39F64536">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吴瑞</w:t>
      </w:r>
    </w:p>
    <w:p w14:paraId="7B6648B9">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2024年04月24日</w:t>
      </w:r>
    </w:p>
    <w:p w14:paraId="2FD3B79E">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660C177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7514C19">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7C31E61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克州玛尔坎恰提水利枢纽工程项目实施前期、过程及效果，评价财政预算资金使用的效率及效益。为积极谋划建设现代水网，完善克州水资源调配格局，夯实乡村振兴水利基础，不断推动水利事业高质量发展，提高城镇生活、工业供水和灌溉保证率，解决灌区干旱缺水问题，提高沿岸城镇及农村的防洪标准，遏制生态环境退化，缓解地区能源和电力电量不足的矛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玛尔坎恰提水利枢纽工程是克孜河流域梯级规划中第一个梯级，为流域控制性龙头工程。建设任务为城镇生活和工业供水、灌溉、防洪、生态和发电。水库总库容6.18亿m3。枢纽工程由拦河坝、表孔溢洪洞、泄洪冲沙兼导流洞、发电引水洞、电站厂房等组成，大坝初拟坝型为混凝土面板坝。</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项目实施内容：该工程总投资559315.84万元。2019年签订了《克州玛尔坎恰提水利枢纽工程可行性研究设计》合同，2023年该项目到位前期费2000万元，支付预付款2000万元。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喀什噶尔河流域规划要点报告》（2000年）、《喀什噶尔河流域克孜河中游河段水电规划报告》（2010年）、《喀什噶尔河流域防洪规划》（2017年）、《新疆喀什噶尔河流域综合规划（2020版）》等。为积极谋划建设现代水网，完善克州水资源调配格局，夯实乡村振兴水利基础，不断推动水利事业高质量发展，提高城镇生活、工业供水和灌溉保证率，解决灌区干旱缺水问题，提高沿岸城镇及农村的防洪标准，遏制生态环境退化，缓解地区能源和电力电量不足的矛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本项目的主管部门为克州水利局,实施单位为克州水利建设投资有限责任公司，目前在职22人。主要职责1、贯彻执行国家和自治区有关水利的方针、政策，并组织实施和监督检查。 2、编制全州水利发展规划，教育中长期计划和年度计划，并组织实施。 3、负责管理范围内的重大水利建设项目实施。4、贯彻执行水利行业政策，推动行业科技进步；5、按规定负责水利</w:t>
      </w:r>
      <w:r>
        <w:rPr>
          <w:rStyle w:val="18"/>
          <w:rFonts w:hint="eastAsia" w:ascii="仿宋" w:hAnsi="仿宋" w:eastAsia="仿宋" w:cs="仿宋"/>
          <w:b w:val="0"/>
          <w:bCs w:val="0"/>
          <w:spacing w:val="-4"/>
          <w:sz w:val="32"/>
          <w:szCs w:val="32"/>
          <w:lang w:eastAsia="zh-CN"/>
        </w:rPr>
        <w:t>基础设施建设</w:t>
      </w:r>
      <w:r>
        <w:rPr>
          <w:rStyle w:val="18"/>
          <w:rFonts w:hint="eastAsia" w:ascii="仿宋" w:hAnsi="仿宋" w:eastAsia="仿宋" w:cs="仿宋"/>
          <w:b w:val="0"/>
          <w:bCs w:val="0"/>
          <w:spacing w:val="-4"/>
          <w:sz w:val="32"/>
          <w:szCs w:val="32"/>
        </w:rPr>
        <w:t xml:space="preserve">项目管理。6、负责水利行业的法律宣传、水利工作事务，协调处理行业在改革发展中出现的新情况、新问题。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本年度安排下达资金2000万元，为中央资金，最终确定项目资金总数为2000万元。其中：中央财政拨款0万元，自治区财政拨款2000万元，本级财政拨款0万元，上年结余0万元。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截至2022年12月31日，实际支出2000万元，预算执行率100%。</w:t>
      </w:r>
    </w:p>
    <w:p w14:paraId="2A9D8E4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579E211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总金额2000万元，其中财政拨款资金2000万元，其他资金0万元，主要用于玛尔坎恰提水利枢纽工程可行性研究设计。建设任务为城镇生活和工业供水、灌溉、防洪、生态和发电。水库总库容6.18亿m3。枢纽工程由拦河坝、表孔溢洪洞、泄洪冲沙兼导流洞、发电引水洞、电站厂房等组成，大坝初拟坝型为混凝土面板坝。</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“项目可研报告编制（份）”指标，预期指标值为=1份；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“报告编制差错率（%）”指标，预期指标值为≤3%；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“报告编制成稿及时率”指标，预期指标值为=100%。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“工程前期费（万元）”指标，预期指标值为≤2000万元；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“成本预算控制率（%）”指标，预期指标值为=100%；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“改善灌溉面积（万亩）”指标，预期指标值为≥107万亩；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“城镇生活置换量（平方</w:t>
      </w:r>
      <w:r>
        <w:rPr>
          <w:rStyle w:val="18"/>
          <w:rFonts w:hint="eastAsia" w:ascii="仿宋" w:hAnsi="仿宋" w:eastAsia="仿宋" w:cs="仿宋"/>
          <w:b w:val="0"/>
          <w:bCs w:val="0"/>
          <w:spacing w:val="-4"/>
          <w:sz w:val="32"/>
          <w:szCs w:val="32"/>
        </w:rPr>
        <w:tab/>
        <w:t>）”指标，预期指标值为≥9184万平方；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“受益群众满意度（%）”指标，预期指标值为≥95%。</w:t>
      </w:r>
    </w:p>
    <w:p w14:paraId="07AA0C7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0C5932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1C42414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131A0BC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46EACD9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重大项目前期费（克州玛尔坎恰提水利枢纽工程）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30086A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48EBF1C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吴锐任评价组组长，职务为总经理，绩效评价工作职责为负责全盘工作。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华骏任评价组副组长，绩效评价工作职责为对项目实施情况进行实地调查。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李红曼任评价组成员，绩效评价工作职责为负责资料审核等工作。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730622D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44A96C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克州玛尔坎恰提水利工程”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该项目主要用于玛尔坎恰提水利枢纽工程可行性研究设计，目前已完成可行性研究报告初步设计，项目完成达到改善灌溉面积107万亩，城镇生活置换量9184万平方，为城镇生活和工业供水、灌溉、防洪、生态和发电。</w:t>
      </w:r>
    </w:p>
    <w:p w14:paraId="3B87108F">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0821E33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958D19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（1）立项依据充分性：克财建（2023）16号文件要求并结合克州水投公司职责组织实施。围绕克州水投公司年度工作重点和工作计划制定经费预算，根据评分标准，该指标不扣分，得3分。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（2）立项程序规范性：根据决策依据编制工作计划和经费预算，经过与水利局财经领导小组进行沟通、筛选确定经费预算计划，上局务会研究确定最终预算方案，根据评分标准，该指标不扣分，得2分。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（5）预算编制科学性：克财建（2023）16号文件要求，实际完成内容与项目内容匹配，项目投资额与工作任务相匹配，根据评分标准，该指标不扣分，得5分。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（6）资金分配合理性：资金分配按照克财建（2023）16号文件要求适用于项目前期费，资金分配与实际相适应，根据评分标准，该指标不扣分，得5分。</w:t>
      </w:r>
    </w:p>
    <w:p w14:paraId="63A2A19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382953F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（1）资金到位率：该项目总投资2000万元，克州财政局实际下达经费2000万元，财政资金足额拨付到位，根据评分标准，该指标不扣分，得5分。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2000万元，预算批复实际下达金额为2000万元截至2023年12月31日，资金执行2000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（3）资金使用合规性：克财建（2023）16号文件要求符合预算批复规定用途，不存在截留、挤占、挪用、虚列支出等情况，未发现违规使用情况，根据评分标准，该指标不扣分，得5分。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（4）管理制度健全性：该项目严格按照《克州水利局财务制度》及重大项目资金管理制度和管理规定实施，对财政专项资金进行严格管理，基本做到了专款专用，根据评分标准，该指标不扣分，得2分。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5A06D22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4AEB9F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项目产出类指标包括产出数量、产出质量、产出时效、产出成本四方面的内容，由5个三级指标构成，权重分为40分，实际得分40分，得分率为100%。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项目可研报告编制份数1份，与预期目标一致，根据评分标准，该指标不扣分，得10分。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报告编制差错率3%，与预期目标一致，根据评分标准，该指标不扣分，得10分。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报告编制成稿及时率=100%，与预期目标指标一致，根据评分标准，该指标不扣分，得10分。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工程前期费2000万元，与预期目标一致，根据评分标准，该指标不扣分，得5分。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成本预算控制率100%，与预期目标一致，根据评分标准，该指标不扣分，得5分。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4C71A6C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6DB76231">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改善灌溉面积107万亩，与预期指标一致，根据评分标准，该指标不扣分，得5分。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城镇生活置换量984万平方，与预期指标一致，根据评分标准，该指标不扣分，得5分。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对于满意度指标：受益群众满意度改善灌溉面积≥95%，与预期目标一致，根据评分标准，该指标不扣分，得10分。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满意度指标合计得10分。</w:t>
      </w:r>
    </w:p>
    <w:p w14:paraId="7BC7E6D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1A54A4C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项目绩效提高认识，事前做好各项绩效目标的设计，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3DF1ECF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6FB2F1B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1.绩效管理方面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2.资金管理方面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4D496E5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266681FC">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5628461">
        <w:pPr>
          <w:pStyle w:val="12"/>
          <w:jc w:val="center"/>
        </w:pPr>
        <w:r>
          <w:fldChar w:fldCharType="begin"/>
        </w:r>
        <w:r>
          <w:instrText xml:space="preserve">PAGE   \* MERGEFORMAT</w:instrText>
        </w:r>
        <w:r>
          <w:fldChar w:fldCharType="separate"/>
        </w:r>
        <w:r>
          <w:rPr>
            <w:lang w:val="zh-CN"/>
          </w:rPr>
          <w:t>1</w:t>
        </w:r>
        <w:r>
          <w:fldChar w:fldCharType="end"/>
        </w:r>
      </w:p>
    </w:sdtContent>
  </w:sdt>
  <w:p w14:paraId="74733435">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6DFC74A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7108</Words>
  <Characters>7384</Characters>
  <Lines>5</Lines>
  <Paragraphs>1</Paragraphs>
  <TotalTime>40</TotalTime>
  <ScaleCrop>false</ScaleCrop>
  <LinksUpToDate>false</LinksUpToDate>
  <CharactersWithSpaces>7665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2024-12-17T09:03:21Z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9EEAA5A6F9D7471F9A199DB18A2DD847_12</vt:lpwstr>
  </property>
</Properties>
</file>