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2023年单位结转资金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克孜勒苏柯尔克孜自治州驻昌吉干休所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克州党委老干部局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王文波</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2024年04月25日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2022年单位资金结转结余项目实施前期、过程及效果，评价财政预算资金使用的效率及效益。根据自治州相关工作要求，加大对单位资金的使用管理，对2022年单位资金结转结余合理使用。通过该项目的实施，加强对老干部服务工作的力度，提高服务老干部工作的积极性。</w:t>
        <w:br/>
        <w:t>　　2.主要内容及实施情况</w:t>
        <w:br/>
        <w:t>　　（1）主要内容</w:t>
        <w:br/>
        <w:t>　　该项目资金为2022年单位资金结转结余。主要为2022年单位资金结转结余其他收入：水电费、活动费、党建活动费。通过该项目的实施，对服务的老干部及老干部楼、活动室等其他活动场地提供保障，以此提升老干部活动场所环境条件。  </w:t>
        <w:br/>
        <w:t>　　（2）实施情况</w:t>
        <w:br/>
        <w:t>　　该项目负责落实老干部的政治待遇，协助有关方面落实生活待遇；组织老干部开展各种有益身心健康的文化娱乐活动和体育健身活动，就近参观经济建设；负责解决老干部生活中的实际困难；负责干休所的安全保卫，环境卫生工作。</w:t>
        <w:br/>
        <w:t>　　3.项目实施主体</w:t>
        <w:br/>
        <w:t>　　该项目由克孜勒苏柯尔克孜自治州驻昌吉干休所实施，为正科级事业参公单位，编制人数8人，实有在职人数6人，其中：行政在职5人、工勤1人；退休人员8人。主要职能是负责落实老干部的政治待遇，协助有关方面落实生活待遇；组织老干部开展各种有益身心健康的文化娱乐活动和体育健身活动，就近参观经济建设；负责解决老干部生活中的实际困难；负责干休所的安全保卫，环境卫生工作。</w:t>
        <w:br/>
        <w:t>　　4.资金投入和使用情况</w:t>
        <w:br/>
        <w:t>　　克财预【2023】16号文本年度安排下达资金2.32万元，为2022年单位资金结转结余项目，最终确定项目资金总数为2.32万元。其中：其他资金2.32万元。</w:t>
        <w:br/>
        <w:t>　　截至2023年12月31日，本项目实际支付资金2.32万元，预算执行率100%。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用于2022年单位资金结转结余。根据工作的需要，主要为2022年单位资金结转结余：水电费、活动费、党建活动费。通过该项目的实施，对服务的老干部及老干部楼、活动室等其他活动场地提供保障，以此提升老干部活动场所环境条件。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“水电费支付次数（次）”指标，预期指标值为&gt;=2次；</w:t>
        <w:br/>
        <w:t>　　“老干部活动次数（次）”指标，预期指标值为&gt;=3次；</w:t>
        <w:br/>
        <w:t>　　“党建活动次数（次）”指标，预期指标值为&gt;=2次；</w:t>
        <w:br/>
        <w:t>　　②质量指标</w:t>
        <w:br/>
        <w:t>　　“活动参与率（%）”指标，预期指标值为=100%；</w:t>
        <w:br/>
        <w:t>　　③时效指标</w:t>
        <w:br/>
        <w:t>　　“支付及时率（%）”指标，预期指标值为=100%；</w:t>
        <w:br/>
        <w:t>　　④成本指标</w:t>
        <w:br/>
        <w:t>　　“水电费（万元）”指标，预期指标值为≤0.87万元；</w:t>
        <w:br/>
        <w:t>　　“老干部活动费（万元）”指标，预期指标值为≤1.12万元；</w:t>
        <w:br/>
        <w:t>　　“党建费（万元）”指标，预期指标值为≤0.33万元。</w:t>
        <w:br/>
        <w:t>　　（2）项目效益目标</w:t>
        <w:br/>
        <w:t>　　①经济效益指标</w:t>
        <w:br/>
        <w:t>　　无</w:t>
        <w:br/>
        <w:t>　　②社会效益指标</w:t>
        <w:br/>
        <w:t>　　“提升老干部幸福指数”指标，预期指标值为有效提升；</w:t>
        <w:br/>
        <w:t>　　③生态效益指标</w:t>
        <w:br/>
        <w:t>　　无</w:t>
        <w:br/>
        <w:t>　　④满意度指标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2022年单位资金结转结余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梁立志，任评价组组长，职务为干休所所长，绩效评价工作职责为负责全盘工作。</w:t>
        <w:br/>
        <w:t>　　付静，任评价组副组长，绩效评价工作职责为对项目实施情况进行实地调查。</w:t>
        <w:br/>
        <w:t>　　张明英、石晓丽任评价组成员，绩效评价工作职责为负责资料审核等工作。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2023年单位结转资金”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克州驻昌吉干休所已完成2023年单位结转资金项目：通过该项目的实施，对老干部楼、活动室及其他活动场地提供服务，以此提升老干部活动场所环境条件。</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（1）立项依据充分性：结合克州驻昌吉干休所职责，并组织实施。围绕克州驻昌吉干休所年度工作重点和工作计划制定经费预算，根据评分标准，该指标不扣分，得3分。</w:t>
        <w:br/>
        <w:t>　　（2）立项程序规范性：根据决策依据编制工作计划和经费预算，经过与所领导进行沟通、筛选确定经费预算计划，上内部控制领导小组会议研究确定最终预算方案，根据评分标准，该指标不扣分，得2分。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 将项目绩效目标细化分解为具体的绩效指标，根据评分标准，该指标不扣分，得2分。</w:t>
        <w:br/>
        <w:t>　　（5）预算编制科学性： 预算编制经过科学论证，内容与项目内容匹配，项目投资额与工作任务相匹配，根据评分标准，该指标不扣分，得5分。</w:t>
        <w:br/>
        <w:t>　　（6）资金分配合理性：资金分配与实际相适应，根据评分标准，该指标不扣分，得5分。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</w:t>
        <w:br/>
        <w:t>　　（1）资金到位率：该项目总投资2.32万元，实际单位结转资金2.32万元，其中当年财政拨款0万元，其他资金2.32万元，财政资金足额拨付到位，根据评分标准，该指标不扣分，得5分。</w:t>
        <w:br/>
        <w:t>　　（2）预算执行率：本项目申请预算金额为2.32万元，预算批复实际下达金额为2.32万元。截至2023年12月31日，资金执行2.32万元，资金执行率100%。项目资金支出总体能够按照预算执行，根据评分标准，该指标不扣分，得5分。</w:t>
        <w:br/>
        <w:t>　　（3）资金使用合规性：制定了相关的制度和管理规定对经费使用进行规范管理，财务制度健全、执行严格，根据评分标准，该指标不扣分，得5分。</w:t>
        <w:br/>
        <w:t>　　（4）管理制度健全性：制定了克州驻昌吉干休所相关管理办法，对项目资金进行严格管理，基本做到了专款专用，根据评分标准，该指标不扣分，得2分。</w:t>
        <w:br/>
        <w:t>　　（5）制度执行有效性：由部门提出经费预算支出可行性方案，经过与所领导沟通后，经内部控制领导小组会议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项目产出类指标包括产出数量、产出质量、产出时效、产出成本四方面的内容，由8个三级指标构成，权重分为40分，实际得分40分，得分率为100%。</w:t>
        <w:br/>
        <w:t>　　（1）对于“产出数量”</w:t>
        <w:br/>
        <w:t>　　水电费支付次数2次，与预期目标一致，根据评分标准，该指标不扣分，得3分。</w:t>
        <w:br/>
        <w:t>　　老干部活动次数3次，与预期目标一致，根据评分标准，该指标不扣分，得3分。</w:t>
        <w:br/>
        <w:t>　　党建活动次数2次，与预期目标一致，根据评分标准，该指标不扣分，得4分。</w:t>
        <w:br/>
        <w:t>　　合计得10分。</w:t>
        <w:br/>
        <w:t>　　（2）对于“产出质量”：</w:t>
        <w:br/>
        <w:t>　　活动参与率100%，与预期目标一致，根据评分标准，该指标不扣分，得10分。</w:t>
        <w:br/>
        <w:t>　　合计得10分。</w:t>
        <w:br/>
        <w:t>　　（3）对于“产出时效”：</w:t>
        <w:br/>
        <w:t>　　支付及时率100%，与预期目标一致，根据评分标准，该指标不扣分，得10分。</w:t>
        <w:br/>
        <w:t>　　合计得10分。</w:t>
        <w:br/>
        <w:t>　　（4）对于“产出成本”：</w:t>
        <w:br/>
        <w:t>　　老干部活动费1.12万元，与预期目标一致，根据评分标准，该指标需扣分，得3分。</w:t>
        <w:br/>
        <w:t>　　党建费0.33万元，与预期目标一致，根据评分标准，该指标需扣分，得3分</w:t>
        <w:br/>
        <w:t>　　水电费0.87万元，与预期目标一致，根据评分标准，该指标需扣分，得4分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①对于“经济效益指标”：</w:t>
        <w:br/>
        <w:t>　　本项目无该指标。</w:t>
        <w:br/>
        <w:t>　　②对于“社会效益指标”：</w:t>
        <w:br/>
        <w:t>　　提升老干部幸福指数有效提升，与预期指标一致，根据评分标准，该指标不扣分，得10分。</w:t>
        <w:br/>
        <w:t>　　③对于“生态效益指标”：</w:t>
        <w:br/>
        <w:t>　　本项目无该指标。</w:t>
        <w:br/>
        <w:t>　　实施效益指标合计得10分。</w:t>
        <w:br/>
        <w:t>　　（2）满意度指标:</w:t>
        <w:br/>
        <w:t>　　对于“满意度指标：受益群众满意度95%，与预期目标一致，根据评分标准，该指标不扣分,得10分。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