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档案数字化加工项目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克孜勒苏柯尔克孜自治州档案馆</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杨宁</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档案数字化项目实施前期、过程及效果，评价财政预算资金使用的效率及效益。根据《自治州党委办公室、自治州人民政府办公室关于印发〈“十四五”克孜勒苏柯尔克孜自治州档案事业发展规划〉的通知》（克党室字〔2022〕1号）要求，到“十四五”末，传统载体档案数字化率要达到80%以上。完成存量档案数字化工作，为建设数字化档案馆打下坚实基础、为服务群众提供便捷式检索服务提供打下坚实基础、为全州档案数字化事业历史性奠基。完成存量档案数字化工作后可有效减少对实体档案查阅造成的损耗，降低档案保存成本。</w:t>
        <w:br/>
        <w:t>　　2、主要内容及实施情况</w:t>
        <w:br/>
        <w:t>　　（1）项目主要内容：本项目总投资35万元，其中：财政资金35万元。其他资金0万元，开展档案拆分、扫描、录入、挂接，达到档案数字化、规范化要求的效果。</w:t>
        <w:br/>
        <w:t>　　（2）实施情况：根据《自治州党委办公室、自治州人民政府办公室关于印发〈“十四五”克孜勒苏柯尔克孜自治州档案事业发展规划〉的通知》（克党室字〔2022〕1号）要求，到“十四五”末，传统载体档案数字化率要达到80%以上，为建设数字化档案馆打下坚实基础、为服务群众提供便捷式检索服务提供打下坚实基础。</w:t>
        <w:br/>
        <w:t>　　3.项目实施主体</w:t>
        <w:br/>
        <w:t>　　该项目由克州档案馆单位实施，内设5个科室，分别是：办公室、保管利用科、编研科、电子信息化科、档案征集接收科。</w:t>
        <w:br/>
        <w:t>　　编制人数22人，其中：行政人员编制0人、工勤1人、参公22人、事业编制0人。实有在职人数17人，其中：行政在职0人、工勤1、参公17人、事业在职0人。离退休人员15人，其中：行政退休人员9人、事业退休5人。</w:t>
        <w:br/>
        <w:t>　　4.资金投入和使用情况</w:t>
        <w:br/>
        <w:t>　　克财教【2023】1号文本年度安排下达资金35万元，为财政拨款资金，最终确定项目资金总数为35万元。其中：中央财政拨款0万元，自治区财政拨款0万元，本级财政拨款35万元，上年结余0万元。</w:t>
        <w:br/>
        <w:t>　　截至2023年12月31日，实际支出35万元，预算执行率100%。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项目35万元主要用于完成存量档案数字化工作，为建设数字化档案馆打下坚实基础、为服务群众提供便捷式检索服务提供打下坚实基础、为全州档案数字化事业历史性奠基。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“档案数字化页数（万页）”指标，预期指标值为=200万页；</w:t>
        <w:br/>
        <w:t>　　②质量指标</w:t>
        <w:br/>
        <w:t>　　“上传数字化档案合格率（%）”指标，预期指标值为＝100%；</w:t>
        <w:br/>
        <w:t>　　“馆藏档案数字化率（%）”指标，预期指标值为≥90%。</w:t>
        <w:br/>
        <w:t>　　③时效指标</w:t>
        <w:br/>
        <w:t>　　“项目实施时间”指标，预期指标值为2023年12月</w:t>
        <w:br/>
        <w:t>　　“传统载体档案数字化率及时率（%）”指标，预期指标值为＝100%；</w:t>
        <w:br/>
        <w:t>　　④成本指标</w:t>
        <w:br/>
        <w:t>　　“档案数字化财政款经费数（万元）”指标，预期指标值为≤35万元；</w:t>
        <w:br/>
        <w:t>　　“预算成本控制率（%）”指标，预期指标值为≤100%；</w:t>
        <w:br/>
        <w:t>　　（2）项目效益目标</w:t>
        <w:br/>
        <w:t>　　①经济效益指标</w:t>
        <w:br/>
        <w:t>　　无</w:t>
        <w:br/>
        <w:t>　　②社会效益指标</w:t>
        <w:br/>
        <w:t>　　“为服务群众提供便捷式检索服务”指标，预期指标值为效果显著；</w:t>
        <w:br/>
        <w:t>　　③生态效益指标</w:t>
        <w:br/>
        <w:t>　　无</w:t>
        <w:br/>
        <w:t>　　④满意度指标</w:t>
        <w:br/>
        <w:t>　　“受益预算单位满意度（%）”指标，预期指标值为≥95%。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档案数字化加工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谷建峰任评价组组长，职务为副局长，绩效评价工作职责为负责全盘工作。</w:t>
        <w:br/>
        <w:t>　　杨宁任评价组副组长，绩效评价工作职责为对项目实施情况进行实地调查。</w:t>
        <w:br/>
        <w:t>　　邹莉任评价组成员，绩效评价工作职责为负责资料审核等工作。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档案数字化加工”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州档案馆计划利用三年时间完成剩余的70%约200多万页的存量档案数字化工作已完成30%，推动了档案数字化工作进程，产生档案拆分、扫描、录入、挂接，达到档案数字化、规范化要求的效果，完成存量档案数字化工作，为建设数字化档案馆打下坚实基础、为服务群众提供便捷式检索服务提供打下坚实基础、为全州档案数字化事业历史性奠基。完成存量档案数字化工作后可有效减少对实体档案查阅造成的损耗，降低档案保存成本。</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为完成存量档案数字化工作，为建设数字化档案馆打下坚实基础,本项目立项依据为：《克州档案馆会议纪要》《克州档案馆关于申请档案事业发展相关资金的报告》等。并结合克州档案馆职责组织实施。围绕档案馆年度工作重点和工作计划制定经费预算，根据评分标准，该指标不扣分，得3分。</w:t>
        <w:br/>
        <w:t>　　（2）立项程序规范性：根据决策依据编制工作计划和经费预算，经过与档案馆财经领导小组进行沟通、筛选确定经费预算计划，上馆务会研究确定最终预算方案，根据评分标准，该指标不扣分，得2分。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（5）预算编制科学性：预算编制经经过人大会议研究下拨35万元，实际完成内容与项目内容匹配，项目投资额与工作任务相匹配，根据评分标准，该指标不扣分，得5分。</w:t>
        <w:br/>
        <w:t>　　（6）资金分配合理性：资金分配按照根据《自治州党委办公室、自治州人民政府办公室关于印发〈“十四五”克孜勒苏柯尔克孜自治州档案事业发展规划〉的通知》（克党室字〔2022〕1号）要求，到“十四五”末，传统载体档案数字化率要达到80%以上。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（1）资金到位率：该项目总投资35万元，克州财政局实际下达经费35元，其中当年财政拨款35万元，资金足额拨付到位，根据评分标准，该指标不扣分，得5分。   </w:t>
        <w:br/>
        <w:t>　　（2）预算执行率：本项目申请预算金额为35万元，预算批复实际下达金额为35万元截至2022年12月31日，资金执行35万元，资金执行率100.00%。项目资金支出总体能够按照预算执行，根据评分标准，该指标不扣分，得5分。</w:t>
        <w:br/>
        <w:t>　　（3）资金使用合规性：根据关于《自治州党委办公室、自治州人民政府办公室关于印发〈“十四五”克孜勒苏柯尔克孜自治州档案事业发展规划〉的通知》（克党室字〔2022〕1号）要求，符合预算批复规定用途，不存在截留、挤占、挪用、虚列支出等情况，未发现违规使用情况，根据评分标准，该指标不扣分，得5分。</w:t>
        <w:br/>
        <w:t>　　（4）管理制度健全性：该项目严格按照《克州档案馆财务制度》及档案数字化资金相关的制度和管理规定实施，对财政专项资金进行严格管理，基本做到了专款专用，根据评分标准，该指标不扣分，得2分。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</w:t>
        <w:br/>
        <w:t>　　（1）对于“产出数量”</w:t>
        <w:br/>
        <w:t>　　档案数字化页数200万页，与预期目标一致，根据评分标准，该指标不扣分，得8分。</w:t>
        <w:br/>
        <w:t>　　合计得10分。</w:t>
        <w:br/>
        <w:t>　　（2）对于“产出质量”：</w:t>
        <w:br/>
        <w:t>　　上传数字化档案合格率100%，与预期目标一致，根据评分标准，该指标不扣分，得5分。</w:t>
        <w:br/>
        <w:t>　　馆藏档案数字化率大于等于90%，与预期目标一致，根据评分标准，该指标不扣分，得5分。</w:t>
        <w:br/>
        <w:t>　　合计得10分。</w:t>
        <w:br/>
        <w:t>　　（3）对于“产出时效”：</w:t>
        <w:br/>
        <w:t>项目完成时间为2023年12月，与预期目标一致，根据评分标准，该指标不扣分，得5分。</w:t>
        <w:br/>
        <w:t>　　传统载体档案数字化率100%，与预期目标一致，根据评分标准，该指标不扣分，得5分。</w:t>
        <w:br/>
        <w:t>　　合计得10分。</w:t>
        <w:br/>
        <w:t>　　（4）对于“产出成本”：</w:t>
        <w:br/>
        <w:t>　　档案数字化财政款经费数35万元，与预期目标一致，根据评分标准，该指标不扣分，得5分。</w:t>
        <w:br/>
        <w:t>　　预算成本控制率小于等于100%，与预期目标一致，根据评分标准，该指标不扣分，得5分。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为服务群众提供便捷式检索服务，与预期指标一致，根据评分标准，该指标不扣分，得10分。</w:t>
        <w:br/>
        <w:t>　　③对于“生态效益指标”：</w:t>
        <w:br/>
        <w:t>　　本项目无该指标。</w:t>
        <w:br/>
        <w:t>　　实施效益指标合计得10分。</w:t>
        <w:br/>
        <w:t>　　（2）满意度指标：</w:t>
        <w:br/>
        <w:t>　　对于满意度指标：受益预算单位满意度95%，与预期目标一致，根据评分标准，该指标不扣分，得10分。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