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克州财政项目支出绩效自评报告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7"/>
          <w:rFonts w:hint="eastAsia" w:ascii="仿宋_GB2312" w:hAnsi="楷体" w:eastAsia="仿宋_GB2312"/>
          <w:spacing w:val="-4"/>
          <w:sz w:val="32"/>
          <w:szCs w:val="32"/>
        </w:rPr>
        <w:t>2023</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7"/>
          <w:rFonts w:hint="eastAsia" w:ascii="仿宋" w:hAnsi="仿宋" w:eastAsia="仿宋" w:cs="仿宋"/>
          <w:b w:val="0"/>
          <w:bCs w:val="0"/>
          <w:spacing w:val="-4"/>
          <w:sz w:val="32"/>
          <w:szCs w:val="32"/>
        </w:rPr>
        <w:t>广播电视局办公楼暖气改造项目</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7"/>
          <w:rFonts w:hint="eastAsia" w:ascii="仿宋" w:hAnsi="仿宋" w:eastAsia="仿宋" w:cs="仿宋"/>
          <w:b w:val="0"/>
          <w:bCs w:val="0"/>
          <w:spacing w:val="-4"/>
          <w:sz w:val="32"/>
          <w:szCs w:val="32"/>
        </w:rPr>
        <w:t>克孜勒苏柯尔克孜自治州外事办公室</w:t>
      </w:r>
    </w:p>
    <w:p>
      <w:pPr>
        <w:spacing w:line="54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主管部门（公章）：</w:t>
      </w:r>
      <w:r>
        <w:rPr>
          <w:rStyle w:val="17"/>
          <w:rFonts w:hint="eastAsia" w:ascii="仿宋" w:hAnsi="仿宋" w:eastAsia="仿宋" w:cs="仿宋"/>
          <w:b w:val="0"/>
          <w:bCs w:val="0"/>
          <w:spacing w:val="-4"/>
          <w:sz w:val="32"/>
          <w:szCs w:val="32"/>
        </w:rPr>
        <w:t>克州外事办公室</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7"/>
          <w:rFonts w:hint="eastAsia" w:ascii="仿宋" w:hAnsi="仿宋" w:eastAsia="仿宋" w:cs="仿宋"/>
          <w:b w:val="0"/>
          <w:bCs w:val="0"/>
          <w:spacing w:val="-4"/>
          <w:sz w:val="32"/>
          <w:szCs w:val="32"/>
        </w:rPr>
        <w:t>苟太阳</w:t>
      </w:r>
    </w:p>
    <w:p>
      <w:pPr>
        <w:spacing w:line="540" w:lineRule="exact"/>
        <w:ind w:firstLine="360" w:firstLineChars="100"/>
        <w:rPr>
          <w:rStyle w:val="17"/>
          <w:rFonts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7"/>
          <w:rFonts w:hint="eastAsia" w:ascii="仿宋" w:hAnsi="仿宋" w:eastAsia="仿宋" w:cs="仿宋"/>
          <w:b w:val="0"/>
          <w:bCs w:val="0"/>
          <w:spacing w:val="-4"/>
          <w:sz w:val="32"/>
          <w:szCs w:val="32"/>
        </w:rPr>
        <w:t>2024年06月12日</w:t>
      </w:r>
    </w:p>
    <w:p>
      <w:pPr>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br w:type="page"/>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一、基本情况</w:t>
      </w:r>
    </w:p>
    <w:p>
      <w:pPr>
        <w:spacing w:line="570" w:lineRule="exact"/>
        <w:ind w:firstLine="627" w:firstLineChars="200"/>
        <w:rPr>
          <w:rStyle w:val="17"/>
          <w:rFonts w:ascii="方正楷体_GBK" w:hAnsi="方正楷体_GBK" w:eastAsia="方正楷体_GBK" w:cs="方正楷体_GBK"/>
          <w:bCs w:val="0"/>
          <w:spacing w:val="-4"/>
          <w:sz w:val="32"/>
          <w:szCs w:val="32"/>
        </w:rPr>
      </w:pPr>
      <w:r>
        <w:rPr>
          <w:rStyle w:val="17"/>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1.项目背景</w:t>
        <w:br/>
        <w:t>　　本项目遵循财政部《项目支出绩效评价管理办法》（财预〔2020〕10号）和自治区财政厅《自治区财政支出绩效评价管理暂行办法》（新财预〔2018〕189号）等相关政策文件与规定，旨在评价广播电视局办公楼暖气改造项目，保障冬季正常供暖。</w:t>
        <w:br/>
        <w:t>　　2.主要内容及实施情况</w:t>
        <w:br/>
        <w:t>　　（1）主要内容</w:t>
        <w:br/>
        <w:t>　　进行广电局综合办公楼暖气管道维修改造，保障冬季正常供暖。</w:t>
        <w:br/>
        <w:t>　　（2）实施情况</w:t>
        <w:br/>
        <w:t>　　进行广电局综合办公楼暖气管道维修改造，保障冬季正常供暖。</w:t>
        <w:br/>
        <w:t>　　3.项目实施主体</w:t>
        <w:br/>
        <w:t>　　该项目由克孜勒苏柯尔克孜自治州外事办公室单位牵头实施，内设5个科室，分别是：综合科、外事科、边界科、侨联办公室、外事服务中心。主要职能是贯彻执行党和国家外事、侨务、口岸工作的方针、政策和有关法律、法规以及克州关于外事、侨务、口岸工作的决定，依法拟定克州外事、侨务、口岸工作的政策、法规及规划并组织实施；负责协调、处理克州重大涉外涉侨事务。负责克州因公出国(境)管理工作。按规定审批、承办克州因公出国(境)人员的护照、赴港澳通行证的审批和管理、外国签证的申办，审批应邀访华外国人的签证通知函电及邀请外国(境外)和港、澳人员来访事宜。</w:t>
        <w:br/>
        <w:t>　　编制人数16人，其中：行政人员编制7人、工勤1人、参公5人、事业编制3人。实有在职人数17人，其中：行政在职8人、工勤1人、参公5人、事业在职3人。离退休人员19人，其中：行政退休人员19人。</w:t>
        <w:br/>
        <w:t>　　4.资金投入和使用情况</w:t>
        <w:br/>
        <w:t>　　本级财政拨款安排下达资金18.16万元，为本级财政拨款资金，最终确定项目资金总数为18.16万元。其中：中央财政拨款0万元，自治区财政拨款0万元，本级财政拨款18.16万元，上年结余0万元。</w:t>
        <w:br/>
        <w:t>　　截至2023年12月31日，实际支出18.16万元，预算执行率100%。</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（二）项目绩效目标。包括总体目标和阶段性目标。</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项目绩效目标包括项目绩效总目标和阶段性目标。</w:t>
        <w:br/>
        <w:t>　　1.项目绩效总目标</w:t>
        <w:br/>
        <w:t>　　该项目总投资18.16万元，其中：财政资金18.16万元，其他资金0万元，主要用于进行广电局综合办公楼暖气管道维修改造，保障冬季正常供暖。</w:t>
        <w:br/>
        <w:t>　　2.阶段性目标</w:t>
        <w:br/>
        <w:t>　　根据《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</w:t>
        <w:br/>
        <w:t>　　（1）项目产出目标</w:t>
        <w:br/>
        <w:t>　　①数量指标</w:t>
        <w:br/>
        <w:t>　　“楼栋外层供热排查次数（次）”指标，预期指标值为≥1次；</w:t>
        <w:br/>
        <w:t>　　“暖气管道维护次数（次）”指标，预期指标值为≥2次；</w:t>
        <w:br/>
        <w:t>　　“维修后室内温度测量次数（次）”指标，预期指标值为≥1次。</w:t>
        <w:br/>
        <w:t>　　②质量指标</w:t>
        <w:br/>
        <w:t>　　“楼栋外层供热排查覆盖率（%）”指标，预期指标值为＝100%；</w:t>
        <w:br/>
        <w:t>　　“暖气管道维护覆盖率（%）”指标，预期指标值为＝100%；</w:t>
        <w:br/>
        <w:t>　　“维修后室内温度测量率（%）”指标，预期指标值为＝100%。</w:t>
        <w:br/>
        <w:t>　　③时效指标</w:t>
        <w:br/>
        <w:t>　　“项目完工及时率（%）”指标，预期指标值为=100%；</w:t>
        <w:br/>
        <w:t>　　“项目完成时间”指标，预期指标值为2023年12月。</w:t>
        <w:br/>
        <w:t>　　④成本指标</w:t>
        <w:br/>
        <w:t>　　“楼栋分部分项工程费（万元）”指标，预期指标值为≤16.61万元；</w:t>
        <w:br/>
        <w:t>　　“楼栋措施项目费（万元）”指标，预期指标值为≤0.1万元；</w:t>
        <w:br/>
        <w:t>　　“规费及其他建设费用（万元）	”指标，预期指标值为≤1.45万元。</w:t>
        <w:br/>
        <w:t>　　（2）项目效益目标</w:t>
        <w:br/>
        <w:t>　　①经济效益指标</w:t>
        <w:br/>
        <w:t>　　无</w:t>
        <w:br/>
        <w:t>　　②社会效益指标</w:t>
        <w:br/>
        <w:t>　　“冬季供暖保障”指标，预期指标值为有效保障；</w:t>
        <w:br/>
        <w:t>　　③生态效益指标</w:t>
        <w:br/>
        <w:t>　　无</w:t>
        <w:br/>
        <w:t>　　④满意度指标</w:t>
        <w:br/>
        <w:t>　　“受益干部满意度（%）”指标，预期指标值为≥95%。</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二、绩效评价工作开展情况</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（一）绩效评价目的、对象和范围。</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1.绩效评价目的</w:t>
        <w:br/>
        <w:t>　　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</w:t>
        <w:br/>
        <w:t>　　2.绩效评价对象</w:t>
        <w:br/>
        <w:t>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　　3.绩效评价范围</w:t>
        <w:br/>
        <w:t>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1.绩效评价原则</w:t>
        <w:br/>
        <w:t>　　本次评价坚持定量优先、定量与定性相结合的方式，始终遵循科学规范、公正公开、分级分类、绩效相关的基本原则。通过对2023年第一书记及为民办实事活动经费项目资金进行绩效评价，旨在了解项目资金使用和项目管理情况、取得的成绩及效益，进而分析在政策执行、预算资金安排、项目实施等方面存在的问题并提出针对性建议。本次绩效评价遵循的原则包括：</w:t>
        <w:br/>
        <w:t>　　（1）科学公正。绩效评价应当运用科学合理的方法，按照规范的程序，对项目绩效进行客观、公正的反映。</w:t>
        <w:br/>
        <w:t>　　（2）统筹兼顾。单位自评、部门评价和财政评价应职责明确，各有侧重，相互衔接。单位自评应由项目单位自主实施，即“谁支出、谁自评”。部门评价和财政评价应在单位自评的基础上开展，必要时可委托第三方机构实施。</w:t>
        <w:br/>
        <w:t>　　（3）激励约束。绩效评价结果应与预算安排、政策调整、改进管理实质性挂钩，体现奖优罚劣和激励相容导向，有效要安排、低效要压减、无效要问责。</w:t>
        <w:br/>
        <w:t>　　（4）公开透明。绩效评价结果应依法依规公开，并自觉接受社会监督。</w:t>
        <w:br/>
        <w:t>　　2.绩效评价指标体系</w:t>
        <w:br/>
        <w:t>　　绩效评价指标体系根据《预算绩效评价共性指标体系框架》（财预〔2013〕53号）、《自治区党委 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见附表1）：</w:t>
        <w:br/>
        <w:t>　　一级指标为：决策、过程、产出、效益。</w:t>
        <w:br/>
        <w:t>　　二级指标为：项目立项、绩效目标、资金投入、资金管理、组织实施、产出数量、产出质量、产出时效、产出成本、项目效益。</w:t>
        <w:br/>
        <w:t>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</w:t>
        <w:br/>
        <w:t>　　3.绩效评价方法</w:t>
        <w:br/>
        <w:t>　　本次绩效评价方法的选用坚持简便有效的原则采用成本效益分析法、比较法、综合指数评价法、公众评判法等多种方法，具体评价方法如下：</w:t>
        <w:br/>
        <w:t>　　（1）成本效益分析法，是指将一定时期内总成本与总效益进行对比分析，以评价绩效目标实现程度。</w:t>
        <w:br/>
        <w:t>　　（2）比较法，通过整理本项目相关资料和数据，评价数量指标的完成情况；通过分析项目的实施情况与绩效目标实现情况，评价项目实施的效果；通过分析项目资金使用情况及产生的效果，评价预算资金分配的合理性。 </w:t>
        <w:br/>
        <w:t>　　（3）综合指数评价法，是指把各项绩效指标的实际水平，对照评价标准值，分别计算各项指标评价得分，再按照设定的各项指标权数计算出综合评价得分，分析评价绩效目标实现情况的评价方法。</w:t>
        <w:br/>
        <w:t>　　（4）公众评判法，评价组采用实地访谈、远程访谈相结合方式，对本项目的实施情况进行充分调研，了解掌握资金分配、资金管理、资金使用、制度建设、制度执行情况。采用问卷调查方式，对受益对象开展满意度调查，进行综合评价。</w:t>
        <w:br/>
        <w:t>　　4.绩效评价标准</w:t>
        <w:br/>
        <w:t>　　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（三）绩效评价工作过程。</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本次评价成立了评价工作组，成员如下：</w:t>
        <w:br/>
        <w:t>　　本次评价设计了评价方案、评价指标体系，通过资料分析、调研、访谈满意度调查等方式形成评价结论，在与项目单位沟通后确定评价意见，并出具评价报告。</w:t>
        <w:br/>
        <w:t>　　第一阶段：前期准备。认真学习相关要求与规定，成立绩效评价工作组，作为绩效评价工作具体实施机构。成员构成如下：</w:t>
        <w:br/>
        <w:t>　　苟太阳任评价组组长，职务为副局长，绩效评价工作职责为负责全盘工作。</w:t>
        <w:br/>
        <w:t>　　黄品杰任评价组副组长，绩效评价工作职责为对项目实施情况进行实地调查。</w:t>
        <w:br/>
        <w:t>　　孙玉玲任评价组成员，绩效评价工作职责为负责资料审核等工作。</w:t>
        <w:br/>
        <w:t>　　第二阶段：组织实施。经评价组通过实地调研等方式，采用综合分析法对项目的决策、管理、绩效进行的综合评价分析。</w:t>
        <w:br/>
        <w:t>　　第三阶段：分析评价。首先按照指标体系进行定量、定性分析。其次开展量化打分、综合评价工作，形成初步评价结论。最后归纳整体项目情况与存在问题，撰写部门绩效评价报告。</w:t>
        <w:br/>
        <w:t>　　第四阶段：撰写与提交评价报告</w:t>
        <w:br/>
        <w:t>　　项目撰写绩效评价报告，按照财政局大平台绩效系统中统一格式和文本框架撰写绩效评价报告。</w:t>
        <w:br/>
        <w:t>　　第五阶段：归集档案</w:t>
        <w:br/>
        <w:t>　　建立和落实档案管理制度，将项目相关资料存档，包括但不限于：评价项目基本情况和相关文件、评价实施方案、项目支付资料等相关档案。</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三、综合评价情况及评价结论</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（一）综合评价情况</w:t>
        <w:br/>
        <w:t>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</w:t>
        <w:br/>
        <w:t>　　评价组对照项目绩效评价指标体系，从决策、过程、产出和效益四个维度，通过数据采集、实地调研和问卷访谈等方式，对“广播电视局办公楼暖气改造项目”项目绩效进行客观公正的评价，本项目总得分为100分，绩效评级属于“优”。其中，决策类指标得分20分，过程类指标得分20分，产出类指标得分40分，效益类指标得分20分。</w:t>
        <w:br/>
        <w:t>　　（二）综合评价结论</w:t>
        <w:br/>
        <w:t>　　经评价，本项目达到了年初设立的绩效目标，在实施过程中取得了良好的成效，具体表现在：进行广电局综合办公楼暖气管道维修改造，保障冬季正常供暖。</w:t>
      </w:r>
    </w:p>
    <w:p>
      <w:pPr>
        <w:spacing w:line="570" w:lineRule="exact"/>
        <w:ind w:firstLine="624" w:firstLineChars="200"/>
        <w:rPr>
          <w:rStyle w:val="17"/>
          <w:rFonts w:ascii="黑体" w:hAnsi="黑体" w:eastAsia="黑体" w:cs="黑体"/>
          <w:b w:val="0"/>
          <w:sz w:val="32"/>
          <w:szCs w:val="32"/>
        </w:rPr>
      </w:pPr>
      <w:r>
        <w:rPr>
          <w:rStyle w:val="17"/>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项目决策类指标包括项目立项、绩效目标和资金投入三方面的内容，由6个三级指标构成，权重分为 20 分，实际得分20分，得分率为100%。</w:t>
        <w:br/>
        <w:t>　　（1）立项依据充分性：《关于下达自治州本级2023年度部门预算指标的通知》（克财预〔2023〕1号）克孜勒苏柯尔克孜自治州外事办公室职责组织实施。围绕克孜勒苏柯尔克孜自治州外事办公室年度工作重点和工作计划制定经费预算，根据评分标准，该指标不扣分，得3分。</w:t>
        <w:br/>
        <w:t>　　（2）立项程序规范性：根据决策依据编制工作计划和经费预算，经过与克孜勒苏柯尔克孜自治州外事办公室财经领导小组进行沟通、筛选确定经费预算计划，上局务会研究确定最终预算方案，根据评分标准，该指标不扣分，得2分。</w:t>
        <w:br/>
        <w:t>　　（3）绩效目标合理性：制定了实施方案，明确了总体思路及目标、并对任务进行了详细分解，对目标进行了细化，根据评分标准，该指标不扣分，得3分。</w:t>
        <w:br/>
        <w:t>　　（4）绩效指标明确性：将项目绩效目标细化分解为具体的绩效指标，根据评分标准，该指标不扣分，得2分。</w:t>
        <w:br/>
        <w:t>　　（5）预算编制科学性：预算编制经经过项目前期预算评估，实际完成内容与项目内容匹配，项目投资额与工作任务相匹配，根据评分标准，该指标不扣分，得5分。</w:t>
        <w:br/>
        <w:t>　　（6）资金分配合理性：资金分配按照财政局下拨要求，进行广电局综合办公楼暖气管道维修改造，资金分配与实际相适应，根据评分标准，该指标不扣分，得5分。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项目过程类指标包括资金管理和组织实施两方面的内容，由 5个三级指标构成，权重分为20分，实际得分20 分，得分率为100%。</w:t>
        <w:br/>
        <w:t>　　（1）资金到位率：该项目总投资18.16万元，克州财政局实际下达经费18.16万元，其中当年财政拨款18.16万元，上年结转资金0万元，财政资金足额拨付到位，根据评分标准，该指标不扣分，得5分。   </w:t>
        <w:br/>
        <w:t>　　（2）预算执行率：本项目申请预算金额为18.16万元，预算批复实际下达金额为 18.16万元，截至 2023年 12 月 31日，资金执行18.16万元，资金执行率100.00%。项目资金支出总体能够按照预算执行，根据评分标准，该指标不扣分，得5分。</w:t>
        <w:br/>
        <w:t>　　（3）资金使用合规性：根据财政局资金下拨文件符合预算批复规定用途，不存在截留、挤占、挪用、虚列支出等情况，未发现违规使用情况，根据评分标准，该指标不扣分，得5分。</w:t>
        <w:br/>
        <w:t>　　（4）管理制度健全性：该项目严格按照《克孜勒苏柯尔克孜自治州外事办公室财务制度》及州本级部门预算资金的制度和管理规定实施，对财政专项资金进行严格管理，基本做到了专款专用，根据评分标准，该指标不扣分，得2分。</w:t>
        <w:br/>
        <w:t>　　（5）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项目产出类指标包括产出数量、产出质量、产出时效、产出成本四方面的内容，由11个三级指标构成，权重分为40分，实际得分40分，得分率为100%。</w:t>
        <w:br/>
        <w:t>　　（1）对于“产出数量”</w:t>
        <w:br/>
        <w:t>　　楼栋外层供热排查次数1次，与预期目标一致，根据评分标准，该指标不扣分，得3分。</w:t>
        <w:br/>
        <w:t>　　暖气管道维护次数2次，与预期目标一致，根据评分标准，该指标不扣分，得3分。</w:t>
        <w:br/>
        <w:t>　　维修后室内温度测量次数1次，与预期目标一致，根据评分标准，该指标不扣分，得4分。</w:t>
        <w:br/>
        <w:t>　　合计得10分。</w:t>
        <w:br/>
        <w:t>　　（2）对于“产出质量”：</w:t>
        <w:br/>
        <w:t>　　楼栋外层供热排查覆盖率100%，与预期目标一致，根据评分标准，该指标不扣分，得3分。</w:t>
        <w:br/>
        <w:t>　　暖气管道维护覆盖率100%，与预期目标一致，根据评分标准，该指标不扣分，得3分。</w:t>
        <w:br/>
        <w:t>　　维修后室内温度测量率100%，与预期目标一致，根据评分标准，该指标不扣分，得4分。</w:t>
        <w:br/>
        <w:t>　　合计得10分。</w:t>
        <w:br/>
        <w:t>　　（3）对于“产出时效”：</w:t>
        <w:br/>
        <w:t>　　任务完成时间2023年11月，与预期目标指标一致，根据评分标准，该指标不扣分，得5分。</w:t>
        <w:br/>
        <w:t>　　项目完工及时率100%，与预期目标指标一致，根据评分标准，该指标不扣分，得5分。</w:t>
        <w:br/>
        <w:t>　　合计得10分。</w:t>
        <w:br/>
        <w:t>　　（4）对于“产出成本”：</w:t>
        <w:br/>
        <w:t>　　楼栋分部分项工程费16.61万元，与预期目标一致，根据评分标准，该指标不扣分，得4分。</w:t>
        <w:br/>
        <w:t>　　楼栋措施项目费0.1万元，与预期目标一致，根据评分标准，该指标不扣分，得3分。</w:t>
        <w:br/>
        <w:t>　　规费及其他建设费用1.45万元，与预期目标一致，根据评分标准，该指标不扣分，得3分。</w:t>
        <w:br/>
        <w:t>　　合计得10分。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w:t>
      </w:r>
      <w:r>
        <w:rPr>
          <w:rFonts w:hint="eastAsia" w:ascii="楷体" w:hAnsi="楷体" w:eastAsia="楷体" w:cs="楷体"/>
          <w:b/>
          <w:spacing w:val="-4"/>
          <w:sz w:val="32"/>
          <w:szCs w:val="32"/>
          <w:lang w:val="en-US" w:eastAsia="zh-CN"/>
        </w:rPr>
        <w:t>四</w:t>
      </w:r>
      <w:r>
        <w:rPr>
          <w:rFonts w:hint="eastAsia" w:ascii="楷体" w:hAnsi="楷体" w:eastAsia="楷体" w:cs="楷体"/>
          <w:b/>
          <w:spacing w:val="-4"/>
          <w:sz w:val="32"/>
          <w:szCs w:val="32"/>
        </w:rPr>
        <w:t>）项目效益情况。</w:t>
      </w:r>
    </w:p>
    <w:p>
      <w:pPr>
        <w:spacing w:line="540" w:lineRule="exact"/>
        <w:ind w:firstLine="567"/>
        <w:rPr>
          <w:rStyle w:val="17"/>
          <w:rFonts w:hint="eastAsia"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项目效益类指标包括项目效益2个方面的内容，由2个三级指标构成，权重分为20分，实际得分20分，得分率为100%。</w:t>
        <w:br/>
        <w:t>　　（1）实施效益指标：</w:t>
        <w:br/>
        <w:t>　　①对于“经济效益指标”：</w:t>
        <w:br/>
        <w:t>　　本项目无该指标。</w:t>
        <w:br/>
        <w:t>　　②对于“社会效益指标”：</w:t>
        <w:br/>
        <w:t>　　冬季供暖保障有效保障，与预期指标一致，根据评分标准，该指标不扣分，得10分。</w:t>
        <w:br/>
        <w:t>　　③对于“生态效益指标”：</w:t>
        <w:br/>
        <w:t>　　本项目无该指标。</w:t>
        <w:br/>
        <w:t>　　实施效益指标合计得10分。</w:t>
        <w:br/>
        <w:t>　　（2）满意度指标：</w:t>
        <w:br/>
        <w:t>　　对于满意度指标：受益干部满意度95%，与预期目标一致，根据评分标准，该指标不扣分，得10分。</w:t>
        <w:br/>
        <w:t>　　满意度指标合计得10分。</w:t>
      </w:r>
      <w:bookmarkStart w:id="0" w:name="_GoBack"/>
      <w:bookmarkEnd w:id="0"/>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五、主要经验及做法、存在的问题及原因分析</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（一）主要经验及做法</w:t>
        <w:br/>
        <w:t>　　1．不断完善各项预算管理制度，根据新形势和新要求，结合不断出台的各项制度，制定相应的预算管理制度。强化预算管理，事前必编预算，控制经费使用，使用必问绩效，将绩效管理贯穿于预算编制、执行及决算等环节。</w:t>
        <w:br/>
        <w:t>　　2．加强宣传，加强对各项制度的执行力度，杜绝有令不行、有禁不止的情况发生。</w:t>
        <w:br/>
        <w:t>　　（二）存在问题及原因分析</w:t>
        <w:br/>
        <w:t>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六、有关建议</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1.建议充分落实绩效目标管理政策要求，提升绩效目标与项目实施内容的匹配度：</w:t>
        <w:br/>
        <w:t>　　一是建议项目实施单位单位严格落实《关于印发&lt;自治区本级部门预算绩效目标管理暂行办法&gt;的通知》（新财预〔2018〕21号）文件关于绩效目标的管理要求：“预期目标要能清晰反映预算资金的预期产出和预期效果，并以相应的绩效指标予以细化和量化。”在确定项目绩效目标预期指标值时，可以依据或参考历史标准、行业标准、计划标准等绩效标准，尽可能符合项目实施内容，在设置绩效目标时充分进行调研工作，提升绩效指标设置的准确性和可衡量性。</w:t>
        <w:br/>
        <w:t>　　二是建议项目实施单位通过组织行业专家团队或聘请第三方专业力量开展项目事前绩效目标的评估和审核工作，对项目绩效指标的相关性、明确性、可行性和合理性进行科学评估。加强对绩效指标值可衡量性的审核，对存在无法衡量指标的绩效目标应及时进行整改完善。</w:t>
        <w:br/>
        <w:t>　　三是建议项目实施单位做好项目绩效跟踪监控工作，对实际开展工作与预期目标值产生较大偏差情况，应及时做好偏差原因分析和纠偏工作，不断提升绩效目标与项目实际工作的匹配度。</w:t>
        <w:br/>
        <w:t>　　2.建议加强预算资金管理，严格落实项目申报、专家评审、确定项目后进行资金分配与资金拨付，规范资金拨付流程。</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七、其他需要说明的问题</w:t>
      </w:r>
    </w:p>
    <w:p>
      <w:pPr>
        <w:spacing w:line="540" w:lineRule="exact"/>
        <w:ind w:firstLine="567"/>
        <w:rPr>
          <w:rStyle w:val="17"/>
          <w:rFonts w:ascii="仿宋" w:hAnsi="仿宋" w:eastAsia="仿宋"/>
          <w:b w:val="0"/>
          <w:spacing w:val="-4"/>
          <w:sz w:val="32"/>
          <w:szCs w:val="32"/>
        </w:rPr>
      </w:pPr>
      <w:r>
        <w:rPr>
          <w:rStyle w:val="17"/>
          <w:rFonts w:hint="eastAsia" w:ascii="仿宋" w:hAnsi="仿宋" w:eastAsia="仿宋" w:cs="仿宋"/>
          <w:b w:val="0"/>
          <w:bCs w:val="0"/>
          <w:spacing w:val="-4"/>
          <w:sz w:val="32"/>
          <w:szCs w:val="32"/>
        </w:rPr>
        <w:t>　　我单位对上述项目支出绩效评价报告内反映内容的真实性、完整性负责，接受上级部门及社会监督。</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3000509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1A33"/>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E6335"/>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46021"/>
    <w:rsid w:val="00E655F7"/>
    <w:rsid w:val="00E7612A"/>
    <w:rsid w:val="00E769FE"/>
    <w:rsid w:val="00E774CE"/>
    <w:rsid w:val="00E96D03"/>
    <w:rsid w:val="00EA2CBE"/>
    <w:rsid w:val="00EB10A0"/>
    <w:rsid w:val="00F32FEE"/>
    <w:rsid w:val="00FB10BB"/>
    <w:rsid w:val="00FF3B44"/>
    <w:rsid w:val="07D931EA"/>
    <w:rsid w:val="2AE11386"/>
    <w:rsid w:val="2D4C6AD2"/>
    <w:rsid w:val="2D5A6638"/>
    <w:rsid w:val="340D5924"/>
    <w:rsid w:val="43B04001"/>
    <w:rsid w:val="45687296"/>
    <w:rsid w:val="4609551D"/>
    <w:rsid w:val="4D2606A1"/>
    <w:rsid w:val="4DD42C22"/>
    <w:rsid w:val="50796DE0"/>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6">
    <w:name w:val="Default Paragraph Font"/>
    <w:semiHidden/>
    <w:unhideWhenUsed/>
    <w:uiPriority w:val="1"/>
  </w:style>
  <w:style w:type="table" w:default="1" w:styleId="19">
    <w:name w:val="Normal Table"/>
    <w:semiHidden/>
    <w:unhideWhenUsed/>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7">
    <w:name w:val="Strong"/>
    <w:basedOn w:val="16"/>
    <w:qFormat/>
    <w:uiPriority w:val="0"/>
    <w:rPr>
      <w:b/>
      <w:bCs/>
    </w:rPr>
  </w:style>
  <w:style w:type="character" w:styleId="18">
    <w:name w:val="Emphasis"/>
    <w:basedOn w:val="16"/>
    <w:qFormat/>
    <w:uiPriority w:val="20"/>
    <w:rPr>
      <w:rFonts w:asciiTheme="minorHAnsi" w:hAnsiTheme="minorHAnsi"/>
      <w:b/>
      <w:i/>
      <w:iCs/>
    </w:rPr>
  </w:style>
  <w:style w:type="character" w:customStyle="1" w:styleId="20">
    <w:name w:val="标题 1 字符"/>
    <w:basedOn w:val="16"/>
    <w:link w:val="2"/>
    <w:qFormat/>
    <w:uiPriority w:val="9"/>
    <w:rPr>
      <w:rFonts w:asciiTheme="majorHAnsi" w:hAnsiTheme="majorHAnsi" w:eastAsiaTheme="majorEastAsia"/>
      <w:b/>
      <w:bCs/>
      <w:kern w:val="32"/>
      <w:sz w:val="32"/>
      <w:szCs w:val="32"/>
    </w:rPr>
  </w:style>
  <w:style w:type="character" w:customStyle="1" w:styleId="21">
    <w:name w:val="标题 2 字符"/>
    <w:basedOn w:val="16"/>
    <w:link w:val="3"/>
    <w:semiHidden/>
    <w:qFormat/>
    <w:uiPriority w:val="9"/>
    <w:rPr>
      <w:rFonts w:asciiTheme="majorHAnsi" w:hAnsiTheme="majorHAnsi" w:eastAsiaTheme="majorEastAsia"/>
      <w:b/>
      <w:bCs/>
      <w:i/>
      <w:iCs/>
      <w:sz w:val="28"/>
      <w:szCs w:val="28"/>
    </w:rPr>
  </w:style>
  <w:style w:type="character" w:customStyle="1" w:styleId="22">
    <w:name w:val="标题 3 字符"/>
    <w:basedOn w:val="16"/>
    <w:link w:val="4"/>
    <w:semiHidden/>
    <w:qFormat/>
    <w:uiPriority w:val="9"/>
    <w:rPr>
      <w:rFonts w:asciiTheme="majorHAnsi" w:hAnsiTheme="majorHAnsi" w:eastAsiaTheme="majorEastAsia"/>
      <w:b/>
      <w:bCs/>
      <w:sz w:val="26"/>
      <w:szCs w:val="26"/>
    </w:rPr>
  </w:style>
  <w:style w:type="character" w:customStyle="1" w:styleId="23">
    <w:name w:val="标题 4 字符"/>
    <w:basedOn w:val="16"/>
    <w:link w:val="5"/>
    <w:qFormat/>
    <w:uiPriority w:val="9"/>
    <w:rPr>
      <w:b/>
      <w:bCs/>
      <w:sz w:val="28"/>
      <w:szCs w:val="28"/>
    </w:rPr>
  </w:style>
  <w:style w:type="character" w:customStyle="1" w:styleId="24">
    <w:name w:val="标题 5 字符"/>
    <w:basedOn w:val="16"/>
    <w:link w:val="6"/>
    <w:semiHidden/>
    <w:qFormat/>
    <w:uiPriority w:val="9"/>
    <w:rPr>
      <w:b/>
      <w:bCs/>
      <w:i/>
      <w:iCs/>
      <w:sz w:val="26"/>
      <w:szCs w:val="26"/>
    </w:rPr>
  </w:style>
  <w:style w:type="character" w:customStyle="1" w:styleId="25">
    <w:name w:val="标题 6 字符"/>
    <w:basedOn w:val="16"/>
    <w:link w:val="7"/>
    <w:semiHidden/>
    <w:qFormat/>
    <w:uiPriority w:val="9"/>
    <w:rPr>
      <w:b/>
      <w:bCs/>
    </w:rPr>
  </w:style>
  <w:style w:type="character" w:customStyle="1" w:styleId="26">
    <w:name w:val="标题 7 字符"/>
    <w:basedOn w:val="16"/>
    <w:link w:val="8"/>
    <w:semiHidden/>
    <w:qFormat/>
    <w:uiPriority w:val="9"/>
    <w:rPr>
      <w:sz w:val="24"/>
      <w:szCs w:val="24"/>
    </w:rPr>
  </w:style>
  <w:style w:type="character" w:customStyle="1" w:styleId="27">
    <w:name w:val="标题 8 字符"/>
    <w:basedOn w:val="16"/>
    <w:link w:val="9"/>
    <w:semiHidden/>
    <w:qFormat/>
    <w:uiPriority w:val="9"/>
    <w:rPr>
      <w:i/>
      <w:iCs/>
      <w:sz w:val="24"/>
      <w:szCs w:val="24"/>
    </w:rPr>
  </w:style>
  <w:style w:type="character" w:customStyle="1" w:styleId="28">
    <w:name w:val="标题 9 字符"/>
    <w:basedOn w:val="16"/>
    <w:link w:val="10"/>
    <w:semiHidden/>
    <w:qFormat/>
    <w:uiPriority w:val="9"/>
    <w:rPr>
      <w:rFonts w:asciiTheme="majorHAnsi" w:hAnsiTheme="majorHAnsi" w:eastAsiaTheme="majorEastAsia"/>
    </w:rPr>
  </w:style>
  <w:style w:type="character" w:customStyle="1" w:styleId="29">
    <w:name w:val="标题 字符"/>
    <w:basedOn w:val="16"/>
    <w:link w:val="15"/>
    <w:qFormat/>
    <w:uiPriority w:val="10"/>
    <w:rPr>
      <w:rFonts w:asciiTheme="majorHAnsi" w:hAnsiTheme="majorHAnsi" w:eastAsiaTheme="majorEastAsia"/>
      <w:b/>
      <w:bCs/>
      <w:kern w:val="28"/>
      <w:sz w:val="32"/>
      <w:szCs w:val="32"/>
    </w:rPr>
  </w:style>
  <w:style w:type="character" w:customStyle="1" w:styleId="30">
    <w:name w:val="副标题 字符"/>
    <w:basedOn w:val="16"/>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6"/>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6"/>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6"/>
    <w:qFormat/>
    <w:uiPriority w:val="21"/>
    <w:rPr>
      <w:b/>
      <w:i/>
      <w:sz w:val="24"/>
      <w:szCs w:val="24"/>
      <w:u w:val="single"/>
    </w:rPr>
  </w:style>
  <w:style w:type="character" w:customStyle="1" w:styleId="39">
    <w:name w:val="不明显参考1"/>
    <w:basedOn w:val="16"/>
    <w:qFormat/>
    <w:uiPriority w:val="31"/>
    <w:rPr>
      <w:sz w:val="24"/>
      <w:szCs w:val="24"/>
      <w:u w:val="single"/>
    </w:rPr>
  </w:style>
  <w:style w:type="character" w:customStyle="1" w:styleId="40">
    <w:name w:val="明显参考1"/>
    <w:basedOn w:val="16"/>
    <w:qFormat/>
    <w:uiPriority w:val="32"/>
    <w:rPr>
      <w:b/>
      <w:sz w:val="24"/>
      <w:u w:val="single"/>
    </w:rPr>
  </w:style>
  <w:style w:type="character" w:customStyle="1" w:styleId="41">
    <w:name w:val="书籍标题1"/>
    <w:basedOn w:val="16"/>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6"/>
    <w:link w:val="13"/>
    <w:qFormat/>
    <w:uiPriority w:val="99"/>
    <w:rPr>
      <w:rFonts w:ascii="Calibri" w:hAnsi="Calibri" w:eastAsia="宋体"/>
      <w:kern w:val="2"/>
      <w:sz w:val="18"/>
      <w:szCs w:val="18"/>
    </w:rPr>
  </w:style>
  <w:style w:type="character" w:customStyle="1" w:styleId="44">
    <w:name w:val="页脚 字符"/>
    <w:basedOn w:val="16"/>
    <w:link w:val="12"/>
    <w:qFormat/>
    <w:uiPriority w:val="99"/>
    <w:rPr>
      <w:rFonts w:ascii="Calibri" w:hAnsi="Calibri" w:eastAsia="宋体"/>
      <w:kern w:val="2"/>
      <w:sz w:val="18"/>
      <w:szCs w:val="18"/>
    </w:rPr>
  </w:style>
  <w:style w:type="character" w:customStyle="1" w:styleId="45">
    <w:name w:val="批注框文本 字符"/>
    <w:basedOn w:val="16"/>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Pages>
  <Words>107</Words>
  <Characters>615</Characters>
  <Lines>5</Lines>
  <Paragraphs>1</Paragraphs>
  <TotalTime>40</TotalTime>
  <ScaleCrop>false</ScaleCrop>
  <LinksUpToDate>false</LinksUpToDate>
  <CharactersWithSpaces>721</CharactersWithSpaces>
  <Application>WPS Office_11.1.0.7989_F1E327BC-269C-435d-A152-05C5408002CA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Administrator</cp:lastModifiedBy>
  <cp:lastPrinted>2018-12-31T10:56:00Z</cp:lastPrinted>
  <dcterms:modified xsi:type="dcterms:W3CDTF">2024-03-04T10:45:17Z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