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水网建设规划经费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克孜勒苏柯尔克孜自治州水资源规划管理中心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艾克白尔·沙力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水网建设规划项目实施前期、过程及效果，评价财政预算资金使用的效率及效益。为推进国家水网建设，国家两办印发了《国家水网建设规划纲要》，明确提出水网建设规划是当前和今后一个时期国家水网建设的重要指导性文件，主要任务是：加快构建国家水网主骨架和大动脉，构建国家水网之“纲”；加强国家重大水资源配置工程和区域重要水资源配置工程的互联互通，织密国家水网之“目”；加快推进列入流域及区域规划、符合国家区域发展战略的控制性调蓄工程和重点水源工程建设，打牢国家水网之“结”。水利部相继出台了《关于加快推进省级水网建设的指导意见》《关于开展第一批省级水网先导区建设工作的通知》《关于实施国家水网重大工程的指导意见》《“十四五”时期实施国家水网重大工程实施方案》等文件，就加快水网构建进一步作出了一系列安排部署。2022年5月，水利部下发的《关于加快推进省级水网建设的指导意见》要求，力争两年内编制完成省级水网建设规划，因地制宜开展市、县级水网建设规划编制工作。按自治州水利管理工作要求，结合本单位水利行业管理方面管理职能、水利项目管理方面工作职责，按照年度工作计划，开展《克州水网建设规划》项目。</w:t>
        <w:br/>
        <w:t>　　2.主要内容及实施情况</w:t>
        <w:br/>
        <w:t>　　（1）主要内容</w:t>
        <w:br/>
        <w:t>　　项目实施内容：该工程总投资230万元。2023年签订了《克州水网建设规划》合同，2023年该项目到位前期费69万元，支付预付款69万元。</w:t>
        <w:br/>
        <w:t>　　（2）实施情况</w:t>
        <w:br/>
        <w:t>　　截止2023年12月31日，该项目已全部支出完毕，该项目主要用于编制水网建设规划报告，目前初始报告已编制完成。《水网建设规划》立足克州基本市情和水情，全面总结克州水利发展现状及存在问题，系统分析面临的形式，按照新时期国家治水兴水思路，积极践行新的发展理念，从全局和战略的高度，提出了构建以自然河潮水系为基础、引调水工程为通道、调蓄工程为节点、智慧化控为手段，集防洪减灾、水资源调配、水生态保护功能为一体的综合水网，并明确了克州水网建设的各项任务和实施安排。　　3.项目实施主体</w:t>
        <w:br/>
        <w:t>　　该项目由克孜勒苏克尔克孜自治州水资源规划管理中心单位实施，克孜勒苏克尔克孜自治州水资源规划管理中心无下属预算单位，隶属于克孜勒苏柯尔克孜自治州水利局。克孜勒苏自治州水资源规划管理中心全额事业单，下设三个科室分别为规划审查科科、规划评价科，中心办公室。</w:t>
        <w:br/>
        <w:t>　　编制人数13人，其中：行政人员编制0人、工勤0人、参公0人、事业编制13人。实有在职人数14人，其中：行政在职0人、工勤2人、参公0人、事业在职14人。离退休人员18人，其中：行政退休人员0人、事业退休19人。</w:t>
        <w:br/>
        <w:t>　　4.资金投入和使用情况 </w:t>
        <w:br/>
        <w:t>克财农专报【2023】20号文件要求2023年度安排下达资金69万元，为财政拨款资金，最终确定项目资金总数为69万元。其中：中央财政拨款0万元，自治区财政拨款0万元，本级财政拨款69万元，上年结余0万元。</w:t>
        <w:br/>
        <w:t>　　截至2023年12月31日，实际支出69万元，预算执行率100%。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该项目是克州水网规划重点工程将进入新疆水网建设规划项目库，将各县市谋划的一般水利工程将列入克州水网建设规划项目库，是克州未来10-20年建设水利项目申报的重要依据。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“报告数量（套）”指标，预期指标值为=1套；</w:t>
        <w:br/>
        <w:t>　　②质量指标</w:t>
        <w:br/>
        <w:t>　　“规划编制合格率（%）”指标，预期指标值为&gt;=98%；</w:t>
        <w:br/>
        <w:t>　　③时效指标</w:t>
        <w:br/>
        <w:t>　　“报告按时交付率（%）”指标，预期指标值为=100%。</w:t>
        <w:br/>
        <w:t>　　④成本指标</w:t>
        <w:br/>
        <w:t>　　“规划编制费（万元）”指标,预期指标值为&lt;=69万元。</w:t>
        <w:br/>
        <w:t>　　“成本预算控制率（%）”指标，预期指标值为=100%。</w:t>
        <w:br/>
        <w:t>　　（2）项目效益目标</w:t>
        <w:br/>
        <w:t>　　①经济效益指标</w:t>
        <w:br/>
        <w:t>　　无</w:t>
        <w:br/>
        <w:t>　　②社会效益指标</w:t>
        <w:br/>
        <w:t>　　“推进水治理体系与治水能力现代化”指标，预期指标值为有效推进；</w:t>
        <w:br/>
        <w:t>　　“水资源高效利用”指标，预期指标值为有效提高；</w:t>
        <w:br/>
        <w:t>　　③生态效益指标</w:t>
        <w:br/>
        <w:t>　　无</w:t>
        <w:br/>
        <w:t>　　④满意度指标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水网建设规划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努尔买买提·玉麦尔江任评价组组长，职务为副局长，绩效评价工作职责为负责全盘工作。</w:t>
        <w:br/>
        <w:t>　　艾克白尔。沙力任评价组副组长，绩效评价工作职责为对项目实施情况进行实地调查。</w:t>
        <w:br/>
        <w:t>　　帕丽旦·吉力力任评价组成员，绩效评价工作职责为负责资料审核等工作。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水网建设规划”项目绩效进行客观公正的评价，本项目总得分为100分，绩效评级属于“优”。其中，决策类指标得分20分，过程类指标得分20分，产出类指标得分40分，效益类指标得分20分。</w:t>
        <w:br/>
        <w:t>　　（二）综合评价结论</w:t>
        <w:br/>
        <w:t>　　按照国家和自治区部署要求统筹考虑水资源、水生态、水环境、水灾害等问题，研究了我州水网规划的整体工作思路，推进了《克州水网建设规划》编制工作已完成了。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克财农专报【2023】20号文件要求并结合克孜勒苏克尔克孜自治州水资源规划管理中心职责组织实施。围绕克孜勒苏克尔克孜自治州水资源规划管理中心年度工作重点和工作计划制定经费预算，根据评分标准，该指标不扣分，得3分。</w:t>
        <w:br/>
        <w:t>　　（2）立项程序规范性：根据决策依据编制工作计划和经费预算，经过与克孜勒苏克尔克孜自治州水资源规划管理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（5）预算编制科学性：预算编制经经克财农专报【2023】20号文件要求下拨69万元，实际完成内容与项目内容匹配，项目投资额与工作任务相匹配，根据评分标准，该指标不扣分，得5分。</w:t>
        <w:br/>
        <w:t>　　（6）资金分配合理性：预算编制经经克财农专报【2023】20号文件要求资金分配与实际相适应，根据评分标准，该指标不扣分，得5分。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（1）资金到位率：该项目总投资69万元，克州财政局实际下达经费69万元，其中当年财政拨款69万元，上年结转资金0万元，财政资金足额拨付到位，根据评分标准，该指标不扣分，得5分。   </w:t>
        <w:br/>
        <w:t>　　（2）预算执行率：本项目申请预算金额为69万元，预算批复实际下达金额为69万元截至2023年12月31日，资金执行69万元，资金执行率100.00%。项目资金支出总体能够按照预算执行，根据评分标准，该指标不扣分，得5分。</w:t>
        <w:br/>
        <w:t>　　（3）资金使用合规性按照克财农专报【2023】20号文件要求符合预算批复规定用途，不存在截留、挤占、挪用、虚列支出等情况，未发现违规使用情况，根据评分标准，该指标不扣分，得5分。</w:t>
        <w:br/>
        <w:t>　　（4）管理制度健全性：该项目严格按照《克孜勒苏克尔克孜自治州水资源规划管理中心财务制度》及项目管理制度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报告数量1套，与预期目标一致，根据评分标准，该指标不扣分，得10分。</w:t>
        <w:br/>
        <w:t>　　合计得10分。</w:t>
        <w:br/>
        <w:t>　　（2）对于“产出质量”：</w:t>
        <w:br/>
        <w:t>　　规划编制合格率100%，与预期目标一致，根据评分标准，该指标不扣分，得10分。</w:t>
        <w:br/>
        <w:t>　　合计得10分。</w:t>
        <w:br/>
        <w:t>　　（3）对于“产出时效”：</w:t>
        <w:br/>
        <w:t>　　报告按时交付率100%，与预期目标指标一致，根据评分标准，该指标不扣分，得10分。</w:t>
        <w:br/>
        <w:t>　　合计得10分。</w:t>
        <w:br/>
        <w:t>　　（4）对于“产出成本”：</w:t>
        <w:br/>
        <w:t>　　规划编制费69万元，与预期目标一致，根据评分标准，该指标不扣分，得5分。</w:t>
        <w:br/>
        <w:t>　　成本预算控制率100%，与预期目标一致，根据评分标准，该指标不扣分，得5分。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无</w:t>
        <w:br/>
        <w:t>　　②对于“社会效益指标”：</w:t>
        <w:br/>
        <w:t>　　推进水治理体系与治水能力现代化，与预期指标一致，根据评分标准，该指标不扣分，得5分。</w:t>
        <w:br/>
        <w:t>　　水资源高效利用，与预期指标一致，根据评分标准，该指标不扣分，得5分。</w:t>
        <w:br/>
        <w:t>　　③对于“生态效益指标”：</w:t>
        <w:br/>
        <w:t>　　无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