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9062CC6">
      <w:pPr>
        <w:spacing w:line="570" w:lineRule="exact"/>
        <w:jc w:val="center"/>
        <w:rPr>
          <w:rFonts w:ascii="华文中宋" w:hAnsi="华文中宋" w:eastAsia="华文中宋" w:cs="宋体"/>
          <w:b/>
          <w:kern w:val="0"/>
          <w:sz w:val="52"/>
          <w:szCs w:val="52"/>
        </w:rPr>
      </w:pPr>
      <w:bookmarkStart w:id="0" w:name="_GoBack"/>
    </w:p>
    <w:p w14:paraId="25A97E12">
      <w:pPr>
        <w:spacing w:line="570" w:lineRule="exact"/>
        <w:jc w:val="center"/>
        <w:rPr>
          <w:rFonts w:ascii="华文中宋" w:hAnsi="华文中宋" w:eastAsia="华文中宋" w:cs="宋体"/>
          <w:b/>
          <w:kern w:val="0"/>
          <w:sz w:val="52"/>
          <w:szCs w:val="52"/>
        </w:rPr>
      </w:pPr>
    </w:p>
    <w:p w14:paraId="4412F1CF">
      <w:pPr>
        <w:spacing w:line="570" w:lineRule="exact"/>
        <w:jc w:val="center"/>
        <w:rPr>
          <w:rFonts w:ascii="华文中宋" w:hAnsi="华文中宋" w:eastAsia="华文中宋" w:cs="宋体"/>
          <w:b/>
          <w:kern w:val="0"/>
          <w:sz w:val="52"/>
          <w:szCs w:val="52"/>
        </w:rPr>
      </w:pPr>
    </w:p>
    <w:p w14:paraId="4DD44A65">
      <w:pPr>
        <w:spacing w:line="570" w:lineRule="exact"/>
        <w:jc w:val="center"/>
        <w:rPr>
          <w:rFonts w:ascii="华文中宋" w:hAnsi="华文中宋" w:eastAsia="华文中宋" w:cs="宋体"/>
          <w:b/>
          <w:kern w:val="0"/>
          <w:sz w:val="52"/>
          <w:szCs w:val="52"/>
        </w:rPr>
      </w:pPr>
    </w:p>
    <w:p w14:paraId="509A0DD1">
      <w:pPr>
        <w:spacing w:line="570" w:lineRule="exact"/>
        <w:rPr>
          <w:rFonts w:ascii="华文中宋" w:hAnsi="华文中宋" w:eastAsia="华文中宋" w:cs="宋体"/>
          <w:b/>
          <w:kern w:val="0"/>
          <w:sz w:val="52"/>
          <w:szCs w:val="52"/>
        </w:rPr>
      </w:pPr>
    </w:p>
    <w:p w14:paraId="546CF201">
      <w:pPr>
        <w:spacing w:line="570" w:lineRule="exact"/>
        <w:jc w:val="center"/>
        <w:rPr>
          <w:rFonts w:ascii="华文中宋" w:hAnsi="华文中宋" w:eastAsia="华文中宋" w:cs="宋体"/>
          <w:b/>
          <w:kern w:val="0"/>
          <w:sz w:val="52"/>
          <w:szCs w:val="52"/>
        </w:rPr>
      </w:pPr>
    </w:p>
    <w:p w14:paraId="277EB7C4">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克州财政项目支出绩效自评报告</w:t>
      </w:r>
    </w:p>
    <w:p w14:paraId="2030992A">
      <w:pPr>
        <w:spacing w:line="570" w:lineRule="exact"/>
        <w:jc w:val="center"/>
        <w:rPr>
          <w:rFonts w:ascii="华文中宋" w:hAnsi="华文中宋" w:eastAsia="华文中宋" w:cs="宋体"/>
          <w:b/>
          <w:kern w:val="0"/>
          <w:sz w:val="52"/>
          <w:szCs w:val="52"/>
        </w:rPr>
      </w:pPr>
    </w:p>
    <w:p w14:paraId="31DE5348">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仿宋_GB2312" w:hAnsi="楷体" w:eastAsia="仿宋_GB2312"/>
          <w:spacing w:val="-4"/>
          <w:sz w:val="32"/>
          <w:szCs w:val="32"/>
        </w:rPr>
        <w:t>2023</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14:paraId="0F6E48C9">
      <w:pPr>
        <w:spacing w:line="570" w:lineRule="exact"/>
        <w:jc w:val="center"/>
        <w:rPr>
          <w:rFonts w:hAnsi="宋体" w:eastAsia="仿宋_GB2312" w:cs="宋体"/>
          <w:kern w:val="0"/>
          <w:sz w:val="30"/>
          <w:szCs w:val="30"/>
        </w:rPr>
      </w:pPr>
    </w:p>
    <w:p w14:paraId="1F2BF78A">
      <w:pPr>
        <w:spacing w:line="570" w:lineRule="exact"/>
        <w:jc w:val="center"/>
        <w:rPr>
          <w:rFonts w:hAnsi="宋体" w:eastAsia="仿宋_GB2312" w:cs="宋体"/>
          <w:kern w:val="0"/>
          <w:sz w:val="30"/>
          <w:szCs w:val="30"/>
        </w:rPr>
      </w:pPr>
    </w:p>
    <w:p w14:paraId="0AD46C0A">
      <w:pPr>
        <w:spacing w:line="570" w:lineRule="exact"/>
        <w:jc w:val="center"/>
        <w:rPr>
          <w:rFonts w:hAnsi="宋体" w:eastAsia="仿宋_GB2312" w:cs="宋体"/>
          <w:kern w:val="0"/>
          <w:sz w:val="30"/>
          <w:szCs w:val="30"/>
        </w:rPr>
      </w:pPr>
    </w:p>
    <w:p w14:paraId="5EECD9BC">
      <w:pPr>
        <w:spacing w:line="570" w:lineRule="exact"/>
        <w:jc w:val="center"/>
        <w:rPr>
          <w:rFonts w:hAnsi="宋体" w:eastAsia="仿宋_GB2312" w:cs="宋体"/>
          <w:kern w:val="0"/>
          <w:sz w:val="30"/>
          <w:szCs w:val="30"/>
        </w:rPr>
      </w:pPr>
    </w:p>
    <w:p w14:paraId="0AC2EB6E">
      <w:pPr>
        <w:spacing w:line="570" w:lineRule="exact"/>
        <w:jc w:val="center"/>
        <w:rPr>
          <w:rFonts w:hAnsi="宋体" w:eastAsia="仿宋_GB2312" w:cs="宋体"/>
          <w:kern w:val="0"/>
          <w:sz w:val="30"/>
          <w:szCs w:val="30"/>
        </w:rPr>
      </w:pPr>
    </w:p>
    <w:p w14:paraId="3824278A">
      <w:pPr>
        <w:spacing w:line="570" w:lineRule="exact"/>
        <w:jc w:val="center"/>
        <w:rPr>
          <w:rFonts w:hAnsi="宋体" w:eastAsia="仿宋_GB2312" w:cs="宋体"/>
          <w:kern w:val="0"/>
          <w:sz w:val="30"/>
          <w:szCs w:val="30"/>
        </w:rPr>
      </w:pPr>
    </w:p>
    <w:p w14:paraId="7978E86D">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8"/>
          <w:rFonts w:hint="eastAsia" w:ascii="仿宋" w:hAnsi="仿宋" w:eastAsia="仿宋" w:cs="仿宋"/>
          <w:b w:val="0"/>
          <w:bCs w:val="0"/>
          <w:spacing w:val="-4"/>
          <w:sz w:val="32"/>
          <w:szCs w:val="32"/>
        </w:rPr>
        <w:t>2023年中央动物防疫补助资金</w:t>
      </w:r>
    </w:p>
    <w:p w14:paraId="446BDA41">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8"/>
          <w:rFonts w:hint="eastAsia" w:ascii="仿宋" w:hAnsi="仿宋" w:eastAsia="仿宋" w:cs="仿宋"/>
          <w:b w:val="0"/>
          <w:bCs w:val="0"/>
          <w:spacing w:val="-4"/>
          <w:sz w:val="32"/>
          <w:szCs w:val="32"/>
        </w:rPr>
        <w:t>克孜勒苏柯尔克孜自治州动物疾病控制与诊断中心</w:t>
      </w:r>
    </w:p>
    <w:p w14:paraId="14A8FD68">
      <w:pPr>
        <w:spacing w:line="54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主管部门（公章）：</w:t>
      </w:r>
      <w:r>
        <w:rPr>
          <w:rStyle w:val="18"/>
          <w:rFonts w:hint="eastAsia" w:ascii="仿宋" w:hAnsi="仿宋" w:eastAsia="仿宋" w:cs="仿宋"/>
          <w:b w:val="0"/>
          <w:bCs w:val="0"/>
          <w:spacing w:val="-4"/>
          <w:sz w:val="32"/>
          <w:szCs w:val="32"/>
        </w:rPr>
        <w:t>克州畜牧兽医局</w:t>
      </w:r>
    </w:p>
    <w:p w14:paraId="0372A91E">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8"/>
          <w:rFonts w:hint="eastAsia" w:ascii="仿宋" w:hAnsi="仿宋" w:eastAsia="仿宋" w:cs="仿宋"/>
          <w:b w:val="0"/>
          <w:bCs w:val="0"/>
          <w:spacing w:val="-4"/>
          <w:sz w:val="32"/>
          <w:szCs w:val="32"/>
        </w:rPr>
        <w:t>吾斯曼·牙生</w:t>
      </w:r>
    </w:p>
    <w:p w14:paraId="49DE6A7A">
      <w:pPr>
        <w:spacing w:line="540" w:lineRule="exact"/>
        <w:ind w:firstLine="360" w:firstLineChars="100"/>
        <w:rPr>
          <w:rStyle w:val="18"/>
          <w:rFonts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8"/>
          <w:rFonts w:hint="eastAsia" w:ascii="仿宋" w:hAnsi="仿宋" w:eastAsia="仿宋" w:cs="仿宋"/>
          <w:b w:val="0"/>
          <w:bCs w:val="0"/>
          <w:spacing w:val="-4"/>
          <w:sz w:val="32"/>
          <w:szCs w:val="32"/>
        </w:rPr>
        <w:t>2024年04月29日</w:t>
      </w:r>
    </w:p>
    <w:p w14:paraId="4B555FA5">
      <w:pPr>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br w:type="page"/>
      </w:r>
    </w:p>
    <w:p w14:paraId="333E8E07">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一、基本情况</w:t>
      </w:r>
    </w:p>
    <w:p w14:paraId="5B1642B6">
      <w:pPr>
        <w:spacing w:line="570" w:lineRule="exact"/>
        <w:ind w:firstLine="627" w:firstLineChars="200"/>
        <w:rPr>
          <w:rStyle w:val="18"/>
          <w:rFonts w:ascii="方正楷体_GBK" w:hAnsi="方正楷体_GBK" w:eastAsia="方正楷体_GBK" w:cs="方正楷体_GBK"/>
          <w:bCs w:val="0"/>
          <w:spacing w:val="-4"/>
          <w:sz w:val="32"/>
          <w:szCs w:val="32"/>
        </w:rPr>
      </w:pPr>
      <w:r>
        <w:rPr>
          <w:rStyle w:val="18"/>
          <w:rFonts w:hint="eastAsia" w:ascii="楷体" w:hAnsi="楷体" w:eastAsia="楷体" w:cs="楷体"/>
          <w:bCs w:val="0"/>
          <w:spacing w:val="-4"/>
          <w:sz w:val="32"/>
          <w:szCs w:val="32"/>
        </w:rPr>
        <w:t>（一）项目概况。包括项目背景、主要内容及实施情况、资金投入和使用情况等。</w:t>
      </w:r>
    </w:p>
    <w:p w14:paraId="6D65B61C">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1.项目背景</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项目遵循财政部《项目支出绩效评价管理办法》（财预〔2020〕10号）和自治区财政厅《自治区财政支出绩效评价管理暂行办法》（新财预〔2018〕189号）等相关政策文件与规定，旨在评价关于提前下达2023年中央动物防疫等补助经费预算的通知项目实施前期、过程及效果，评价财政预算资金使用的效率及效益。为</w:t>
      </w:r>
      <w:r>
        <w:rPr>
          <w:rStyle w:val="18"/>
          <w:rFonts w:hint="eastAsia" w:ascii="仿宋" w:hAnsi="仿宋" w:eastAsia="仿宋" w:cs="仿宋"/>
          <w:b w:val="0"/>
          <w:bCs w:val="0"/>
          <w:spacing w:val="-4"/>
          <w:sz w:val="32"/>
          <w:szCs w:val="32"/>
          <w:lang w:eastAsia="zh-CN"/>
        </w:rPr>
        <w:t>深入贯彻落实习近平新时代中国特色社会主义思想</w:t>
      </w:r>
      <w:r>
        <w:rPr>
          <w:rStyle w:val="18"/>
          <w:rFonts w:hint="eastAsia" w:ascii="仿宋" w:hAnsi="仿宋" w:eastAsia="仿宋" w:cs="仿宋"/>
          <w:b w:val="0"/>
          <w:bCs w:val="0"/>
          <w:spacing w:val="-4"/>
          <w:sz w:val="32"/>
          <w:szCs w:val="32"/>
        </w:rPr>
        <w:t>和党的二十大精神、第三次中央新疆工作座谈会精神，坚决贯彻以习近平同志为核心的党中央治疆方略特别是社会稳定和长治久安总目标，按照自治区畜牧兽医局及州党委、政府相关工作要求，并根据全州动物防疫工作开展情况对照2023中央农业防灾救灾和水利救灾资金（动物防疫补助）经费绩效评价指标体系进行自查自评，现将相关工作开展情况汇报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2.主要内容及实施情况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（1）主要内容</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对高致病性禽流感、口蹄疫、小反刍兽疫、牛结节性皮肤病等四种动物疫病全面实施强制免疫，对布病、包虫病等动物疫病根据相关要求做好幼畜的免疫工作。做好O+A型口蹄疫、小反刍兽疫边境免疫带建设工作，切实做到“应免尽免，不留空当”，确保免疫密度和免疫质量，提高免疫效果，建立有效的免疫保护屏障。总体要求是：高致病性禽流感、口蹄疫、小反刍兽疫的畜禽群体免疫密度常年维持在90%以上，其中应免畜禽免疫密度要达到100%，免疫抗体合格率全年保持在70%以上，有效确保免疫密度和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（2）实施情况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按照各县（市）实际畜禽饲养量及县（市）的疫苗计划，合理制定全州疫苗订购计划，并及时发放到县（市），严格按照《新疆维吾尔自治区兽用疫苗储存及使用管理规范》对疫苗全程“冷链”管理，安排专人对2023年各类疫苗的发放进行全面的验收，及时督查疫苗的储存、管理和使用情况，确保疫苗质量。</w:t>
      </w:r>
      <w:r>
        <w:rPr>
          <w:rStyle w:val="18"/>
          <w:rFonts w:hint="eastAsia" w:ascii="仿宋" w:hAnsi="仿宋" w:eastAsia="仿宋" w:cs="仿宋"/>
          <w:b w:val="0"/>
          <w:bCs w:val="0"/>
          <w:spacing w:val="-4"/>
          <w:sz w:val="32"/>
          <w:szCs w:val="32"/>
          <w:lang w:eastAsia="zh-CN"/>
        </w:rPr>
        <w:t>截至目前</w:t>
      </w:r>
      <w:r>
        <w:rPr>
          <w:rStyle w:val="18"/>
          <w:rFonts w:hint="eastAsia" w:ascii="仿宋" w:hAnsi="仿宋" w:eastAsia="仿宋" w:cs="仿宋"/>
          <w:b w:val="0"/>
          <w:bCs w:val="0"/>
          <w:spacing w:val="-4"/>
          <w:sz w:val="32"/>
          <w:szCs w:val="32"/>
        </w:rPr>
        <w:t>已调入牛、羊口蹄疫二价灭活苗，禽流感重组三价灭活苗，小反刍兽疫苗，包虫病疫苗、牛布病弱毒、羊，羊痘活疫苗，羊三联四防疫苗共1706.95万头份/万毫升/万羽份，调入驱虫药物2100片，并第一时间安排专人，按时发放给各县市。</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3.实施主体</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克孜勒苏柯尔克孜自治州动物疾控中心无下属预算单位，下设4个科室，分别是：办公室、重大动物疾病监测科、动物食品监测科、常规动物疫情检验科。</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克孜勒苏柯尔克孜自治州动物疾控中心编制数16个，实有人数27人，其中：在职13人，增加1人，减小2人；退休14人，增加1人；离休0人，增加0人。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4.资金投入和使用情况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《关于提前下达2023年中央动物防疫等补助经费预算的通知》（克财农[2022]31号文），中央下达588万元，用于购买强制免疫动物疫苗经费，确保不发生区域性重大疫情，主要用于购买兽医社会化服务。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截至2023年12月31日，实际支出588万元，预算执行率100%。</w:t>
      </w:r>
    </w:p>
    <w:p w14:paraId="692B0DEA">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（二）项目绩效目标。包括总体目标和阶段性目标。</w:t>
      </w:r>
    </w:p>
    <w:p w14:paraId="0427BB8D">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项目绩效目标包括项目绩效总目标和阶段性目标。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1.项目绩效总目标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以上资金根据自治州动物防疫工作需要，购买采购动物疫苗，发给各县市动物疫苗。购买疫苗，包虫病疫区犬的驱虫，各地政府购买强制免疫服务覆盖基层动物防疫率（80%），人畜工患病保险、人身意外伤害保险基层动物防疫人员覆盖率（100%），取得了人畜共患病预防，断掉人畜共患病传播途径方面得到了好的成效。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2.阶段性目标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（1）项目产出目标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①数量指标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“购买疫苗（次）”指标，预期指标值为&gt;=2次；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“包虫病疫区犬的驱虫数量（万只）”指标，预期指标值为&gt;=0.20万只</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“各地政府购买强制免疫服务覆盖基层动物防疫率（%）”，预期指标值为&gt;=80%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“人畜工患病保险、人身意外伤害保险基层动物防疫人员覆盖率（%）”，预期指标值为＝100%；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②质量指标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“公共安全视频资源采集和覆盖率（%）”指标，预期指标值为＝100%；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“资金使用合规率（%）”指标，预期指标值为＝100%；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“强制免疫病种应免畜禽的免疫密度（%）”指标，预期指标值为&gt;=90%；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“依法对重大动物疫情处置率（%）”指标，预期指标值为＝100%；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“口蹄疫、高致病性禽流感、小反刍兽疫免疫抗体合格率（%）”指标，预期指标值为&gt;=70%；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③时效指标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“资金使用及时率（%）”指标，预期指标值为=100%。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④成本指标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“购买疫苗（万元）”指标，预期指标值为≤588万元；</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“预算成本控制率（%）”指标，预期指标值为=100%。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（2）项目效益目标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①经济效益指标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②社会效益指标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“有效保障口蹄疫、高致病性禽流感、步病等优先病种防治工作、包虫病防治工作”指标，预期指标值为有效保障；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“降低疫情跨省传入扩散风险”指标，预期指标值为长期；</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③生态效益指标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④满意度指标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“养殖场（户）满意率（%）”指标，预期指标值为≥90%。</w:t>
      </w:r>
    </w:p>
    <w:p w14:paraId="148A1D63">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二、绩效评价工作开展情况</w:t>
      </w:r>
    </w:p>
    <w:p w14:paraId="21344D51">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（一）绩效评价目的、对象和范围。</w:t>
      </w:r>
    </w:p>
    <w:p w14:paraId="61BC2BB4">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1.绩效评价目的</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2.绩效评价对象</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3.绩效评价范围</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本次评价范围涵盖项目总体绩效目标、各项绩效指标完成情况以及预算执行情况。覆盖项目预算资金支出的所有内容进行评价。包括项目决策、项目实施和项目成果验收流程等。</w:t>
      </w:r>
    </w:p>
    <w:p w14:paraId="4397E584">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（二）绩效评价原则、评价指标体系（附表说明）、评价方法、评价标准等。</w:t>
      </w:r>
    </w:p>
    <w:p w14:paraId="41ACAB49">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1.绩效评价原则</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评价坚持定量优先、定量与定性相结合的方式，始终遵循科学规范、公正公开、分级分类、绩效相关的基本原则。通过对“关于提前下达2023年中央动物防疫等补助经费”项目资金进行绩效评价，旨在了解项目资金使用和项目管理情况、取得的成绩及效益，进而分析在政策执行、预算资金安排、项目实施等方面存在的问题并提出针对性建议。本次绩效评价遵循的原则包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（1）科学公正。绩效评价应当运用科学合理的方法，按照规范的程序，对项目绩效进行客观、公正的反映。</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（3）激励约束。绩效评价结果应与预算安排、政策调整、改进管理实质性挂钩，体现奖优罚劣和激励相容导向，有效要安排、低效要压减、无效要问责。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（4）公开透明。绩效评价结果应依法依规公开，并自觉接受社会监督。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2.绩效评价指标体系</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一级指标为：决策、过程、产出、效益。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二级指标为：项目立项、绩效目标、资金投入、资金管理、组织实施、产出数量、产出质量、产出时效、产出成本、项目效益。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3.绩效评价方法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本次绩效评价方法的选用坚持简便有效的原则采用成本效益分析法、比较法、综合指数评价法、公众评判法等多种方法，具体评价方法如下：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（1）成本效益分析法，是指将一定时期内总成本与总效益进行对比分析，以评价绩效目标实现程度。</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2）比较法，通过整理本项目相关资料和数据，评价数量指标的完成情况；通过分析项目的实施情况与绩效目标实现情况，评价项目实施的效果；通过分析项目资金使用情况及产生的效果，评价预算资金分配的合理性。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（3）综合指数评价法，是指把各项绩效指标的实际水平，对照评价标准值，分别计算各项指标评价得分，再按照设定的各项指标权数计算出综合评价得分，分析评价绩效目标实现情况的评价方法。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公众评判法，评价组采用实地访谈、远程访谈相结合方式，对本项目的实施情况进行充分调研，了解掌握资金分配、资金管理、资金使用、制度建设、制度执行情况。采用问卷调查方式，对受益对象开展满意度调查，进行综合评价。</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4.绩效评价标准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w:t>
      </w:r>
    </w:p>
    <w:p w14:paraId="2667E67E">
      <w:pPr>
        <w:spacing w:line="570" w:lineRule="exact"/>
        <w:ind w:firstLine="627" w:firstLineChars="200"/>
        <w:rPr>
          <w:rStyle w:val="18"/>
          <w:rFonts w:ascii="楷体" w:hAnsi="楷体" w:eastAsia="楷体" w:cs="楷体"/>
          <w:bCs w:val="0"/>
          <w:spacing w:val="-4"/>
          <w:sz w:val="32"/>
          <w:szCs w:val="32"/>
        </w:rPr>
      </w:pPr>
      <w:r>
        <w:rPr>
          <w:rStyle w:val="18"/>
          <w:rFonts w:hint="eastAsia" w:ascii="楷体" w:hAnsi="楷体" w:eastAsia="楷体" w:cs="楷体"/>
          <w:bCs w:val="0"/>
          <w:spacing w:val="-4"/>
          <w:sz w:val="32"/>
          <w:szCs w:val="32"/>
        </w:rPr>
        <w:t>（三）绩效评价工作过程。</w:t>
      </w:r>
    </w:p>
    <w:p w14:paraId="235FF071">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本次评价成立了评价工作组，成员如下：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本次评价设计了评价方案、评价指标体系，通过资料分析、调研、访谈满意度调查等方式形成评价结论，在与项目单位沟通后确定评价意见，并出具评价报告。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第一阶段：前期准备。认真学习相关要求与规定，成立绩效评价工作组，作为绩效评价工作具体实施机构。成员构成如下：</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吾斯曼·牙生任评价组组长，职务为党支部书记，绩效评价工作职责为负责全盘工作。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图尔荪·萨迪尔任评价组副组长，绩效评价工作职责为对项目实施情况进行实地调查。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古丽加·买买提力、艾木热古丽·牙森任评价组成员，绩效评价工作职责为负责资料审核等工作。</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第二阶段：组织实施。经评价组通过实地调研等方式，采用综合分析法对项目的决策、管理、绩效进行的综合评价分析。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第三阶段：分析评价。首先按照指标体系进行定量、定性分析。其次开展量化打分、综合评价工作，形成初步评价结论。最后归纳整体项目情况与存在问题，撰写部门绩效评价报告。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第四阶段：撰写与提交评价报告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项目撰写绩效评价报告，按照财政局大平台绩效系统中统一格式和文本框架撰写绩效评价报告。</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第五阶段：归集档案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建立和落实档案管理制度，将项目相关资料存档，包括但不限于：评价项目基本情况和相关文件、评价实施方案、项目支付资料等相关档案。</w:t>
      </w:r>
    </w:p>
    <w:p w14:paraId="3839DE45">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三、综合评价情况及评价结论</w:t>
      </w:r>
    </w:p>
    <w:p w14:paraId="38622A65">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（一）综合评价情况</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评价组对照项目绩效评价指标体系，从决策、过程、产出和效益四个维度，通过数据采集、实地调研和问卷访谈等方式，对“关于提前下达2023年中央动物防疫等补助经费”项目绩效进行客观公正的评价，本项目总得分为100分，绩效评级属于“优”。其中，决策类指标得分20分，过程类指标得分20分，产出类指标得分40分，效益类指标得分20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（二）综合评价结论</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经评价，本项目达到了年初设立的绩效目标，在实施过程中取得了良好的成效，具体表现在：已完成该项目2023年全年执行588万元，其中：财政资金588万元，其他资金0万元，该项目资金主要用于根据自治州动物防疫工作需求，购买强制免疫和常规免疫的动物防疫疫苗，发放各县市，保证全州牲畜按时接种疫苗，产生抗体，推动减少人畜共患病和常规动物疾病，全年畜禽口蹄疫、高致病性禽流感、小反刍兽疫等重大动物疫病群体免疫密度常年维持在90%以上，应免畜禽免疫密度达到100%，免疫抗体合格率全年保持在70%以上，常规动物疫病做到应免尽免，确保全州不发生重大动物疫病。取得了人畜共患病预防，断掉人畜共患病传播途径方面得到了好的成效。</w:t>
      </w:r>
    </w:p>
    <w:p w14:paraId="42F86AF6">
      <w:pPr>
        <w:spacing w:line="570" w:lineRule="exact"/>
        <w:ind w:firstLine="624" w:firstLineChars="200"/>
        <w:rPr>
          <w:rStyle w:val="18"/>
          <w:rFonts w:ascii="黑体" w:hAnsi="黑体" w:eastAsia="黑体" w:cs="黑体"/>
          <w:b w:val="0"/>
          <w:sz w:val="32"/>
          <w:szCs w:val="32"/>
        </w:rPr>
      </w:pPr>
      <w:r>
        <w:rPr>
          <w:rStyle w:val="18"/>
          <w:rFonts w:hint="eastAsia" w:ascii="黑体" w:hAnsi="黑体" w:eastAsia="黑体" w:cs="黑体"/>
          <w:b w:val="0"/>
          <w:spacing w:val="-4"/>
          <w:sz w:val="32"/>
          <w:szCs w:val="32"/>
        </w:rPr>
        <w:t xml:space="preserve">四、绩效评价指标分析 </w:t>
      </w:r>
    </w:p>
    <w:p w14:paraId="2B68769B">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14:paraId="05B4666A">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项目决策类指标包括项目立项、绩效目标和资金投入三方面的内容，由6个三级指标构成，权重分为 20 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立项依据充分性：《关于提前下达2023年中央动物防疫等补助经费预算的通知》（克财农[2022]31号文）并结合克孜勒苏柯尔克孜自治州动物疾病控制与诊断中心职责组织实施。围绕克孜勒苏柯尔克孜自治州动物疾病控制与诊断中心年度工作重点和工作计划制定经费预算，采购牛布病（A19），羊布病（M5），包虫病等重大动物强制免疫疫苗，羊痘，Ⅱ号炭疽，羊三联四防，牛巴氏杆菌，牛气肿疽等动物常规疫病疫苗。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立项程序规范性：根据决策依据编制工作计划和经费预算，经过与克孜勒苏柯尔克孜自治州动物疾病控制与诊断中心财经领导小组进行沟通、筛选确定经费预算计划，上局务会研究确定最终预算方案，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（3）绩效目标合理性：制定了实施方案，明确了总体思路及目标、并对任务进行了详细分解，对目标进行了细化，根据评分标准，该指标不扣分，得3分。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（4）绩效指标明确性：将项目绩效目标细化分解为具体的绩效指标，根据评分标准，该指标不扣分，得2分。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5）预算编制科学性：《关于提前下达2023年中央动物防疫等补助经费预算的通知》（克财农[2022]31号文），中央下达588万元补助资金，用于购买疫苗购买，实际完成内容与项目内容匹配，项目投资额与工作任务相匹配，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6）资金分配合理性：资金分配按照《关于提前下达2023年中央动物防疫等补助经费预算的通知》（克财农[2022]31号文）中央下达588万元补助资金，用于购买疫苗购买，发放给各县市，资金分配与实际相适应，根据评分标准，该指标不扣分，得5分。</w:t>
      </w:r>
    </w:p>
    <w:p w14:paraId="09132F3B">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14:paraId="641A611F">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项目过程类指标包括资金管理和组织实施两方面的内容，由 5个三级指标构成，权重分为20分，实际得分20 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（1）资金到位率：该项目总投资588万元，中央实际下达经费588万元，其中当年财政拨款588万元，上年结转资金0万元，财政资金足额拨付到位，根据评分标准，该指标不扣分，得5分。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（2）预算执行率：本项目申请预算金额为588 万元，中央实际下达金额为588万元截至 2022年 12 月 31日，资金执行588万元，资金执行率100.00%。项目资金支出总体能够按照预算执行，根据评分标准，该指标不扣分，得5分。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资金使用合规性：《关于提前下达2023年中央动物防疫等补助经费预算的通知》（克财农[2022]31号文）符合预算批复规定用途，不存在截留、挤占、挪用、虚列支出等情况，未发现违规使用情况，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管理制度健全性：该项目严格按照《克州动物疾控中心财务制度》及《关于提前下达2023年中央动物防疫等补助经费预算的通知》（克财农[2022]31号文）金相关的制度和管理规定实施，对财政专项资金进行严格管理，基本做到了专款专用，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5）制度执行有效性：由部门提出经费预算支出可行性方案，经过与财经领导小组沟通后，报局务会会议研究执行，财务对资金的使用合法合规性进行监督，年底对资金使用效果进行自评，根据评分标准，该指标不扣分，得3分。</w:t>
      </w:r>
    </w:p>
    <w:p w14:paraId="6F6D8FC3">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14:paraId="73513C4B">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项目产出类指标包括产出数量、产出质量、产出时效、产出成本四方面的内容，由12个三级指标构成，权重分为40分，实际得分40分，得分率为100%。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（1）对于“产出数量”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购买次数2次，与预期目标一致，根据评分标准，该指标不扣分，得2.5分。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包虫病疫区犬的驱虫数量0.2万只，与预期目标一致，根据评分标准，该指标不扣分，得2.5分。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各地政府购买强制免疫服务覆盖基层动物防疫率80%，与预期目标一致，根据评分标准，该指标不扣分，得2.5分。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人畜工患病保险、人身意外伤害保险基层动物防疫人员覆盖率100%。与预期目标一致，根据评分标准，该指标不扣分，得2.5分。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（2）对于“产出质量”：</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公共安全视频资源采集和覆盖率100%，与预期目标一致，根据评分标准，该指标不扣分，得2分。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资金使用合规率100%，与与预期目标一致，根据评分标准，该指标不扣分，得2分。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强制免疫病种应免畜禽的免疫密度90%，与预期目标一致，根据评分标准，该指标不扣分，得2分。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依法对重大动物疫情处置率（%）=100%，与预期目标一致，根据评分标准，该指标不扣分，得2分。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口蹄疫、高致病性禽流感、小反刍兽疫免疫抗体合格率70%，与预期目标一致，根据评分标准，该指标不扣分，得2分。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（3）对于“产出时效”：</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资金使用及时率100%，与预期目标指标一致，根据评分标准，该指标不扣分，得10分。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（4）对于“产出成本”：</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购买疫苗588万元，与预期目标一致，根据评分标准，该指标不扣分，得5分。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预算成本控制率100（%），与预期目标一致，根据评分标准，该指标不扣分，得5分。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合计得10分。</w:t>
      </w:r>
    </w:p>
    <w:p w14:paraId="2F526B8C">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w:t>
      </w:r>
      <w:r>
        <w:rPr>
          <w:rFonts w:hint="eastAsia" w:ascii="楷体" w:hAnsi="楷体" w:eastAsia="楷体" w:cs="楷体"/>
          <w:b/>
          <w:spacing w:val="-4"/>
          <w:sz w:val="32"/>
          <w:szCs w:val="32"/>
          <w:lang w:val="en-US" w:eastAsia="zh-CN"/>
        </w:rPr>
        <w:t>四</w:t>
      </w:r>
      <w:r>
        <w:rPr>
          <w:rFonts w:hint="eastAsia" w:ascii="楷体" w:hAnsi="楷体" w:eastAsia="楷体" w:cs="楷体"/>
          <w:b/>
          <w:spacing w:val="-4"/>
          <w:sz w:val="32"/>
          <w:szCs w:val="32"/>
        </w:rPr>
        <w:t>）项目效益情况。</w:t>
      </w:r>
    </w:p>
    <w:p w14:paraId="4AD117A3">
      <w:pPr>
        <w:spacing w:line="540" w:lineRule="exact"/>
        <w:ind w:firstLine="567"/>
        <w:rPr>
          <w:rStyle w:val="18"/>
          <w:rFonts w:hint="eastAsia"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项目效益类指标包括项目效益1个方面的内容，由3个三级指标构成，权重分为20分，实际得分20分，得分率为100%。</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（1）实施效益指标：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对于“社会效益指标”：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有效保障口蹄疫、高致病性禽流感、步病等优先病种防治工作、包虫病防治工作，与预期指标一致，根据评分标准，该指标不扣分，得5分。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降低疫情跨省传入扩散风险，与预期指标一致，根据评分标准，该指标不扣分，得5分。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对于“经济效益指标”：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本项目无该指标。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对于“生态效益指标”：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本项目无该指标。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实施效益指标合计得10分。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（2）满意度指标：</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对于满意度指标：养殖场（户）满意率≥95%，与预期目标一致，根据评分标准，该指标不扣分，得10分。</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满意度指标合计得10分。</w:t>
      </w:r>
    </w:p>
    <w:p w14:paraId="70A9368C">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五、主要经验及做法、存在的问题及原因分析</w:t>
      </w:r>
    </w:p>
    <w:p w14:paraId="164869DB">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（一）主要经验及做法</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一是本项目能够严格按照《项目实施方案》执行，项目执行情况较好。</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二是加强组织领导，本项目绩效评价工作，有县政府主要领导亲自挂帅，分管县领导具体负责，从项目到资金，均能后很好的执行。</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三是加强沟通协调，我单位及时向县领导汇报项目建设进度，加强与实施单位的沟通，确保项目按期完工。</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（二）存在问题及原因分析</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14:paraId="644A74D5">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六、有关建议</w:t>
      </w:r>
    </w:p>
    <w:p w14:paraId="7BC09772">
      <w:pPr>
        <w:spacing w:line="540" w:lineRule="exact"/>
        <w:ind w:firstLine="567"/>
        <w:rPr>
          <w:rStyle w:val="18"/>
          <w:rFonts w:ascii="仿宋" w:hAnsi="仿宋" w:eastAsia="仿宋" w:cs="仿宋"/>
          <w:b w:val="0"/>
          <w:bCs w:val="0"/>
          <w:spacing w:val="-4"/>
          <w:sz w:val="32"/>
          <w:szCs w:val="32"/>
        </w:rPr>
      </w:pPr>
      <w:r>
        <w:rPr>
          <w:rStyle w:val="18"/>
          <w:rFonts w:hint="eastAsia" w:ascii="仿宋" w:hAnsi="仿宋" w:eastAsia="仿宋" w:cs="仿宋"/>
          <w:b w:val="0"/>
          <w:bCs w:val="0"/>
          <w:spacing w:val="-4"/>
          <w:sz w:val="32"/>
          <w:szCs w:val="32"/>
        </w:rPr>
        <w:t xml:space="preserve">　　1.绩效管理方面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绩效目标设置是预算批复和预算安排的前置条件，是实施 绩效监控、开展绩效评价等工作的重要基础和依据，统领预算 绩效管理。建议预算单位严格按照自治区印发的相关通知要 求，切实提升绩效目标和指标的编制水平，强化目标对项目实施的约束力。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2.资金管理方面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建议预算单位要树立起预算执行主体责任意识和效率意 识，强化预算执行管理，根据项目实施计划，严格把控项目资金支出进度，对项目实施过程中遇到影响项目完成进度或资金支付进度的问题，在自身不能采取有效措施进行解决的情况下应尽快向财政部门反馈，使财政部门能够对涉及的资金进行适当调整，充分提高财政资金使用效益。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xml:space="preserve">　　3.项目管理方面 </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建议预算单位加强对项目建设、实施进度以及质量的管控，定期监督检查项目执行进度和实施质量，及时采取措施对发现的问题进行纠偏整改，对需要及时协调各方共同解决的问题，应加强各责任部门之间的沟通，共同推动项目管理水平的提升。</w:t>
      </w:r>
    </w:p>
    <w:p w14:paraId="51D44A63">
      <w:pPr>
        <w:spacing w:line="570" w:lineRule="exact"/>
        <w:ind w:firstLine="624" w:firstLineChars="200"/>
        <w:rPr>
          <w:rStyle w:val="18"/>
          <w:rFonts w:ascii="黑体" w:hAnsi="黑体" w:eastAsia="黑体" w:cs="黑体"/>
          <w:b w:val="0"/>
          <w:spacing w:val="-4"/>
          <w:sz w:val="32"/>
          <w:szCs w:val="32"/>
        </w:rPr>
      </w:pPr>
      <w:r>
        <w:rPr>
          <w:rStyle w:val="18"/>
          <w:rFonts w:hint="eastAsia" w:ascii="黑体" w:hAnsi="黑体" w:eastAsia="黑体" w:cs="黑体"/>
          <w:b w:val="0"/>
          <w:spacing w:val="-4"/>
          <w:sz w:val="32"/>
          <w:szCs w:val="32"/>
        </w:rPr>
        <w:t>七、其他需要说明的问题</w:t>
      </w:r>
    </w:p>
    <w:p w14:paraId="4800807A">
      <w:pPr>
        <w:spacing w:line="540" w:lineRule="exact"/>
        <w:ind w:firstLine="567"/>
        <w:rPr>
          <w:rStyle w:val="18"/>
          <w:rFonts w:ascii="仿宋" w:hAnsi="仿宋" w:eastAsia="仿宋"/>
          <w:b w:val="0"/>
          <w:spacing w:val="-4"/>
          <w:sz w:val="32"/>
          <w:szCs w:val="32"/>
        </w:rPr>
      </w:pPr>
      <w:r>
        <w:rPr>
          <w:rStyle w:val="18"/>
          <w:rFonts w:hint="eastAsia" w:ascii="仿宋" w:hAnsi="仿宋" w:eastAsia="仿宋" w:cs="仿宋"/>
          <w:b w:val="0"/>
          <w:bCs w:val="0"/>
          <w:spacing w:val="-4"/>
          <w:sz w:val="32"/>
          <w:szCs w:val="32"/>
        </w:rPr>
        <w:t>　　我单位对上述项目支出绩效评价报告内反映内容的真实性、完整性负责，接受上级部门及社会监督。</w:t>
      </w:r>
      <w:r>
        <w:rPr>
          <w:rStyle w:val="18"/>
          <w:rFonts w:hint="eastAsia" w:ascii="仿宋" w:hAnsi="仿宋" w:eastAsia="仿宋" w:cs="仿宋"/>
          <w:b w:val="0"/>
          <w:bCs w:val="0"/>
          <w:spacing w:val="-4"/>
          <w:sz w:val="32"/>
          <w:szCs w:val="32"/>
        </w:rPr>
        <w:cr/>
      </w:r>
      <w:r>
        <w:rPr>
          <w:rStyle w:val="18"/>
          <w:rFonts w:hint="eastAsia" w:ascii="仿宋" w:hAnsi="仿宋" w:eastAsia="仿宋" w:cs="仿宋"/>
          <w:b w:val="0"/>
          <w:bCs w:val="0"/>
          <w:spacing w:val="-4"/>
          <w:sz w:val="32"/>
          <w:szCs w:val="32"/>
        </w:rPr>
        <w:br w:type="textWrapping"/>
      </w:r>
      <w:r>
        <w:rPr>
          <w:rStyle w:val="18"/>
          <w:rFonts w:hint="eastAsia" w:ascii="仿宋" w:hAnsi="仿宋" w:eastAsia="仿宋" w:cs="仿宋"/>
          <w:b w:val="0"/>
          <w:bCs w:val="0"/>
          <w:spacing w:val="-4"/>
          <w:sz w:val="32"/>
          <w:szCs w:val="32"/>
        </w:rPr>
        <w:t>　　附件1：克州动物疾控中心提前下达2023年中央动物防疫补助资金项目绩效评价指标体系及评分标准</w:t>
      </w:r>
    </w:p>
    <w:bookmarkEnd w:id="0"/>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panose1 w:val="02010600040101010101"/>
    <w:charset w:val="86"/>
    <w:family w:val="auto"/>
    <w:pitch w:val="default"/>
    <w:sig w:usb0="00000287" w:usb1="080F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方正仿宋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11397E18">
        <w:pPr>
          <w:pStyle w:val="12"/>
          <w:jc w:val="center"/>
        </w:pPr>
        <w:r>
          <w:fldChar w:fldCharType="begin"/>
        </w:r>
        <w:r>
          <w:instrText xml:space="preserve">PAGE   \* MERGEFORMAT</w:instrText>
        </w:r>
        <w:r>
          <w:fldChar w:fldCharType="separate"/>
        </w:r>
        <w:r>
          <w:rPr>
            <w:lang w:val="zh-CN"/>
          </w:rPr>
          <w:t>1</w:t>
        </w:r>
        <w:r>
          <w:fldChar w:fldCharType="end"/>
        </w:r>
      </w:p>
    </w:sdtContent>
  </w:sdt>
  <w:p w14:paraId="1D6696A4">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1A33"/>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E6335"/>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46021"/>
    <w:rsid w:val="00E655F7"/>
    <w:rsid w:val="00E7612A"/>
    <w:rsid w:val="00E769FE"/>
    <w:rsid w:val="00E774CE"/>
    <w:rsid w:val="00E96D03"/>
    <w:rsid w:val="00EA2CBE"/>
    <w:rsid w:val="00EB10A0"/>
    <w:rsid w:val="00F32FEE"/>
    <w:rsid w:val="00FB10BB"/>
    <w:rsid w:val="00FF3B44"/>
    <w:rsid w:val="07D931EA"/>
    <w:rsid w:val="13295EF1"/>
    <w:rsid w:val="2AE11386"/>
    <w:rsid w:val="2D4C6AD2"/>
    <w:rsid w:val="2D5A6638"/>
    <w:rsid w:val="340D5924"/>
    <w:rsid w:val="43B04001"/>
    <w:rsid w:val="45687296"/>
    <w:rsid w:val="4609551D"/>
    <w:rsid w:val="4D2606A1"/>
    <w:rsid w:val="4DD42C22"/>
    <w:rsid w:val="50796DE0"/>
    <w:rsid w:val="5DA70C36"/>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uiPriority w:val="1"/>
  </w:style>
  <w:style w:type="table" w:default="1" w:styleId="16">
    <w:name w:val="Normal Table"/>
    <w:semiHidden/>
    <w:unhideWhenUsed/>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23</Pages>
  <Words>8265</Words>
  <Characters>8634</Characters>
  <Lines>5</Lines>
  <Paragraphs>1</Paragraphs>
  <TotalTime>40</TotalTime>
  <ScaleCrop>false</ScaleCrop>
  <LinksUpToDate>false</LinksUpToDate>
  <CharactersWithSpaces>8959</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2022-01-14T05:11:00Z</dcterms:created>
  <dc:creator>赵 恺（预算处）</dc:creator>
  <cp:lastModifiedBy>禅</cp:lastModifiedBy>
  <cp:lastPrinted>2018-12-31T10:56:00Z</cp:lastPrinted>
  <dcterms:modified xsi:type="dcterms:W3CDTF">2024-12-17T08:43:47Z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EDB0EAC4CF7B4EBF926025EFAC4D49E8_12</vt:lpwstr>
  </property>
</Properties>
</file>