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333333"/>
          <w:sz w:val="32"/>
          <w:szCs w:val="32"/>
          <w:lang w:bidi="ar"/>
        </w:rPr>
      </w:pPr>
      <w:r>
        <w:rPr>
          <w:rFonts w:hint="eastAsia" w:ascii="黑体" w:hAnsi="黑体" w:eastAsia="黑体" w:cs="宋体"/>
          <w:color w:val="333333"/>
          <w:sz w:val="32"/>
          <w:szCs w:val="32"/>
          <w:lang w:bidi="ar"/>
        </w:rPr>
        <w:t>附件4：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部门单位整体支出绩效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1" w:name="_GoBack"/>
      <w:bookmarkEnd w:id="1"/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/>
          <w:b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720" w:firstLineChars="200"/>
        <w:rPr>
          <w:rFonts w:hAnsi="宋体" w:eastAsia="仿宋_GB2312" w:cs="宋体"/>
          <w:kern w:val="0"/>
          <w:sz w:val="44"/>
          <w:szCs w:val="44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</w:t>
      </w:r>
      <w:r>
        <w:rPr>
          <w:rFonts w:hint="eastAsia" w:ascii="仿宋" w:hAnsi="仿宋" w:eastAsia="仿宋" w:cs="仿宋"/>
          <w:kern w:val="0"/>
          <w:sz w:val="44"/>
          <w:szCs w:val="44"/>
        </w:rPr>
        <w:t>：</w:t>
      </w:r>
      <w:r>
        <w:rPr>
          <w:rStyle w:val="6"/>
          <w:rFonts w:hint="eastAsia" w:ascii="仿宋" w:hAnsi="仿宋" w:eastAsia="仿宋" w:cs="仿宋"/>
          <w:b w:val="0"/>
          <w:bCs w:val="0"/>
          <w:spacing w:val="-4"/>
          <w:sz w:val="44"/>
          <w:szCs w:val="44"/>
        </w:rPr>
        <w:t>克孜勒苏柯尔克孜自治州福利彩票发行中心</w:t>
      </w:r>
    </w:p>
    <w:p>
      <w:pPr>
        <w:spacing w:line="540" w:lineRule="exact"/>
        <w:ind w:firstLine="720" w:firstLineChars="200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6"/>
          <w:rFonts w:hint="eastAsia" w:ascii="仿宋" w:hAnsi="仿宋" w:eastAsia="仿宋" w:cs="仿宋"/>
          <w:b w:val="0"/>
          <w:bCs w:val="0"/>
          <w:spacing w:val="-4"/>
          <w:sz w:val="44"/>
          <w:szCs w:val="44"/>
        </w:rPr>
        <w:t>2024年04月12日</w:t>
      </w:r>
    </w:p>
    <w:p>
      <w:pPr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br w:type="page"/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基本概况：</w:t>
      </w:r>
    </w:p>
    <w:p>
      <w:pPr>
        <w:spacing w:line="600" w:lineRule="exact"/>
        <w:ind w:firstLine="964" w:firstLineChars="300"/>
        <w:jc w:val="left"/>
        <w:rPr>
          <w:rFonts w:hint="eastAsia" w:ascii="Arial" w:hAnsi="Arial" w:cs="Arial"/>
          <w:b/>
          <w:bCs/>
          <w:color w:val="333333"/>
          <w:sz w:val="30"/>
          <w:szCs w:val="30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（一）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部门单位基本情况</w:t>
      </w:r>
      <w:r>
        <w:rPr>
          <w:rFonts w:hint="eastAsia" w:ascii="Arial" w:hAnsi="Arial" w:cs="Arial"/>
          <w:b/>
          <w:bCs/>
          <w:color w:val="333333"/>
          <w:sz w:val="30"/>
          <w:szCs w:val="30"/>
        </w:rPr>
        <w:t>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1.部门机构设置及人员构成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克孜勒苏柯尔克孜自治州福利彩票发行中心无下属预算单位，下设4个科室，分别是：办公室、综合一部、综合二部、财务室。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克孜勒苏柯尔克孜自治州福利彩票发行中心合计人数9人，其中在编人数3人，聘用人员6人。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2.部门主要职能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　　克孜勒苏柯尔克孜自治州福利彩票发行中心。根据《彩票管理条例》《彩票管理条例实施细则》和民政厅、自治区福利彩票发行中心相关文件精神确定：地、州（市）福彩中心在当地民政局的领导下和自治区福彩中心的业务领导下，负责本地区电脑型福利彩票销售工作。其主要职责是：负责制定本地区福利彩票销售网络建设计划，受自治区福彩中心委托对本地区福利彩票销售网点进行日常管理，具体负责福利彩票网点的设立、迁移、撤销等初审上报工作。受自治区中心委托代签代销协议，指导代销者规范化建设彩票销售场所。负责结合实际制定各项销售工作细则，规范开展彩票销售工作，及时处理市场投诉和销售纠纷。负责本地区50万元以下中奖者兑奖工作、销售资金上缴、设备保证金收取上缴工作。负责开展本地区的业务培训、营销、宣传工作。负责本地区销售设备、设施及耗材的日常发放管理及固 定资产管理工作等工作。 </w:t>
      </w:r>
      <w:bookmarkStart w:id="0" w:name="_Hlk43849111"/>
      <w:bookmarkEnd w:id="0"/>
    </w:p>
    <w:p>
      <w:pPr>
        <w:spacing w:line="600" w:lineRule="exact"/>
        <w:ind w:firstLine="964" w:firstLineChars="300"/>
        <w:jc w:val="left"/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（二）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部门单位年度重点工作：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加强管理，持续做好站点日常管理工作。认真落实好自治区福彩中心文件精神，一是抓好站点安全生产、销售安全常态化巡检工作，进一步强化站点管理，促进业主依规、合法经营；二是将加强老旧站点和集群销售、即开票专卖店规范化建设，进一步提升福彩站点形象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突出重点，抓好站点帮扶和增机布点工作。一方面，开展福彩中心针对销售额低的站点帮扶活动，加大对站点的巡检、督查和帮扶力度，查找站点销售运营的短板，通过培训，一对一指导和帮扶促进业主经营能力提升，提振业主信心。另一方面，明确全州各片区增机布点目标，强化目标考核力度，促进增机布点工作进一步落实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强化培训，全面提升福彩从业人员素质。2024年继续开展常态化全员综合能力提升培训计划，通过系统培训，着力提升员工演讲与表达、文案编写、ppt制作、抖音等小视频制作以及彩票数据分析、站点问题处理能力和业主自主营销能力，促进员工和业主素质提升，补齐中心在培训和宣传工作方面的短板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认真部署，做好市场营销宣传工作。2024年中彩中心和自治区福彩中心将至少10次系列促销活动，克州福彩中心将提前部署，积极配合，推进促销活动的落实，争取活动取得较好的成绩，实现销量最大化。</w:t>
      </w:r>
    </w:p>
    <w:p>
      <w:pPr>
        <w:spacing w:line="600" w:lineRule="exact"/>
        <w:ind w:firstLine="964" w:firstLineChars="300"/>
        <w:jc w:val="left"/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（三）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部门单位整体预算规模及安排情况：</w:t>
      </w:r>
    </w:p>
    <w:p>
      <w:pPr>
        <w:spacing w:line="600" w:lineRule="exact"/>
        <w:ind w:firstLine="960" w:firstLineChars="300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1.年初预算安排情况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我单位年初预算数为240万元，实际预算执行数240万元，预算执行率为100%。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综上所述，部门预算安排与单位职能关联度较高，预算安排结构清晰明了，能够直观展示各项费用的分配情况，预算规模合理，为单位的稳健发展和高效运行提供了有力保障。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2.预算调整情况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我单位年初批复预算数240万元，年中调整数9.28万元，调整后全年预算数249.28万元，预算调整率3.87%。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综上所述，年中预算调整幅度与单位运转情况和履职情况相匹配，未出现资金收支不平衡以及债务风险等负面影响，确保了预算调整的合理性和必要性。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3.全年预算执行情况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全年预算数为249.28万元，全年实际支出资金249.28万元，预算执行率为100%。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综上所述，本年度在执行预算过程中不存在闲置、浪费或挪用等情况，执行预算在预期可控范围内，严格按照项目进度支付资金，不存在超进度付款情况，资金支出方向合理，资金支出流程规范。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4.资金使用主要内容及范围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2023年全年预算支出金额共计249.28万元。其中：基本支出为0万元，我单位无基本支出；项目支出249.28万元，主要用于福利彩票机构人员支出、日常公用支出，规范全区彩票销售市场秩序，支持基层彩票票销售网点发展，夯实市场运维管理服务基础，提升福利彩票公益性宣传力度和销售网点标准化建设水平，拓展福利彩票渠道建设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部门单位整体支出管理及使用情况：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1.年初预算安排情况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我单位年初预算数为240万元，实际预算执行数240万元，预算执行率为100%。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综上所述，部门预算安排与单位职能关联度较高，预算安排结构清晰明了，能够直观展示各项费用的分配情况，预算规模合理，为单位的稳健发展和高效运行提供了有力保障。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2.预算调整情况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我单位年初批复预算数240万元，年中调整数9.28万元，调整后全年预算数249.28万元，预算调整率3.87%。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综上所述，年中预算调整幅度与单位运转情况和履职情况相匹配，未出现资金收支不平衡以及债务风险等负面影响，确保了预算调整的合理性和必要性。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3.全年预算执行情况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全年预算数为249.28万元，全年实际支出资金249.28万元，预算执行率为100%。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综上所述，本年度在执行预算过程中不存在闲置、浪费或挪用等情况，执行预算在预期可控范围内，严格按照项目进度支付资金，不存在超进度付款情况，资金支出方向合理，资金支出流程规范。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4.资金使用主要内容及范围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我单位2023年全年预算支出金额共计249.28万元。其中：基本支出为0万元，我单位无基本支出；项目支出249.28万元，主要用于福利彩票机构人员支出、日常公用支出，规范全区彩票销售市场秩序，支持基层彩票票销售网点发展，夯实市场运维管理服务基础，提升福利彩票公益性宣传力度和销售网点标准化建设水平，拓展福利彩票渠道建设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部门单位整体支出绩效分析：</w:t>
      </w:r>
    </w:p>
    <w:p>
      <w:pPr>
        <w:spacing w:line="600" w:lineRule="exact"/>
        <w:ind w:firstLine="800" w:firstLineChars="25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黑体" w:hAnsi="黑体" w:eastAsia="黑体" w:cs="宋体"/>
          <w:bCs/>
          <w:color w:val="333333"/>
          <w:sz w:val="32"/>
          <w:szCs w:val="32"/>
          <w:lang w:bidi="ar"/>
        </w:rPr>
        <w:t xml:space="preserve"> </w:t>
      </w:r>
      <w:r>
        <w:rPr>
          <w:rFonts w:hint="eastAsia" w:ascii="仿宋_GB2312" w:hAnsi="宋体" w:eastAsia="仿宋_GB2312"/>
          <w:bCs/>
          <w:sz w:val="32"/>
          <w:szCs w:val="32"/>
        </w:rPr>
        <w:t>　　我单位2023年全年预算金额为249.28万元，执行金额为249.28万元，执行率为100%，得100分。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（一）运行成本指标完成情况分析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1）“彩票销售成本控制率（%）”指标：预期指标值为&lt;=4.5%全年销售额的，年中监控实际完成值全年销售额3.61%，根据我单位“2023年销售明细和2023年交叉统计表”显示，本次评价实际完成值为2.01%，该指标完成率为100%，偏差原因：为了完成自治区下达的销售任务，进行大量布机，致使销售额增增加；改进措施继续完善绩效指标值，提高整体绩效目标质量。该指标权重分值为20分，自评得分20分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（二）履职效能指标完成情况分析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（1）“</w:t>
      </w:r>
      <w:r>
        <w:rPr>
          <w:rFonts w:hint="eastAsia" w:ascii="仿宋_GB2312" w:hAnsi="宋体" w:eastAsia="仿宋_GB2312"/>
          <w:bCs/>
          <w:sz w:val="32"/>
          <w:szCs w:val="32"/>
        </w:rPr>
        <w:tab/>
        <w:t>全年福彩销售额”指标：预期指标值为﹥﹦6700万头，年终监控实际完成值5196万元，根据我单位“2023年销售明细表”显示，本次评价实际完成值为12395.2192万元，该指标完成率为185%，偏差原因：为了完成自治区下达的销售任务，进行大量布机，致使销售额增增加，超额完成销售任务；改进措施继续完善绩效指标值，提高整体绩效目标质量。该指标权重分值为40分，自评得分40分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（2）“支持彩票销售网点数量</w:t>
      </w:r>
      <w:r>
        <w:rPr>
          <w:rFonts w:hint="eastAsia" w:ascii="仿宋_GB2312" w:hAnsi="宋体" w:eastAsia="仿宋_GB2312"/>
          <w:bCs/>
          <w:sz w:val="32"/>
          <w:szCs w:val="32"/>
        </w:rPr>
        <w:tab/>
        <w:t>”指标：预期指标值为﹥﹦50个，年中监控实际完成值55个，根据我单位“投注站明细表”显示，本次评价试剂完成值为61个，该指标完成率为122%，偏差原因：为了完成自治区下达的销售任务，进行大量布机，致使销售额增增加，超额完成销售任务；改进措施继续完善绩效指标值，提高整体绩效目标质量，该指标权重分值为10分，自评得分10分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3）“2023年福利彩票公益金筹集量”指标：预期指标值为﹥﹦450万元，年中监控实际完成值350万元，根据我单位“2023年彩票公益金”显示，本次评价试剂完成值为851.657656万元，该指标完成率为189.26%，偏差原因：2023年度超额完成彩票销售任务，致使彩票公益金增加；改进措施，继续完善绩效指标值得设定，提高整体绩效目标质量。该指标权重分值为20分，自评得分20分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评价结论：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2023年度部门整体支出绩效自评综合得分100分，评价结果为“优”。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存在的主要问题及原因分析：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1.部分业务人员绩效管理意识有待增强，未能全面深入认识理解绩效管理工作的意义。绩效管理经验不足，预算绩效管理工作有待进一步落实。</w:t>
      </w:r>
      <w:r>
        <w:rPr>
          <w:rFonts w:hint="eastAsia" w:ascii="仿宋_GB2312" w:hAnsi="宋体" w:eastAsia="仿宋_GB2312"/>
          <w:bCs/>
          <w:sz w:val="32"/>
          <w:szCs w:val="32"/>
        </w:rPr>
        <w:cr/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2.绩效指标的明确性、可衡量性、相关性还需进一步提升。预算精细化管理还需完善，预算编制管理水平仍有进一步提升的空间。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改进措施和建议：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　　（一）改进措施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1.继续加大绩效工作宣传力度，强化绩效理念。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2.继续完善绩效指标，提高整体绩效目标质量。提升预算精细化管理水平。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3.继续完善预算绩效管理相关工作制度，建立全过程预算绩效管理链条，有效贯彻落实全面实施绩效管理的精神。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（二）建议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1.加强预算绩效目标管理工作。明确预算项目绩效目标编制要求，分类别建立科学合理、细化量化、可比可测预算绩效指标体系，突出结果导向，重点考核实绩。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2.加强绩效业务学习及培训，提高业务人员绩效管理意识，进一步加强预算绩效管理工作，优化项目支出绩效指标体系，完善预算绩效管理制度，有效推动我单位下一年度预算绩效管理工作常态化、规范化。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3.通过强化专业培训、学习考察、业务交流等措施，帮助和促进本单位现有人员提高绩效管理业务水平、实际工作能力。强化预算绩效执行工作，指定专人负责预算执行监督管理，进一步推动预算绩效管理工作。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　　4.借助第三方专业机构力量，贯彻落实全面预算绩效管理工作，建立全过程预算绩效管理链条，将绩效各个环节紧密贯通。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03BB8"/>
    <w:multiLevelType w:val="multilevel"/>
    <w:tmpl w:val="69703BB8"/>
    <w:lvl w:ilvl="0" w:tentative="0">
      <w:start w:val="1"/>
      <w:numFmt w:val="japaneseCounting"/>
      <w:lvlText w:val="%1、"/>
      <w:lvlJc w:val="left"/>
      <w:pPr>
        <w:ind w:left="136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8" w:hanging="420"/>
      </w:pPr>
    </w:lvl>
    <w:lvl w:ilvl="2" w:tentative="0">
      <w:start w:val="1"/>
      <w:numFmt w:val="lowerRoman"/>
      <w:lvlText w:val="%3."/>
      <w:lvlJc w:val="right"/>
      <w:pPr>
        <w:ind w:left="1908" w:hanging="420"/>
      </w:pPr>
    </w:lvl>
    <w:lvl w:ilvl="3" w:tentative="0">
      <w:start w:val="1"/>
      <w:numFmt w:val="decimal"/>
      <w:lvlText w:val="%4."/>
      <w:lvlJc w:val="left"/>
      <w:pPr>
        <w:ind w:left="2328" w:hanging="420"/>
      </w:pPr>
    </w:lvl>
    <w:lvl w:ilvl="4" w:tentative="0">
      <w:start w:val="1"/>
      <w:numFmt w:val="lowerLetter"/>
      <w:lvlText w:val="%5)"/>
      <w:lvlJc w:val="left"/>
      <w:pPr>
        <w:ind w:left="2748" w:hanging="420"/>
      </w:pPr>
    </w:lvl>
    <w:lvl w:ilvl="5" w:tentative="0">
      <w:start w:val="1"/>
      <w:numFmt w:val="lowerRoman"/>
      <w:lvlText w:val="%6."/>
      <w:lvlJc w:val="right"/>
      <w:pPr>
        <w:ind w:left="3168" w:hanging="420"/>
      </w:pPr>
    </w:lvl>
    <w:lvl w:ilvl="6" w:tentative="0">
      <w:start w:val="1"/>
      <w:numFmt w:val="decimal"/>
      <w:lvlText w:val="%7."/>
      <w:lvlJc w:val="left"/>
      <w:pPr>
        <w:ind w:left="3588" w:hanging="420"/>
      </w:pPr>
    </w:lvl>
    <w:lvl w:ilvl="7" w:tentative="0">
      <w:start w:val="1"/>
      <w:numFmt w:val="lowerLetter"/>
      <w:lvlText w:val="%8)"/>
      <w:lvlJc w:val="left"/>
      <w:pPr>
        <w:ind w:left="4008" w:hanging="420"/>
      </w:pPr>
    </w:lvl>
    <w:lvl w:ilvl="8" w:tentative="0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1YTUzYWYxYTYxZTFlNDg2NmU5MjQzMDEyY2Y5YmQifQ=="/>
  </w:docVars>
  <w:rsids>
    <w:rsidRoot w:val="00EB3604"/>
    <w:rsid w:val="00021B05"/>
    <w:rsid w:val="000B791B"/>
    <w:rsid w:val="001C7F2C"/>
    <w:rsid w:val="00340E58"/>
    <w:rsid w:val="003E45AA"/>
    <w:rsid w:val="00486CD9"/>
    <w:rsid w:val="00584481"/>
    <w:rsid w:val="00653C1A"/>
    <w:rsid w:val="0072543F"/>
    <w:rsid w:val="007A5D83"/>
    <w:rsid w:val="007A798C"/>
    <w:rsid w:val="007B51CE"/>
    <w:rsid w:val="007D7702"/>
    <w:rsid w:val="007E47F4"/>
    <w:rsid w:val="007F0F7C"/>
    <w:rsid w:val="00892E0B"/>
    <w:rsid w:val="008F0DCE"/>
    <w:rsid w:val="00916058"/>
    <w:rsid w:val="00AB72C1"/>
    <w:rsid w:val="00C10BB4"/>
    <w:rsid w:val="00CE0C6C"/>
    <w:rsid w:val="00DB647F"/>
    <w:rsid w:val="00DC7E33"/>
    <w:rsid w:val="00E40ABD"/>
    <w:rsid w:val="00E8616A"/>
    <w:rsid w:val="00EB3604"/>
    <w:rsid w:val="020B07BA"/>
    <w:rsid w:val="02656D15"/>
    <w:rsid w:val="06696209"/>
    <w:rsid w:val="0D1922F1"/>
    <w:rsid w:val="10DF6E84"/>
    <w:rsid w:val="1438599A"/>
    <w:rsid w:val="1B50519E"/>
    <w:rsid w:val="200F4073"/>
    <w:rsid w:val="24B86128"/>
    <w:rsid w:val="51C70EA9"/>
    <w:rsid w:val="5389513F"/>
    <w:rsid w:val="54F842B6"/>
    <w:rsid w:val="64F5745B"/>
    <w:rsid w:val="656071F2"/>
    <w:rsid w:val="6BF1756B"/>
    <w:rsid w:val="6F5E1AA3"/>
    <w:rsid w:val="7F200B83"/>
    <w:rsid w:val="7F5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343</Characters>
  <Lines>2</Lines>
  <Paragraphs>1</Paragraphs>
  <TotalTime>10</TotalTime>
  <ScaleCrop>false</ScaleCrop>
  <LinksUpToDate>false</LinksUpToDate>
  <CharactersWithSpaces>344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2020-06-04T05:22:00Z</dcterms:created>
  <dc:creator>hongbing liu</dc:creator>
  <cp:lastModifiedBy>Administrator</cp:lastModifiedBy>
  <dcterms:modified xsi:type="dcterms:W3CDTF">2024-08-21T09:19:56Z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4E2A216151A24EE5A190066F518526B7</vt:lpwstr>
  </property>
</Properties>
</file>