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44630">
      <w:pPr>
        <w:spacing w:line="570" w:lineRule="exact"/>
        <w:jc w:val="center"/>
        <w:rPr>
          <w:rFonts w:ascii="华文中宋" w:hAnsi="华文中宋" w:eastAsia="华文中宋" w:cs="宋体"/>
          <w:b/>
          <w:kern w:val="0"/>
          <w:sz w:val="52"/>
          <w:szCs w:val="52"/>
        </w:rPr>
      </w:pPr>
      <w:bookmarkStart w:id="0" w:name="_GoBack"/>
    </w:p>
    <w:p w14:paraId="7CFF4D71">
      <w:pPr>
        <w:spacing w:line="570" w:lineRule="exact"/>
        <w:jc w:val="center"/>
        <w:rPr>
          <w:rFonts w:ascii="华文中宋" w:hAnsi="华文中宋" w:eastAsia="华文中宋" w:cs="宋体"/>
          <w:b/>
          <w:kern w:val="0"/>
          <w:sz w:val="52"/>
          <w:szCs w:val="52"/>
        </w:rPr>
      </w:pPr>
    </w:p>
    <w:p w14:paraId="5F03E1C2">
      <w:pPr>
        <w:spacing w:line="570" w:lineRule="exact"/>
        <w:jc w:val="center"/>
        <w:rPr>
          <w:rFonts w:ascii="华文中宋" w:hAnsi="华文中宋" w:eastAsia="华文中宋" w:cs="宋体"/>
          <w:b/>
          <w:kern w:val="0"/>
          <w:sz w:val="52"/>
          <w:szCs w:val="52"/>
        </w:rPr>
      </w:pPr>
    </w:p>
    <w:p w14:paraId="573AE783">
      <w:pPr>
        <w:spacing w:line="570" w:lineRule="exact"/>
        <w:jc w:val="center"/>
        <w:rPr>
          <w:rFonts w:ascii="华文中宋" w:hAnsi="华文中宋" w:eastAsia="华文中宋" w:cs="宋体"/>
          <w:b/>
          <w:kern w:val="0"/>
          <w:sz w:val="52"/>
          <w:szCs w:val="52"/>
        </w:rPr>
      </w:pPr>
    </w:p>
    <w:p w14:paraId="1C30466F">
      <w:pPr>
        <w:spacing w:line="570" w:lineRule="exact"/>
        <w:rPr>
          <w:rFonts w:ascii="华文中宋" w:hAnsi="华文中宋" w:eastAsia="华文中宋" w:cs="宋体"/>
          <w:b/>
          <w:kern w:val="0"/>
          <w:sz w:val="52"/>
          <w:szCs w:val="52"/>
        </w:rPr>
      </w:pPr>
    </w:p>
    <w:p w14:paraId="748BE084">
      <w:pPr>
        <w:spacing w:line="570" w:lineRule="exact"/>
        <w:jc w:val="center"/>
        <w:rPr>
          <w:rFonts w:ascii="华文中宋" w:hAnsi="华文中宋" w:eastAsia="华文中宋" w:cs="宋体"/>
          <w:b/>
          <w:kern w:val="0"/>
          <w:sz w:val="52"/>
          <w:szCs w:val="52"/>
        </w:rPr>
      </w:pPr>
    </w:p>
    <w:p w14:paraId="0356B5AD">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3BBFE024">
      <w:pPr>
        <w:spacing w:line="570" w:lineRule="exact"/>
        <w:jc w:val="center"/>
        <w:rPr>
          <w:rFonts w:ascii="华文中宋" w:hAnsi="华文中宋" w:eastAsia="华文中宋" w:cs="宋体"/>
          <w:b/>
          <w:kern w:val="0"/>
          <w:sz w:val="52"/>
          <w:szCs w:val="52"/>
        </w:rPr>
      </w:pPr>
    </w:p>
    <w:p w14:paraId="6AE8A3D1">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CD9C7C1">
      <w:pPr>
        <w:spacing w:line="570" w:lineRule="exact"/>
        <w:jc w:val="center"/>
        <w:rPr>
          <w:rFonts w:hAnsi="宋体" w:eastAsia="仿宋_GB2312" w:cs="宋体"/>
          <w:kern w:val="0"/>
          <w:sz w:val="30"/>
          <w:szCs w:val="30"/>
        </w:rPr>
      </w:pPr>
    </w:p>
    <w:p w14:paraId="73E87DD4">
      <w:pPr>
        <w:spacing w:line="570" w:lineRule="exact"/>
        <w:jc w:val="center"/>
        <w:rPr>
          <w:rFonts w:hAnsi="宋体" w:eastAsia="仿宋_GB2312" w:cs="宋体"/>
          <w:kern w:val="0"/>
          <w:sz w:val="30"/>
          <w:szCs w:val="30"/>
        </w:rPr>
      </w:pPr>
    </w:p>
    <w:p w14:paraId="74A68064">
      <w:pPr>
        <w:spacing w:line="570" w:lineRule="exact"/>
        <w:jc w:val="center"/>
        <w:rPr>
          <w:rFonts w:hAnsi="宋体" w:eastAsia="仿宋_GB2312" w:cs="宋体"/>
          <w:kern w:val="0"/>
          <w:sz w:val="30"/>
          <w:szCs w:val="30"/>
        </w:rPr>
      </w:pPr>
    </w:p>
    <w:p w14:paraId="7A91A78C">
      <w:pPr>
        <w:spacing w:line="570" w:lineRule="exact"/>
        <w:jc w:val="center"/>
        <w:rPr>
          <w:rFonts w:hAnsi="宋体" w:eastAsia="仿宋_GB2312" w:cs="宋体"/>
          <w:kern w:val="0"/>
          <w:sz w:val="30"/>
          <w:szCs w:val="30"/>
        </w:rPr>
      </w:pPr>
    </w:p>
    <w:p w14:paraId="7ABA4CCB">
      <w:pPr>
        <w:spacing w:line="570" w:lineRule="exact"/>
        <w:jc w:val="center"/>
        <w:rPr>
          <w:rFonts w:hAnsi="宋体" w:eastAsia="仿宋_GB2312" w:cs="宋体"/>
          <w:kern w:val="0"/>
          <w:sz w:val="30"/>
          <w:szCs w:val="30"/>
        </w:rPr>
      </w:pPr>
    </w:p>
    <w:p w14:paraId="28EF8B5A">
      <w:pPr>
        <w:spacing w:line="570" w:lineRule="exact"/>
        <w:jc w:val="center"/>
        <w:rPr>
          <w:rFonts w:hAnsi="宋体" w:eastAsia="仿宋_GB2312" w:cs="宋体"/>
          <w:kern w:val="0"/>
          <w:sz w:val="30"/>
          <w:szCs w:val="30"/>
        </w:rPr>
      </w:pPr>
    </w:p>
    <w:p w14:paraId="21F0C49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2023年度高校毕业生“三支一扶”计划中央财政补助资金</w:t>
      </w:r>
    </w:p>
    <w:p w14:paraId="6C1EEBF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克孜勒苏柯尔克孜自治州人力资源和社会保障局</w:t>
      </w:r>
    </w:p>
    <w:p w14:paraId="2F7E8F52">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克州人民政府</w:t>
      </w:r>
    </w:p>
    <w:p w14:paraId="7C0BAD9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凯沙尔·尼加提</w:t>
      </w:r>
    </w:p>
    <w:p w14:paraId="6B2CE9FF">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2024年04月17日</w:t>
      </w:r>
    </w:p>
    <w:p w14:paraId="27DD0C3D">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131AA63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C9CE8C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887E06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三支一扶”项目实施前期、过程及效果，评价财政预算资金使用的效率及效益。“三支一扶”计划，是指大学生在毕业后到农村基层从事支农、支教、支医和扶贫工作。计划的政策依据是国家人事部2006年颁布的第16号文件《关于组织开展高校毕业生到农村基层从事支教、支农、支医和扶贫工作的通知》，其目的在于为高校毕业生向基层单位落实就业问题提供具体的指导和保障。每年招募一定名额的大学生派遣到三县一市从事为期2年的基础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文件要求，组织实施“三支一扶”计划所需经费由中央财政和地方财政共同负担。中央财政对招募计划内“三支一扶”人员的部分工作生活补贴和参加社会保险等费用，以及一次性安家费、开展专项培训的费用给予适当补助。中央财政对地方安排的“三支一扶”人员给予工作生活补贴每人每年4万元（南疆四地州），给予每名新招募且在岗服务满6个月的“三支一扶”人员一次性安家费3000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项目资金到位情况分析：资金全部到位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项目资金使用情况分析：资金主要用于大学生生活工作补贴、安家费等。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项目管理情况分析：对每名在岗大学生，我们都全程服务和管理，每个月初及时发放生活、工作补贴，一旦有人辞职，下个月起停发补贴待遇。3.项目实施主体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州党委办公室、自治州人民政府办公室《关于印发克孜勒苏柯尔克孜自治州人力资源和社会保障局职能配置、内设机构和人员编制规定的通知》（克党室字〔2019〕39号）文件精神，克州人社局内设行政科室8个，核定行政编制19名；局属参公科室1个，核定参公编制3名；局属事业科室5个，核定事业编制20个；机关工勤事业编制2个；下属事业单位1个，内设科室5个，核定事业编制21个；下属参公事业单位1个，内设科室6个，核定参公编制27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下达2022年高校毕业生“三支一扶”计划中央财政补助资金的通知》（克财社〔2022〕93号）安排下达中央转移支付资金48万元、《关于提前下达2023年高校毕业生“三支一扶”计划中央财政补助资金预算的通知》（克财社〔2022〕89号）安排下达中央转移支付资金874万元，最终确定项目资金总数为922万元。其中：中央财政拨款922万元，自治区财政拨款0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截至2023年12月31日，实际支出922万元，预算执行率100%。</w:t>
      </w:r>
    </w:p>
    <w:p w14:paraId="5BA833C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39D4DF0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2023年度招募高校毕业生“三支一扶”152人，按程序完成自治区下达的招募计划，按照定足额发放“三支一扶”人员生活补贴、一次性安家费等补贴。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“实际发放人数”指标，预期指标值为=152人；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“享受一次性安家费人员数量”指标，预期指标值为=152人；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“工作生活补贴发放准确率”指标，预期指标值为&gt;=95%；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“一次性安家费发放准确率”指标，预期指标值为&gt;=95%。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“三支一扶”人员适岗率（%）”指标，预期指标值为=100%。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“工作生活补贴人均标准”指标，预期指标值为南疆四地州=4万元/人/年；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“一次性安家费人均补贴标准”指标，预期指标值为服务期满0.30万元/人；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“三支一扶”人员到岗率”指标，预期指标值为=100%；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“期满人员证书发放率”指标，预期指标值为=100%；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“老年生活补助政策知晓率（%）”指标，预期指标值为≥80%。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“三支一扶”人员及基层服务单位的满意度（%）”指标，预期指标值为≥95%。</w:t>
      </w:r>
    </w:p>
    <w:p w14:paraId="04FEE60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3EDB8F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C81C85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0228718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E2052F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三支一扶”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B20DA5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483304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凯沙尔·尼加提任评价组组长，职务为副局长，绩效评价工作职责为负责全盘工作。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李杨任评价组副组长，绩效评价工作职责为对项目实施情况进行实地调查。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李川任评价组成员，绩效评价工作职责为负责资料审核等工作。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3186C74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D1A313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三支一扶”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围绕实施乡村振兴战略，以培养党和国家事业发展需要的基层人才为根本，为基层输送和培养一批急需紧缺的管理人才、专业人才和创新创业人才，鼓励高校毕业生到基层干事创业，造就一支扎根基层、奉献基层的支教、支农、支医和帮扶乡村振兴的服务队伍。</w:t>
      </w:r>
    </w:p>
    <w:p w14:paraId="517384B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4141DF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A6B6D2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关于做好2023年自治区高校毕业生“三支一扶”计划实施工作的通知》（新人社函〔2023〕201号）、《关于下达2022年高校毕业生“三支一扶”计划中央财政补助资金的通知》（克财社〔2022〕93号）、《关于提前下达2023年高校毕业生“三支一扶”计划中央财政补助资金预算的通知》（克财社〔2022〕89号）并结合克州人力资源和社会保障局职责组织实施。围绕克州人力资源和社会保障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人力资源和社会保障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（5）预算编制科学性：按照4万元/人/年的标准给予工作生活补贴，对服务期满6个月以上给予一次性安家费，实际完成内容与项目内容匹配，项目投资额与工作任务相匹配，根据评分标准，该指标不扣分，得5分。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做好2023年自治区高校毕业生“三支一扶”计划实施工作的通知》（新人社函〔2023〕201号）、《关于下达2022年高校毕业生“三支一扶”计划中央财政补助资金的通知》（克财社〔2022〕93号）、《关于提前下达2023年高校毕业生“三支一扶”计划中央财政补助资金预算的通知》（克财社〔2022〕89号）等文件要求，对南疆四地州的“三支一扶”人员按每人每年4万元的标准作为工作生活补贴，全面落实“三支一扶”人员社会保险补贴、购买人身意外伤害保险等政策，对新招募且在岗服务满6个月的“三支一扶”人员，给予一次性安家费3000元，资金分配与实际相适应，根据评分标准，该指标不扣分，得5分。</w:t>
      </w:r>
    </w:p>
    <w:p w14:paraId="064F11A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DDE953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（1）资金到位率：该项目总投资922万元，中央拨款实际下达经费922万元，其中当年财政拨款922万元，上年结转资金0万元，财政资金足额拨付到位，根据评分标准，该指标不扣分，得5分。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（2）预算执行率：中央拨款预算金额为922万元，实际下达金额为922万元。截至2022年12月31日，资金执行922万元，资金执行率100.00%。项目资金支出总体能够按照预算执行，根据评分标准，该指标不扣分，得5分。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关于做好2023年自治区高校毕业生“三支一扶”计划实施工作的通知》（新人社函〔2023〕201号）、《关于下达2022年高校毕业生“三支一扶”计划中央财政补助资金的通知》（克财社〔2022〕93号）、《关于提前下达2023年高校毕业生“三支一扶”计划中央财政补助资金预算的通知》（克财社〔2022〕89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人力资源和社会保障局财务制度》及“三支一扶”补助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9B5F98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000953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项目产出类指标包括产出数量、产出质量、产出时效、产出成本四方面的内容，由8个三级指标构成，权重分为40分，实际得分40分，得分率为100%。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当年实际新招募人数152人，与预期目标一致，根据评分标准，该指标不扣分，得5分。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享受一次性安家费人员数量152人，与预期目标一致，根据评分标准，该指标不扣分，得5分。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工作生活补贴发放准确率95%，与预期目标一致，根据评分标准，该指标不扣分，得3分。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一次性安家费发放准确率95%，与预期目标一致，根据评分标准，该指标不扣分，得3分。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“三支一扶”人员适岗率100%，与预期目标一致，根据评分标准，该指标不扣分，得4分。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资金发放及时率100%，与预期目标指标一致，根据评分标准，该指标不扣分，得10分。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工作生活补贴人均标准南疆四地州4万元/人/年，与预期目标一致，根据评分标准，该指标不扣分，得5分。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一次性安家费人均补贴标准0.3万元/人，与预期目标一致，根据评分标准，该指标不扣分，得5分。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7299F8D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20136EF7">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项目效益类指标包括项目效益1个方面的内容，由4个三级指标构成，权重分为20分，实际得分20分，得分率为100%。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“三支一扶”人员到岗率100%，与预期指标一致，根据评分标准，该指标不扣分，得5分。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期满人员证书发放率100%，与预期指标一致，根据评分标准，该指标不扣分，得5分。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对于满意度指标：老年生活补助政策知晓率95%，根据评分标准，该指标不扣分，得5分。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对于满意度指标：“三支一扶”人员及基层服务单位的满意度95%，根据评分标准，该指标不扣分，得5分。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满意度合计10分</w:t>
      </w:r>
    </w:p>
    <w:p w14:paraId="3825886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7D33721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依托“三支一扶”人员管理平台，加强人员管理，平时通过走访、慰问等形式与“三支一扶”人员进行工作、学习和生活等方面的交流，对工作中遇到的困惑和疑难问题，都及时处理。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本次项目绩效评价受制于项目选择、经验积累等因素，也存在一些不足，正确认识和分析这些不足，有利于今后更好开展绩效评价工作。</w:t>
      </w:r>
    </w:p>
    <w:p w14:paraId="648A8B3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5E33FA2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1、为留住基层服务人员，</w:t>
      </w:r>
      <w:r>
        <w:rPr>
          <w:rStyle w:val="18"/>
          <w:rFonts w:hint="eastAsia" w:ascii="仿宋" w:hAnsi="仿宋" w:eastAsia="仿宋" w:cs="仿宋"/>
          <w:b w:val="0"/>
          <w:bCs w:val="0"/>
          <w:spacing w:val="-4"/>
          <w:sz w:val="32"/>
          <w:szCs w:val="32"/>
          <w:lang w:eastAsia="zh-CN"/>
        </w:rPr>
        <w:t>更好地为</w:t>
      </w:r>
      <w:r>
        <w:rPr>
          <w:rStyle w:val="18"/>
          <w:rFonts w:hint="eastAsia" w:ascii="仿宋" w:hAnsi="仿宋" w:eastAsia="仿宋" w:cs="仿宋"/>
          <w:b w:val="0"/>
          <w:bCs w:val="0"/>
          <w:spacing w:val="-4"/>
          <w:sz w:val="32"/>
          <w:szCs w:val="32"/>
        </w:rPr>
        <w:t>基层服务，使支扶大学生得到更好地锻炼，建议将三支一扶两年服务期适当延长至三年。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2、为提高“三支一扶”大学生的待遇，建议参照其他项目的福利待遇给其计发，给予“三支一扶”大学生缴纳公积金。</w:t>
      </w:r>
    </w:p>
    <w:p w14:paraId="5644DC3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7FEEBD6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EF769E7">
        <w:pPr>
          <w:pStyle w:val="12"/>
          <w:jc w:val="center"/>
        </w:pPr>
        <w:r>
          <w:fldChar w:fldCharType="begin"/>
        </w:r>
        <w:r>
          <w:instrText xml:space="preserve">PAGE   \* MERGEFORMAT</w:instrText>
        </w:r>
        <w:r>
          <w:fldChar w:fldCharType="separate"/>
        </w:r>
        <w:r>
          <w:rPr>
            <w:lang w:val="zh-CN"/>
          </w:rPr>
          <w:t>1</w:t>
        </w:r>
        <w:r>
          <w:fldChar w:fldCharType="end"/>
        </w:r>
      </w:p>
    </w:sdtContent>
  </w:sdt>
  <w:p w14:paraId="41E2B98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B6463B9"/>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21</Pages>
  <Words>7458</Words>
  <Characters>7786</Characters>
  <Lines>5</Lines>
  <Paragraphs>1</Paragraphs>
  <TotalTime>40</TotalTime>
  <ScaleCrop>false</ScaleCrop>
  <LinksUpToDate>false</LinksUpToDate>
  <CharactersWithSpaces>8050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2024-11-28T10:21:36Z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C13AE279B88D4606A43FCFED83BC13F9_12</vt:lpwstr>
  </property>
</Properties>
</file>