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2023单位资金收入项目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克孜勒苏柯尔克孜自治州驻乌鲁木齐第二干休所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克州党委老干部局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王文波</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单位资金收入项目实施前期、过程及效果，评价单位资金使用的效率及效益。根据自治州“十四五”规划及克州驻乌第二干休所工作需要，按自治区、自治州党委、政府的工作要求，经自治州党委、人民政府同意，由克州驻乌第二干休所结合本单位工作管理职能、以及本单位工作管理职责，根据本单位2023年单位资金收入和使用的范围，按照年度工作计划，用于所内聘用人员的工资、保险、福利支出、车辆运行费、办公费、水电费缴纳、清洁用品和劳保用品购买、公共场所及设施的维修维护、退个人地下车位、党建及老干部活动支出等，通过该项目的实施，加强改善老干部活动场所环境，保障各项活动安全开展和干休所工作正常运行。 </w:t>
        <w:br/>
        <w:t>　　2.主要内容及实施情况</w:t>
        <w:br/>
        <w:t>　　（1）主要内容</w:t>
        <w:br/>
        <w:t>　　该项目资金为2023年单位资金收入。主要用于干休所内聘用人员的工资、保险、福利支出、车辆运行费、办公费、水电费缴纳、清洁用品和劳保用品购买、公共场所及设施的维修维护、退个人地下车位、党建及老干部活动支出等，该项目的实施，加强改善了老干部活动场所环境，保障了各项活动安全开展和干休所工作正常运行。 </w:t>
        <w:br/>
        <w:t>　　（2）实施情况</w:t>
        <w:br/>
        <w:t>　　该项目负责落实克州驻乌鲁木齐老干部公用周转房的管理与服务，负责老干部家庭水、电、燃气等设施维修服务，做好干休所院内安全、卫生、美化、亮化管理工作，为老干部营造一信良好、安全居住环境，组织老干部开展各种有益身心健康的文化娱乐活动和体育健身活动，就近参观经济建设。</w:t>
        <w:br/>
        <w:t>　　3.项目实施主体</w:t>
        <w:br/>
        <w:t>　　该项目由克孜勒苏柯尔克孜自治州驻乌鲁木齐第二干休所实施，为事业单位，编制人数3人，实有在职人数3人，其中：事业在职2人、行政工勤1人，主要职能是：</w:t>
        <w:br/>
        <w:t>　　该项目由克孜勒苏柯尔克孜自治州驻乌鲁木齐第二干休所实施，内设0个科室，主要职能是：</w:t>
        <w:br/>
        <w:t>　　负责克州驻乌鲁木齐老干部公用周转房的管理与服务，及时传达中央、国务院和区州党委政府有关重要会议精神。</w:t>
        <w:br/>
        <w:t>　　负责做好干休所院内安全、卫生、美化、亮化管理工作，为老干部营造一信良好、安全居住环境。</w:t>
        <w:br/>
        <w:t>　　负责老干部家庭水、电、燃气等设施维修服务，为老干部就医、统一组织活动和其他必要的出行提供用车服务。</w:t>
        <w:br/>
        <w:t>　　负责组织老干部开展形式多样、积极健康的室内外文化娱乐活动。</w:t>
        <w:br/>
        <w:t>　　协助做好老干部医疗保健工作、为住所退休老干部安度晚年提供良好的服务和生活环境。</w:t>
        <w:br/>
        <w:t>　　3.资金投入和使用情况</w:t>
        <w:br/>
        <w:t>　　克财预【2023】1号文本年度安排下达资金96.49万元，为单位事业收入资金，最终确定项目资金总数为96.49万元。其中：事业收入96.49万元。</w:t>
        <w:br/>
        <w:t>　　截至2023年12月31日，实际支出96.49万元，预算执行率100%。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主要用于2023年干休所内聘用人员的工资、保险、福利支出、车辆运行费、办公费、水电费缴纳、清洁用品和劳保用品购买、公共场所及设施的维修维护、退个人地下车位、党建及老干部活动支出等。通过该项目的实施，加强改善老干部活动场所环境，保障各项活动安全开展和干休所工作正常运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“聘用人员人数（人）”指标，预期指标值为≥13人；</w:t>
        <w:br/>
        <w:t>　　“公务车数量（辆）”指标，预期指标值为≥1辆；</w:t>
        <w:br/>
        <w:t>　　“办公费、清洁劳保用品购买（次）”指标，预期指标值为≥4次；</w:t>
        <w:br/>
        <w:t>　　“水、电费缴费次数（次）”指标，预期指标值为≥12次；</w:t>
        <w:br/>
        <w:t>　　“公共场所及设施维修维护次数（次）”指标，预期指标值为≥10次；</w:t>
        <w:br/>
        <w:t>　　“退地下车位人数（人）”指标，预期指标值为≥1人；</w:t>
        <w:br/>
        <w:t>　　“党建及老干部活动次数（次）”指标，预期指标值为≥8次；</w:t>
        <w:br/>
        <w:t>　　②质量指标</w:t>
        <w:br/>
        <w:t>　　“资金使用合规率（%）”指标，预期指标值为=100%；</w:t>
        <w:br/>
        <w:t>　　“公共场所及设施维修维护质量验收合格率（%）”指标，预期指标值为=100%；</w:t>
        <w:br/>
        <w:t>　　③时效指标</w:t>
        <w:br/>
        <w:t>　　“聘用人员工资发放及时率（%）”指标，预期指标值为=100%。</w:t>
        <w:br/>
        <w:t>　　“党建活动完成及时率（%）”指标，预期指标值为=100%。</w:t>
        <w:br/>
        <w:t>　　④成本指标</w:t>
        <w:br/>
        <w:t>　　“聘用人员工资、保险、福利支出（万元）”指标，预期指标值为≤54.71万元；</w:t>
        <w:br/>
        <w:t>　　“车辆运行费用（万元）”指标，预期指标值为≤1.18万元；</w:t>
        <w:br/>
        <w:t>　　“办公费、水电费、清洁劳保用品费（万元）”指标，预期指标值为≤28.28万元。</w:t>
        <w:br/>
        <w:t>　　“公共场所及设施维修维护费（万元）”指标，预期指标值为≤5.32万元。</w:t>
        <w:br/>
        <w:t>　　“退地下车位款（万元）”指标，预期指标值为≤5万元。</w:t>
        <w:br/>
        <w:t>　　“党建及老干部活动支出（万元）”指标，预期指标值为≤2万元。</w:t>
        <w:br/>
        <w:t>　　（2）项目效益目标</w:t>
        <w:br/>
        <w:t>　　①经济效益指标</w:t>
        <w:br/>
        <w:t>　　无</w:t>
        <w:br/>
        <w:t>　　②社会效益指标</w:t>
        <w:br/>
        <w:t>　　“提高聘用人员服务能力”指标，预期指标值为有效提高；</w:t>
        <w:br/>
        <w:t>　　“改善老干部居住及活动场所环境 ”指标，预期指标值为有效提高；</w:t>
        <w:br/>
        <w:t>　　③生态效益指标</w:t>
        <w:br/>
        <w:t>　　无</w:t>
        <w:br/>
        <w:t>　　④满意度指标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运转及维修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王文波，任评价组组长，职务为干休所所长，绩效评价工作职责为负责全盘工作。</w:t>
        <w:br/>
        <w:t>　　彭暄译，任评价组副组长，绩效评价工作职责为对项目实施情况进行实地调查。</w:t>
        <w:br/>
        <w:t>　　常瑞芳、张娟娟，任评价组成员，绩效评价工作职责为负责资料审核等工作。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单位资金收入”项目绩效进行客观公正的评价，本项目总得分为100分，绩效评级属于“优”。其中，决策类指标得分20分，过程类指标得分20分，产出类指标得分40分，效益类指标得20分。</w:t>
        <w:br/>
        <w:t>　　（二）综合评价结论</w:t>
        <w:br/>
        <w:t xml:space="preserve">　　经评价，本项目达到了年初设立的绩效目标，在实施过程中取得了良好的成效，具体表现在：克州驻乌鲁木齐第二干休所已完成2023年单位资金收入项目，对所内聘用人员的工资、保险、福利支出、车辆运行费、办公费、水电费缴纳、清洁用品和劳保用品购买、公共场所及设施的维修维护、退个人地下车位、党建及老干部活动支出等。通过该项目的实施，加强改善老干部活动场所环境，保障各项活动安全开展和干休所工作正常运行。 </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（1）立项依据充分性：结合克州驻乌鲁木齐第二干休所职责，并组织实施。围绕克州驻乌鲁木齐第二干休所年度工作重点和工作计划制定经费预算，根据评分标准，该指标不扣分，得3分。</w:t>
        <w:br/>
        <w:t>　　（2）立项程序规范性：根据决策依据编制工作计划和经费预算，经过与所领导进行沟通、筛选确定经费预算计划，上内部控制领导小组会议研究确定最终预算方案，根据评分标准，该指标不扣分，得2分。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（6）资金分配合理性：资金分配年初计划实施，资金分配与实际相适应，根据评分标准，该指标不扣分，得5分。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（1）资金到位率：该项目总投资96.49万元万元，为单位资金收入96.49万元万元，其中当年单位资金收入96.49万元，上年结转资金0万元，根据评分标准，该指标不扣分，得5分。   </w:t>
        <w:br/>
        <w:t>　　（2）预算执行率：本项目预算金额为96.49万元，实际金额为96.49万元。截至2023年12月31日，资金执行96.49万元，资金执行率100%。项目资金支出总体能够按照预算执行，根据评分标准，该指标不扣分，得5分。</w:t>
        <w:br/>
        <w:t>　　（3）资金使用合规性：制定了相关的制度和管理规定对经费使用进行规范管理，财务制度健全、执行严格，根据评分标准，该指标不扣分，得5分。</w:t>
        <w:br/>
        <w:t>　　（4）管理制度健全性：制定了克州驻乌鲁木齐第二干休所相关管理办法，对项目资金进行严格管理，基本做到了专款专用，根据评分标准，该指标不扣分，得2分。</w:t>
        <w:br/>
        <w:t>　　（5）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项目产出类指标包括产出数量、产出质量、产出时效、产出成本四方面的内容，由17个三级指标构成，权重分为40分，实际得分40分，得分率为100%。</w:t>
        <w:br/>
        <w:t>　　（1）对于“产出数量”</w:t>
        <w:br/>
        <w:t>　　聘用人员人数13次，与预期目标一致，根据评分标准，该指标不扣分，得2分。</w:t>
        <w:br/>
        <w:t>　　公务车数量1辆，与预期目标一致，根据评分标准，该指标不扣分，得1分。</w:t>
        <w:br/>
        <w:t>　　办公费、清洁劳保用品购买4次，与预期目标一致，根据评分标准，该指标不扣分，得1分。</w:t>
        <w:br/>
        <w:t>　　水、电费缴费次数12次，与预期目标一致，根据评分标准，该指标不扣分，得2分。</w:t>
        <w:br/>
        <w:t>　　公共场所及设施维修维护次数10次，与预期目标一致，根据评分标准，该指标不扣分，得2分。</w:t>
        <w:br/>
        <w:t>　　退地下车位人数1人，与预期目标一致，根据评分标准，该指标不扣分，得1分。</w:t>
        <w:br/>
        <w:t>　　党建及老干部活动次数8次，与预期目标一致，根据评分标准，该指标不扣分，得1分。</w:t>
        <w:br/>
        <w:t>　　合计得10分。</w:t>
        <w:br/>
        <w:t>　　（2）对于“产出质量”：</w:t>
        <w:br/>
        <w:t>　　资金使用合规率=100%，与预期目标一致，根据评分标准，该指标不扣分，得5分。</w:t>
        <w:br/>
        <w:t>　　公共场所及设施维修维护验收合格率=100%，与预期目标一致，根据评分标准，该指标不扣分，得5分。</w:t>
        <w:br/>
        <w:t>　　合计得10分</w:t>
        <w:br/>
        <w:t>　　（3）对于“产出时效”：</w:t>
        <w:br/>
        <w:t>　　聘用人员工资发放及时率100%，与预期目标一致，根据评分标准，该指标不扣分，得5分。</w:t>
        <w:br/>
        <w:t>　　党建及老干部活动完成及时率100%，与预期目标一致，根据评分标准，该指标不扣分，得5分。</w:t>
        <w:br/>
        <w:t>　　合计得10分</w:t>
        <w:br/>
        <w:t>　　（4）对于“产出成本”：</w:t>
        <w:br/>
        <w:t>　　聘用人员工资、保险、福利支出54.71万元，与预期目标一致，根据评分标准，该指标不扣分，得3分。</w:t>
        <w:br/>
        <w:t>　　车辆运行费用1.18万元，与预期目标一致，根据评分标准，该指标不扣分，得1分。</w:t>
        <w:br/>
        <w:t>　　办公费、水电费、清洁劳保用品费28.28万元，与预期目标一致，根据评分标准，该指标不扣分，得3分。</w:t>
        <w:br/>
        <w:t>　　公共场所及设施维修维护费5.32万元，与预期目标一致，根据评分标准，该指标不扣分，得1分。</w:t>
        <w:br/>
        <w:t>　　退地下车位款5万元，与预期目标一致，根据评分标准，该指标不扣分，得1分。</w:t>
        <w:br/>
        <w:t>　　党建及老干部活动支出2万元，与预期目标一致，根据评分标准，该指标不扣分，得1分。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提高聘用人员服务能力，与预期指标一致，根据评分标准，该指标不扣分，得5分。</w:t>
        <w:br/>
        <w:t>　　改善老干部居住及活动场所环境 ， 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对于满意度指标：受益离退休老干部满意度95%，与预期目标一致，根据评分标准，该指标不扣分，得10分。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二是加强组织领导，本项目绩效评价工作，由局领导亲自挂帅，分管所领导具体负责，从项目到资金，均能很好的执行。</w:t>
        <w:br/>
        <w:t>　　三是加强沟通协调，我单位及时向局领导汇报项目建设进度，加强与实施单位的沟通，确保项目按期完工。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