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大型机械驾驶培训收入、各项考试费收入及房屋租金收入项目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克孜勒苏职业技术学院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江全清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大型机械驾驶培训收入、各项考试费收入及房屋租金收入项目实施前期、过程及效果，评价财政预算资金使用的效率及效益。根据自治州“十四五”规划及教育行业发展需要，经自治州党委、人民政府同意，为树立科学发展观，明确学院办学方向，加快发展步伐，创立特色品牌学院，结合本单位教育教学方面管理职能、各系部、处室方面工作职责，按照年度工作计划，开展大型机械驾驶培训收入、考试培训费收入及房租收入经费项目。</w:t>
        <w:br/>
        <w:t>　　2.主要内容及实施情况</w:t>
        <w:br/>
        <w:t>　　（1）主要内容</w:t>
        <w:br/>
        <w:t>　　大型机械驾驶培训收入、各项考试费收入及房屋租金收入项目本年度安排下达资金300万元，主要用于学校公用经费，学校教师招生的差旅费；大型车辆租赁费；付挖掘机代课费；建筑工培训耗材费等费用，通过该项目的实施保障培训工作正常进行。</w:t>
        <w:br/>
        <w:t>　　（2）实施情况</w:t>
        <w:br/>
        <w:t>　　在上一年度中，对大型机械驾驶培训收入、各项考试费收入及房屋租金收入项目进行了系统化管理，开展招生活动次数约30次、聘请授课教师及其他授课教师人数32人、租赁大型机械车6辆、车辆维修8次、购买培训材料10批次等，达到使培训人员早日进入专业领域，接受浓郁的学术和技术氛围，对社会就业产生积极的效果；达到学院项目和经费来源多渠道、多样化，保证学校正常开展教学和公务活动。</w:t>
        <w:br/>
        <w:t>　　3.项目实施主体</w:t>
        <w:br/>
        <w:t>　　该项目由克孜勒苏职业技术学院单位实施，内设17个科室，分别是：办公室、组织人事科、宣传部、财务（资产）管理处、学生处（资助中心）、后勤管理处、安全保卫处、农经工程系、医护工程系、工业工程系、教育艺术系、文化旅游系、公共基础部、继续教育部、教务处、招生就业指导中心、图文信息中心。</w:t>
        <w:br/>
        <w:t>　　4.资金投入和使用情况</w:t>
        <w:br/>
        <w:t>　　克财预【2023】1号文本年度安排下达资金300万元，为本级财力安排资金，最终确定项目资金总数为300万元。其中：中央财政拨款0万元，自治区财政拨款0万元，本级财政拨款300万元，上年结余0万元。</w:t>
        <w:br/>
        <w:t>　　截至2023年12月31日，实际支出300万元，预算执行率100%。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主要用于学校公用经费，学校教师招生的差旅费；大型车辆租赁费；付挖掘机代课费；建筑工培训耗材费等费用。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“学院外聘人员跟公益性岗位人数（人）”指标，预期指标值为&gt;=63人；</w:t>
        <w:br/>
        <w:t>　　“学院教练车跟公务车维修次数（次）”指标，预期指标值为&gt;=3次；</w:t>
        <w:br/>
        <w:t>　　“付北山坡电费等其他商品与服务支出次数（次）”指标，预期指标值为&gt;=15次。</w:t>
        <w:br/>
        <w:t>　　②质量指标</w:t>
        <w:br/>
        <w:t>　　“资金支付合规率（%）”指标，预期指标值为=100%。</w:t>
        <w:br/>
        <w:t>　　③时效指标</w:t>
        <w:br/>
        <w:t>　　“外聘人员工资发放及时率（%）”指标，预期指标值为=100%。</w:t>
        <w:br/>
        <w:t>　　④成本指标</w:t>
        <w:br/>
        <w:t>　　“付学院外聘人员跟公益性岗位等劳务费（万元）”指标，预期指标值为&lt;=200万元；</w:t>
        <w:br/>
        <w:t>　　“付学院教练车跟公务车维修维护费（万元）”指标，预期指标值为&lt;=60万元；</w:t>
        <w:br/>
        <w:t>　　“付北山坡电费等其他商品与服务支出费（万元）”指标，预期指标值为&lt;=40万元。</w:t>
        <w:br/>
        <w:t>　　（2）项目效益目标</w:t>
        <w:br/>
        <w:t>　　①经济效益指标</w:t>
        <w:br/>
        <w:t>　　无</w:t>
        <w:br/>
        <w:t>　　②社会效益指标</w:t>
        <w:br/>
        <w:t>　　“减轻学校运转压力”指标，预期指标值为有效减轻。</w:t>
        <w:br/>
        <w:t>　　③生态效益指标</w:t>
        <w:br/>
        <w:t>　　无</w:t>
        <w:br/>
        <w:t>　　④满意度指标</w:t>
        <w:br/>
        <w:t>　　“受益人员满意度(%)”指标，预期指标值为&gt;=95%。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大型机械驾驶培训收入、各项考试费收入及房屋租金收入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江全清任评价组组长，职务为副局长，绩效评价工作职责为负责全盘工作。</w:t>
        <w:br/>
        <w:t>　　苗婧任评价组副组长，绩效评价工作职责为对项目实施情况进行实地调查。</w:t>
        <w:br/>
        <w:t>　　阿依加玛丽·阿力曼别提任评价组成员，绩效评价工作职责为负责资料审核等工作。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大型机械驾驶培训收入、各项考试费收入及房屋租金收入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开展招生活动次数约30次、聘请授课教师及其他授课教师人数32人、租赁大型机械车6辆、车辆维修8次、购买培训材料10批次等，达到使培训人员早日进入专业领域，接受浓郁的学术和技术氛围，对社会就业产生积极的效果；达到学院项目和经费来源多渠道、多样化，保证学校正常开展教学和公务活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（1）立项依据充分性：克财预【2023】1号等文件并结合克孜勒苏职业技术学院职责组织实施。围绕克孜勒苏职业技术学院年度工作重点和工作计划制定经费预算，根据评分标准，该指标不扣分，得3分。</w:t>
        <w:br/>
        <w:t>　　（2）立项程序规范性：根据决策依据编制工作计划和经费预算，经过与克孜勒苏职业技术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（5）预算编制科学性：根据相关文件要求，实际完成内容与项目内容匹配，项目投资额与工作任务相匹配，根据评分标准，该指标不扣分，得5分。</w:t>
        <w:br/>
        <w:t>　　（6）资金分配合理性：资金分配按照相关文件要求，资金分配与实际相适应，根据评分标准，该指标不扣分，得5分。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（1）资金到位率：该项目总投资300万元，克州财政局实际下达经费300万元，其中当年财政拨款300万元，上年结转资金0万元，财政资金足额拨付到位，根据评分标准，该指标不扣分，得5分。   </w:t>
        <w:br/>
        <w:t>　　（2）预算执行率：本项目申请预算金额为300万元，预算批复实际下达金额为300万元截至2023年12月31日，资金执行300万元，资金执行率100.00%。项目资金支出总体能够按照预算执行，根据评分标准，该指标不扣分，得5分。</w:t>
        <w:br/>
        <w:t>　　（3）资金使用合规性：根据克财预【2023】1号等文件要求，符合预算批复规定用途，不存在截留、挤占、挪用、虚列支出等情况，未发现违规使用情况，根据评分标准，该指标不扣分，得5分。</w:t>
        <w:br/>
        <w:t>　　（4）管理制度健全性：该项目严格按照《克孜勒苏职业技术学院财务管理办法》及相关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学院外聘人员跟公益性岗位人数63人，与预期目标一致，根据评分标准，该指标不扣分，得3分。</w:t>
        <w:br/>
        <w:t>　　学院教练车跟公务车维修3次，与预期目标一致，根据评分标准，该指标不扣分，得3分。</w:t>
        <w:br/>
        <w:t>　　付北山坡电费等其他商品与服务支出15次，与预期目标一致，根据评分标准，该指标不扣分，得4分。</w:t>
        <w:br/>
        <w:t>　　合计得10分。</w:t>
        <w:br/>
        <w:t>　　（2）对于“产出质量”：</w:t>
        <w:br/>
        <w:t>　　资金支付合规率100%，与预期目标一致，根据评分标准，该指标不扣分，得10分。</w:t>
        <w:br/>
        <w:t>　　合计得10分。</w:t>
        <w:br/>
        <w:t>　　（3）对于“产出时效”：</w:t>
        <w:br/>
        <w:t>　　外聘人员工资发放及时率100%，与预期目标一致，根据评分标准，该指标不扣分，得10分。</w:t>
        <w:br/>
        <w:t>　　合计得10分。</w:t>
        <w:br/>
        <w:t>　　（4）对于“产出成本”：</w:t>
        <w:br/>
        <w:t>　　付学院外聘人员跟公益性岗位等劳务费200万元，与预期目标一致，根据评分标准，该指标不扣分，得4分。</w:t>
        <w:br/>
        <w:t>　　付学院教练车跟公务车维修维护费60万元，与预期目标一致，根据评分标准，该指标不扣分，得3分。</w:t>
        <w:br/>
        <w:t>　　付北山坡电费等其他商品与服务支出费40万元，与预期目标一致，根据评分标准，该指标不扣分，得3分。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减轻学校运转压力	，与预期指标一致，根据评分标准，该指标不扣分，得10分。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