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D591B">
      <w:pPr>
        <w:spacing w:line="570" w:lineRule="exact"/>
        <w:jc w:val="center"/>
        <w:rPr>
          <w:rFonts w:ascii="华文中宋" w:hAnsi="华文中宋" w:eastAsia="华文中宋" w:cs="宋体"/>
          <w:b/>
          <w:kern w:val="0"/>
          <w:sz w:val="52"/>
          <w:szCs w:val="52"/>
        </w:rPr>
      </w:pPr>
      <w:bookmarkStart w:id="0" w:name="_GoBack"/>
    </w:p>
    <w:p w14:paraId="3BD2C85F">
      <w:pPr>
        <w:spacing w:line="570" w:lineRule="exact"/>
        <w:jc w:val="center"/>
        <w:rPr>
          <w:rFonts w:ascii="华文中宋" w:hAnsi="华文中宋" w:eastAsia="华文中宋" w:cs="宋体"/>
          <w:b/>
          <w:kern w:val="0"/>
          <w:sz w:val="52"/>
          <w:szCs w:val="52"/>
        </w:rPr>
      </w:pPr>
    </w:p>
    <w:p w14:paraId="6387B87C">
      <w:pPr>
        <w:spacing w:line="570" w:lineRule="exact"/>
        <w:jc w:val="center"/>
        <w:rPr>
          <w:rFonts w:ascii="华文中宋" w:hAnsi="华文中宋" w:eastAsia="华文中宋" w:cs="宋体"/>
          <w:b/>
          <w:kern w:val="0"/>
          <w:sz w:val="52"/>
          <w:szCs w:val="52"/>
        </w:rPr>
      </w:pPr>
    </w:p>
    <w:p w14:paraId="2ACD0DEE">
      <w:pPr>
        <w:spacing w:line="570" w:lineRule="exact"/>
        <w:jc w:val="center"/>
        <w:rPr>
          <w:rFonts w:ascii="华文中宋" w:hAnsi="华文中宋" w:eastAsia="华文中宋" w:cs="宋体"/>
          <w:b/>
          <w:kern w:val="0"/>
          <w:sz w:val="52"/>
          <w:szCs w:val="52"/>
        </w:rPr>
      </w:pPr>
    </w:p>
    <w:p w14:paraId="0E620557">
      <w:pPr>
        <w:spacing w:line="570" w:lineRule="exact"/>
        <w:rPr>
          <w:rFonts w:ascii="华文中宋" w:hAnsi="华文中宋" w:eastAsia="华文中宋" w:cs="宋体"/>
          <w:b/>
          <w:kern w:val="0"/>
          <w:sz w:val="52"/>
          <w:szCs w:val="52"/>
        </w:rPr>
      </w:pPr>
    </w:p>
    <w:p w14:paraId="0D1FBF68">
      <w:pPr>
        <w:spacing w:line="570" w:lineRule="exact"/>
        <w:jc w:val="center"/>
        <w:rPr>
          <w:rFonts w:ascii="华文中宋" w:hAnsi="华文中宋" w:eastAsia="华文中宋" w:cs="宋体"/>
          <w:b/>
          <w:kern w:val="0"/>
          <w:sz w:val="52"/>
          <w:szCs w:val="52"/>
        </w:rPr>
      </w:pPr>
    </w:p>
    <w:p w14:paraId="12F9E286">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01654DF7">
      <w:pPr>
        <w:spacing w:line="570" w:lineRule="exact"/>
        <w:jc w:val="center"/>
        <w:rPr>
          <w:rFonts w:ascii="华文中宋" w:hAnsi="华文中宋" w:eastAsia="华文中宋" w:cs="宋体"/>
          <w:b/>
          <w:kern w:val="0"/>
          <w:sz w:val="52"/>
          <w:szCs w:val="52"/>
        </w:rPr>
      </w:pPr>
    </w:p>
    <w:p w14:paraId="08207AC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4227A83">
      <w:pPr>
        <w:spacing w:line="570" w:lineRule="exact"/>
        <w:jc w:val="center"/>
        <w:rPr>
          <w:rFonts w:hAnsi="宋体" w:eastAsia="仿宋_GB2312" w:cs="宋体"/>
          <w:kern w:val="0"/>
          <w:sz w:val="30"/>
          <w:szCs w:val="30"/>
        </w:rPr>
      </w:pPr>
    </w:p>
    <w:p w14:paraId="4B5AFCFA">
      <w:pPr>
        <w:spacing w:line="570" w:lineRule="exact"/>
        <w:jc w:val="center"/>
        <w:rPr>
          <w:rFonts w:hAnsi="宋体" w:eastAsia="仿宋_GB2312" w:cs="宋体"/>
          <w:kern w:val="0"/>
          <w:sz w:val="30"/>
          <w:szCs w:val="30"/>
        </w:rPr>
      </w:pPr>
    </w:p>
    <w:p w14:paraId="695EBC15">
      <w:pPr>
        <w:spacing w:line="570" w:lineRule="exact"/>
        <w:jc w:val="center"/>
        <w:rPr>
          <w:rFonts w:hAnsi="宋体" w:eastAsia="仿宋_GB2312" w:cs="宋体"/>
          <w:kern w:val="0"/>
          <w:sz w:val="30"/>
          <w:szCs w:val="30"/>
        </w:rPr>
      </w:pPr>
    </w:p>
    <w:p w14:paraId="3A51CB82">
      <w:pPr>
        <w:spacing w:line="570" w:lineRule="exact"/>
        <w:jc w:val="center"/>
        <w:rPr>
          <w:rFonts w:hAnsi="宋体" w:eastAsia="仿宋_GB2312" w:cs="宋体"/>
          <w:kern w:val="0"/>
          <w:sz w:val="30"/>
          <w:szCs w:val="30"/>
        </w:rPr>
      </w:pPr>
    </w:p>
    <w:p w14:paraId="32B60DDB">
      <w:pPr>
        <w:spacing w:line="570" w:lineRule="exact"/>
        <w:jc w:val="center"/>
        <w:rPr>
          <w:rFonts w:hAnsi="宋体" w:eastAsia="仿宋_GB2312" w:cs="宋体"/>
          <w:kern w:val="0"/>
          <w:sz w:val="30"/>
          <w:szCs w:val="30"/>
        </w:rPr>
      </w:pPr>
    </w:p>
    <w:p w14:paraId="70F6F1F6">
      <w:pPr>
        <w:spacing w:line="570" w:lineRule="exact"/>
        <w:jc w:val="center"/>
        <w:rPr>
          <w:rFonts w:hAnsi="宋体" w:eastAsia="仿宋_GB2312" w:cs="宋体"/>
          <w:kern w:val="0"/>
          <w:sz w:val="30"/>
          <w:szCs w:val="30"/>
        </w:rPr>
      </w:pPr>
    </w:p>
    <w:p w14:paraId="52B14ADD">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援疆资金</w:t>
      </w:r>
    </w:p>
    <w:p w14:paraId="16508C9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克孜勒苏柯尔克孜自治州卫生健康委员会</w:t>
      </w:r>
    </w:p>
    <w:p w14:paraId="783B4A96">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克孜勒苏柯尔克孜自治州卫生健康委员会</w:t>
      </w:r>
    </w:p>
    <w:p w14:paraId="7F04CF9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曹英</w:t>
      </w:r>
    </w:p>
    <w:p w14:paraId="1B51A816">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2024年05月13日</w:t>
      </w:r>
    </w:p>
    <w:p w14:paraId="608D985A">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91EDA6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1C3E35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E9D12E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打造“中医药援疆”品牌，以推动中医服务、中药种植加工、中国药文化、康养旅游等方面全方位发展。以克孜勒苏中医医院为支点，向克州周边地区及周边国家推广江西中医药文化，提高江西和克州在周边国家和地区的影响力。响应城市规划理念，顺应城市发展，提升城市品味，改善居民就医环境。以此项目开工建设为契机，在推动高质量内涵式发展的新征程上，为全州各族人民群众提供更加及时、有效、优质的医疗服务，齐心协力为增进人民健康福祉作出新贡献、为推进“健康克州”建设谱写新篇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5000万元，本年度投资1250万元。其中本年财政支出0万元，其他资金1250万元，该项目资金主要用于：克孜勒苏中医医院新院建设项目位于阿图什市棉麻小区附近，占地约66亩，为公共服务设施用地。新院规划总建筑面积约50240平方米，床位500张。该项目为自治区重点援疆项目，由援疆资金投资5000万元，撬动社会资本1.3亿元，建设一所现代化中医医院。项目一期工程由援疆资金5000万元（本年度投入1250万元），用于建设1栋住院楼（建筑面积11400平方米，6层250张床位）及附属配套设施，承建单位为克州卫生健康委员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中医院新院建设项目一期2022年5月完成立项批复，2023年2月完成初设批复，2023年6月26日挂网招标，7月17日招标,7月24日召开定标会，2023年8月1日，项目完成招标工作，出具中标通知书。中标价为：48423533.94元。2023年8月10日，完成建设用地蓝线图。办理完成建设用地规划许可证。2023年8月14日，举行开工奠基仪式，并签定施工合同、监理合同、</w:t>
      </w:r>
      <w:r>
        <w:rPr>
          <w:rStyle w:val="18"/>
          <w:rFonts w:hint="eastAsia" w:ascii="仿宋" w:hAnsi="仿宋" w:eastAsia="仿宋" w:cs="仿宋"/>
          <w:b w:val="0"/>
          <w:bCs w:val="0"/>
          <w:spacing w:val="-4"/>
          <w:sz w:val="32"/>
          <w:szCs w:val="32"/>
          <w:lang w:eastAsia="zh-CN"/>
        </w:rPr>
        <w:t>跟踪</w:t>
      </w:r>
      <w:r>
        <w:rPr>
          <w:rStyle w:val="18"/>
          <w:rFonts w:hint="eastAsia" w:ascii="仿宋" w:hAnsi="仿宋" w:eastAsia="仿宋" w:cs="仿宋"/>
          <w:b w:val="0"/>
          <w:bCs w:val="0"/>
          <w:spacing w:val="-4"/>
          <w:sz w:val="32"/>
          <w:szCs w:val="32"/>
        </w:rPr>
        <w:t>审计合同。2023年9月27日，办理完成建设工程规划许可证。2023年9月30日，完成地基开挖，完成塔吊搭建、工程临时用水用电接通、项目部建设等工作。2023年10月，进行施工图设计审查,接通暖气、下水管道，砌井等工作。2023年11月8日，完成项目入库工作。2023年11月29日，完成施工图设计文件审查合格书。2023年11月30日，完成项目入统工作，入统921万元。2023年12月，办理施工许可证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卫生健康委员会实施，内设5个科室，分别是：办公室、医政医管与药政科、基层卫生科、疾病防控与卫生应急科、妇幼科。主要职能是:组织拟订国民健康政策，拟订卫生健康事业发展法规草案、政策、规划、规章和标准并组织实施。统筹规划卫生健康资源配置，指导县域卫生健康规划的编制和实施。制定并组织实施推进卫生健康基本公共服务均等化、普惠化、便捷化和公共资源向基层延伸等政策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定并组织落实疾病预防控制规划、免疫规划及严重危害人民健康的公共卫生问题的干预措施。执行国家、自治区检疫传染病和监测传染病目录。负责卫生应急工作，组织指导突发公共卫生事件的预防控制和各类突发公共事件的医疗卫生救援处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组织拟订并协调落实应对人口老龄化政策措施，负责推进老年健康服务体系建设和医养结合工作。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贯彻落实国家药物政策和国家、自治区基本药物制度，开展药品使用监测、临床综合评价和短缺药品预警。执行国家药品法典，提出自治州基本药物价格政策的建议。组织开展食品安全风险监督评估，依法贯彻执行和公布国家、自治区食品安全标准，并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负责职责范围内的职业卫生、放射卫生、环境卫生、学校卫生、公共场所卫生、饮用水卫生等公共卫生的监督管理，负责传染病防治监督，健全卫生健康综合监督体系。牵头《烟草控制框架公约》履约有关工作。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定医疗机构、医疗服务行业管理办法并监督实施，建立医疗服务评价和监督管理体系。会同有关部门制定并实施卫生健康专业技术人员资格标准。制定并组织实施医疗服务规范、标准和卫生健康专业技术人员执业规则、服务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开展人口监测预警，研究提出人口与家庭发展相关政策建议。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指导县市卫生健康工作，指导基层医疗卫生、妇幼健康服务体系和全科医生队伍建设；推进卫生健康科技创新发展。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负责自治州保健对象的医疗保健工作，负责自治州重要会议与重大活动的医疗卫生保障工作。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贯彻执行国家、自治区关于中医药工作的方针政策和法律法规，起草有关地方性法规草案、规章，组织实施并监督检查。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承担自治州老龄委员会的日常工作；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完成自治州党委、自治州人民政府交办的其他任务。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职能转变。自治州卫生健康委员会应当牢固树立大卫生、大健康理念，推动实施健康中国、健康新疆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推进卫生健康公共资源向基层延伸、向农村覆盖、向边远地区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卫生健康委员会编数38，编制人数38人，其中：行政人员编制14人、工勤2人、参公7人、事业编制15人。实有在职人数31人，其中：行政在职9人、工勤2人、参公4人、事业在职16人。离退休人员26人，其中：行政退休人员23人、事业退休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总投资5000万元（援疆资金），目前已拨付援疆资金1460万元，其中：2021年江西前方指挥部拨210万元做前期工作，2023年江西前方指挥部拨1250万元做为工程预付款。其中：中央财政拨款0万元，自治区财政拨款0万元，本级财政拨款0万元，上年结余0万元，其他资金1250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截至2023年12月31日，实际支出1250万元，预算执行率100%。</w:t>
      </w:r>
    </w:p>
    <w:p w14:paraId="1BD7EDC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7B21F4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该项目总投资5000万元（援疆资金），目前已拨付援疆资金1460万元，其中：2021年江西前方指挥部拨210万元做前期工作，2023年江西前方指挥部拨1250万元做为工程预付款。2024年计划投资3500万元（援疆资金）。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“建设住院楼（栋）”指标，预期指标值为=1栋；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“床位数（张）”指标，预期指标值为=250张；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“附属配套设施（套）”指标，预期指标值为=1套；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“完成招标工作达标率（%）”指标，预期指标值为＝100%；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“建设用地蓝线图完成率（%）”指标，预期指标值为＝100%；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“施工图设计文件审查合格率（%）”指标，预期指标值为＝100%；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“办理施工许可证”指标，预期指标值为2023年12月31日；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“工程预付款（万元）”指标，预期指标值为≤1250万元；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“成本预算控制率（%）”指标，预期指标值为=100%；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“自治州中医药领域持续健康发展”指标，预期指标值为加快推进；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“受益群众满意度（%）”指标，预期指标值为≥90%。</w:t>
      </w:r>
    </w:p>
    <w:p w14:paraId="2ED231D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54002D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7B34FB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4E0BE15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2E8366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援疆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B896AD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C5B6C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唐志芳任评价组组长，职务为党组书记、副主任，绩效评价工作职责为负责全盘工作。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张振海任评价组副组长，绩效评价工作职责为对项目实施情况进行实地调查。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曹瑛任评价组成员，绩效评价工作职责为负责资料审核等工作。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03BAE21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6546AE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援疆资金”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建设住院楼（栋）已完成1栋，推动了中医服务、中药种植加工、中国药文化、康养旅游产生自治州中医药领域持续健康发展效益（打造“中医药援疆”品牌，以推动中医服务、中药种植加工、中国药文化、康养旅游等方面全方位发展。以克孜勒苏中医医院为支点，向克州周边地区及周边国家推广江西中医药文化，提高江西和克州在周边国家和地区的影响力。响应城市规划理念，顺应城市发展，提升城市品味，改善居民就医环境。以此项目开工建设为契机，在推动高质量内涵式发展的新征程上，为全州各族人民群众提供更加及时、有效、优质的医疗服务，齐心协力为增进人民健康福祉作出新贡献、为推进“健康克州”建设谱写新篇章。</w:t>
      </w:r>
    </w:p>
    <w:p w14:paraId="05AAFA8F">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D85EB9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77BBAA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国家、自治区关于每个地州需建设一所中医医院的工作要求，我委根据全州工作需求，经与相关部门沟通后拟建设一所克孜勒苏中医医院新院。并结合克孜勒苏柯尔克孜自治州卫生健康委员会职责组织实施。围绕克孜勒苏柯尔克孜自治州卫生健康委员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孜勒苏柯尔克孜自治州卫生健康委员会财经领导小组进行沟通、筛选确定经费预算计划，上委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总用地面积60亩，总建设面积约40000平方米，编制床位500张，项目总投资估算金额1.8亿元，资金来源为江西援服资金5000万元、社会资本13000万元。本年度其中财政支出0万元，其他资金1250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总投资5000万元（援疆资金），目前已拨付援疆资金1460万元，其中：2021年江西前方指挥部拨210万元做前期工作，2023年江西前方指挥部拨1250万元做为工程预付款，资金分配与实际相适应，根据评分标准，该指标不扣分，得5分。</w:t>
      </w:r>
    </w:p>
    <w:p w14:paraId="0583C3C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8046CF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（1）资金到位率：该项目当年总投资1250万元，实际到达经费1250万元，其中当年财政拨款0万元，上年结转资金0万元，其他资金1250万元。资金足额拨付到位，根据评分标准，该指标不扣分，得5分。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（2）预算执行率：本项目申请预算金额为1250万元，预算批复实际下达金额为1250万元截至 2023年 12 月 31日，资金执行1250万元，资金执行率100.00%。项目资金支出总体能够按照预算执行，根据评分标准，该指标不扣分，得5分。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总投资5000万元（援疆资金），目前已拨付援疆资金1460万元，其中：2021年江西前方指挥部拨210万元做前期工作，2023年江西前方指挥部拨1250万元做为工程预付款》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孜勒苏柯尔克孜自治州卫生健康委员会财务制度》及援疆资金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610B14C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7CC34B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项目产出类指标包括产出数量、产出质量、产出时效、产出成本四方面的内容，由9个三级指标构成，权重分为40分，实际得分40分，得分率为100%。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建设住院楼1栋，与预期目标一致，根据评分标准，该指标不扣分，得4分。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床位数250张，与预期目标一致，根据评分标准，该指标不扣分，得3分。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附属配套设施1套，与预期目标一致，根据评分标准，该指标不扣分，得3分。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完成招标工作达标率100%，与预期目标一致，根据评分标准，该指标不扣分，得4分。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建设用地蓝线图完成率100%，与预期目标一致，根据评分标准，该指标不扣分，得3分。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施工图设计文件审查合格率100%，与预期目标一致，根据评分标准，该指标不扣分，得3分。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任务完成时间</w:t>
      </w:r>
      <w:r>
        <w:rPr>
          <w:rStyle w:val="18"/>
          <w:rFonts w:hint="eastAsia" w:ascii="仿宋" w:hAnsi="仿宋" w:eastAsia="仿宋" w:cs="仿宋"/>
          <w:b w:val="0"/>
          <w:bCs w:val="0"/>
          <w:spacing w:val="-4"/>
          <w:sz w:val="32"/>
          <w:szCs w:val="32"/>
        </w:rPr>
        <w:tab/>
        <w:t>2023年12月31日，与预期目标指标一致，根据评分标准，该指标不扣分，得10分。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该项目本年支出金额1250万元，项目经费能够控制在绩效目标范围内，根据评分标准，该指标不扣分，得5分。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成本预算控制率100%，项目经费能够控制在绩效目标范围内，根据评分标准，该指标不扣分，得5分。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7E51C68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63CC5596">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自治州中医药领域持续健康发展，与预期指标一致，根据评分标准，该指标不扣分，得10分。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对于满意度指标：受益群众满意度90%，与预期目标一致，根据评分标准，该指标不扣分，得10分。</w:t>
      </w:r>
    </w:p>
    <w:p w14:paraId="2FDC07C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05D5C45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主要经验及做法：一是本项目能够严格按照《项目实施方案》执行，项目执行情况较好。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29BB3CC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6F0BB8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36B1E2B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210775B">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附件1：援疆资金项目绩效评价指标体系及评分标准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F425232">
        <w:pPr>
          <w:pStyle w:val="12"/>
          <w:jc w:val="center"/>
        </w:pPr>
        <w:r>
          <w:fldChar w:fldCharType="begin"/>
        </w:r>
        <w:r>
          <w:instrText xml:space="preserve">PAGE   \* MERGEFORMAT</w:instrText>
        </w:r>
        <w:r>
          <w:fldChar w:fldCharType="separate"/>
        </w:r>
        <w:r>
          <w:rPr>
            <w:lang w:val="zh-CN"/>
          </w:rPr>
          <w:t>1</w:t>
        </w:r>
        <w:r>
          <w:fldChar w:fldCharType="end"/>
        </w:r>
      </w:p>
    </w:sdtContent>
  </w:sdt>
  <w:p w14:paraId="70A5C82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6EB946C7"/>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24</Pages>
  <Words>9118</Words>
  <Characters>9527</Characters>
  <Lines>5</Lines>
  <Paragraphs>1</Paragraphs>
  <TotalTime>40</TotalTime>
  <ScaleCrop>false</ScaleCrop>
  <LinksUpToDate>false</LinksUpToDate>
  <CharactersWithSpaces>9862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2024-11-28T09:56:55Z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010B5CA7E3EA426ABA4FFB22F0EA2ECE_12</vt:lpwstr>
  </property>
</Properties>
</file>