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2023年为民办实事项目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乌恰县人民法院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克孜勒苏柯尔克孜自治州中级人民法院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木合塔尔·亚克甫</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2024年06月06日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为民办实事项目实施前期、过程及效果，评价财政预算资金使用的效率及效益。根据自治州相关工作要求，加大马热加尼库木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马热加尼库木村为小村，民办实事经费和第一书记工作经费为12.5万元，由自治区财政承担，上年结转数为3.92万元，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F民情H民生J民心”驻村工作为民办实事工作经费使用管理办法（试行）的通知》（新民办发〔2016〕62号），宣传国家相关政策及法律法规，维护社会稳定和长治久安，从而提高群众幸福度和归属感。</w:t>
        <w:br/>
        <w:t>　　3.项目实施主体</w:t>
        <w:br/>
        <w:t>　　该项目由乌恰县人民法院实施，下设8个科室，分别是：综合办公室、政治部、立案庭、民事审判庭、刑事审判庭、行政庭、执行局、审管办等。</w:t>
        <w:br/>
        <w:t>　　乌恰县人民法院编制数61，其中行政政法编59人，工勤编2人；实有人数人66，其中：行政政法编55人，工勤2编人，聘用制书记员9人；退休25人，增加0人；离休0人，增加0人。</w:t>
        <w:br/>
        <w:t>　　3.资金投入和使用情况</w:t>
        <w:br/>
        <w:t>　　《关于下达自治州本级2022年度部门预算指标的通知》（克财预[2022]16号）号文件年度安排下达资金16.42万元，为本级财务安排群众工作经费资金，最终确定项目资金总数为16.42万元。其中：中央财政拨款0万元，自治区财政拨款12.5万元，本级财政拨款0万元，上年结余3.92万元。</w:t>
        <w:br/>
        <w:t>　　截至2023年12月31日，实际支出13.35万元，预算执行率81.3%。</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乌恰县人民法院为民办实事经费”16.42万元，根据自治区访惠聚办关于为民办实事专项经费的使用办法，该笔资金主要用于我单位为驻马热加尼库木村工作队开展为民办实事专项工作，其中50%用于解决群众生产发展维修改造帮扶、25%用于访贫问苦活动、25%用于村级组织开展活动，为群众带去温暖，宣传国家相关政策及法律法规，维护社会稳定和长治久安，从而提高群众幸福度和归属感。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“购买办公用品批次（次）”指标，预期指标值为≥5次；</w:t>
        <w:br/>
        <w:t>　　“印刷次数（次）”指标，预期指标值为≥3次；</w:t>
        <w:br/>
        <w:t>　　“设备购置数量（次）”指标，预期指标值为≥1个；</w:t>
        <w:br/>
        <w:t>　　②质量指标</w:t>
        <w:br/>
        <w:t>　　“验收合规率（%）”指标，预期指标值为＝100%；</w:t>
        <w:br/>
        <w:t>　　③时效指标</w:t>
        <w:br/>
        <w:t>　　“采购及时率（%）”指标，预期指标值为=100%。</w:t>
        <w:br/>
        <w:t>　　④成本指标</w:t>
        <w:br/>
        <w:t>　　“办公费（万元）”指标，预期指标值为≤3万元；</w:t>
        <w:br/>
        <w:t>　　“印刷费（万元）”指标，预期指标值为≤2.5万元；</w:t>
        <w:br/>
        <w:t>　　“设备购置（万元）”指标，预期指标值为≤0.5万元；</w:t>
        <w:br/>
        <w:t>　　“劳务费（万元）”指标，预期指标值为≤2.1万元；</w:t>
        <w:br/>
        <w:t>　　“其他商品服务支出（万元）”指标，预期指标值为≤8.32万元；</w:t>
        <w:br/>
        <w:t>　　（2）项目效益目标</w:t>
        <w:br/>
        <w:t>　　①经济效益指标</w:t>
        <w:br/>
        <w:t>　　无</w:t>
        <w:br/>
        <w:t>　　②社会效益指标</w:t>
        <w:br/>
        <w:t>　　“保障各项工作正常开展”指标，预期指标值为圆满完成驻村工作任务；</w:t>
        <w:br/>
        <w:t>　　③生态效益指标</w:t>
        <w:br/>
        <w:t>　　无</w:t>
        <w:br/>
        <w:t>　　④满意度目标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为民办实事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木合塔尔·亚克甫任评价组组长，职务为局长，绩效评价工作职责为负责全盘工作。</w:t>
        <w:br/>
        <w:t>　　王林得任评价组副组长，绩效评价工作职责为对项目实施情况进行实地调查。</w:t>
        <w:br/>
        <w:t>　　马合沙提古丽、李建华任评价组成员，绩效评价工作职责为负责资料审核等工作。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为民办实事项目”绩效进行客观公正的评价，本项目总得分为98.33分，绩效评级属于“优”。其中，决策类指标得分20分，过程类指标得分19.07分，产出类指标得分39.26分，效益类指标得分20分。</w:t>
        <w:br/>
        <w:t>　　（二）综合评价结论</w:t>
        <w:br/>
        <w:t>　　经评价，本项目达到了年初设立的绩效目标，在实施过程中取得了良好的成效，具体表现在：为民办实事经费和第一书记经费项目执行数为13.35万元，执行率81.3%，已完成：购买办公用品批次5次，印刷次数3次，劳务费支出5次，设备购置1次，其它商品和服务支出7次。通过该项目的实施，在马热加尼库木村开展群众工作，为群众送温暖、送服务、积极开展各类活动，推动了马热加尼库木村建设，大力开展环境整治和绿化关系行动，努力把村庄打造成乡土特色，业兴民富。为农牧民解决生产生活中的实际困难，加强民族团结，增进民族互信，突出现代文化引领，落实民生建设任务，关心关爱困难群众，实现维护社会稳定和长治久安总目标。促进行政村集体经济发展，推动克州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自治区“访民情惠民生聚民心”驻村工作为民办实事工作经费使用管理办法（试行）的通知》（新民办发〔2016〕62号）、《关于拨付2021年自治区“FHJ”驻村工作经费的通知》新财预（2021）19号并结合乌恰县人民法院职责组织实施。围绕乌恰县人民法院年度工作重点和工作计划制定经费预算，根据评分标准，该指标不扣分，得3分。</w:t>
        <w:br/>
        <w:t>　　（2）立项程序规范性：根据决策依据编制工作计划和经费预算，经过与乌恰县人民法院财经领导小组进行沟通、筛选确定经费预算计划，上局务会研究确定最终预算方案，根据评分标准，该指标不扣分，得2分。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（5）预算编制科学性：预算编制经过自治区按照行政村小村10万实际下拨项目资金，实际完成内容与项目内容匹配，项目投资额与工作任务相匹配，根据评分标准，该指标不扣分，得5分。</w:t>
        <w:br/>
        <w:t>　　（6）资金分配合理性：资金分配按照《自治区“F民情H民生J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项目过程类指标包括资金管理和组织实施两方面的内容，由5个三级指标构成，权重分为20分，实际得分19.07分，得分率为95.35%。</w:t>
        <w:br/>
        <w:t>　　（1）资金到位率：该项目总投资16.42万元，克州财政局实际下达经费16.42万元，其中当年财政拨款12.5万元，上年结转资金3.09万元，财政资金足额拨付到位，根据评分标准，该指标不扣分，得5分。</w:t>
        <w:br/>
        <w:t>　　（2）预算执行率：本项目申请预算金额为16.42万元，预算批复实际下达金额为16.42万元。截至2023年12月31日，资金执行13.35万元，资金执行率81.3%。项目资金支出总体能够按照预算执行，根据评分标准，实际得分=（13.35/16.42）*100%*5=4.07，该指标扣0.93分，得4.07分。</w:t>
        <w:br/>
        <w:t>　　（3）资金使用合规性：根据关于《2017年自治区FHJ“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（4）管理制度健全性：该项目严格按照《乌恰县人民法院财务制度》及访惠聚资金相关的制度和管理规定实施，对财政专项资金进行严格管理，基本做到了专款专用，根据评分标准，该指标不扣分，得2分。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项目产出类指标包括产出数量、产出质量、产出时效、产出成本四方面的内容，由10个三级指标构成，权重分为40分，实际得分39.26分，得分率为98.15%。</w:t>
        <w:br/>
        <w:t>　　（1）对于“产出数量”</w:t>
        <w:br/>
        <w:t>　　购买办公用品批次5次，与预期目标一致，根据评分标准，该指标不扣分，得4分。</w:t>
        <w:br/>
        <w:t>　　印刷次数3次，与预期目标一致，根据评分标准，该指标不扣分，得3分。</w:t>
        <w:br/>
        <w:t>　　设备购置数量1个，与预期目标一致，根据评分标准，该指标不扣分，得3分。 </w:t>
        <w:br/>
        <w:t>　　合计得10分。</w:t>
        <w:br/>
        <w:t>　　（2）对于“产出质量”：</w:t>
        <w:br/>
        <w:t>　　验收合格率100%，与预期目标一致，根据评分标准，该指标不扣分，得10分。</w:t>
        <w:br/>
        <w:t>　　合计得10分。</w:t>
        <w:br/>
        <w:t>　　（3）对于“产出时效”：</w:t>
        <w:br/>
        <w:t>　　采购及时率100%，与预期目标指标一致，根据评分标准，该指标不扣分，得10分。</w:t>
        <w:br/>
        <w:t>　　合计得10分。</w:t>
        <w:br/>
        <w:t>　　（4）对于“产出成本”：</w:t>
        <w:br/>
        <w:t>　　办公费3万元，与预期目标指标一致，根据评分标准，该指标不扣分，得2分。 </w:t>
        <w:br/>
        <w:t>　　印刷费2.5万元，与预期目标指标一致，根据评分标准，该指标不扣分，得2分。</w:t>
        <w:br/>
        <w:t>　　设备购置0.5万元，与预期目标指标一致，根据评分标准，该指标不扣分，得2分。</w:t>
        <w:br/>
        <w:t>　　劳务费2.1万元，与预期目标指标一致，根据评分标准，该指标不扣分，得2分。</w:t>
        <w:br/>
        <w:t>　　其他商品服务支出5.25万元，与预期指标不一致，存在偏差：预期绩效目标&lt;=8.32万元，实际完成值为5.25万元，偏差率为36.9% ，偏差原因：工作队采购路灯项目还未完成，款项未付款。改进措施:及时做支出，提高资金使用及时率，根据评分标准（5.25/8.32）×100%*2=1.26，该指标扣0.74分，得1.26分。</w:t>
        <w:br/>
        <w:t>　　合计得9.26分。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对于“社会效益指标”：</w:t>
        <w:br/>
        <w:t>　　保障各项工作正常开展，与预期指标一致，根据评分标准，该指标不扣分，得10分。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