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住房公积金信息化建设及运营服务维护费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克孜勒苏柯尔克孜自治州住房公积金管理中心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克孜勒苏柯尔克孜自治州财政局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杨辉</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2024年05月06日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住房公积金信息化建设及运营服务维护费项目实施前期、过程及效果，评价财政预算资金使用的效率及效益。根据自治州“十四五”规划及住房公积金行业发展需要，按住建部《住房城乡建设部办公厅关于贯彻落实住房公积金基础数据标准的通知》（建办金[2014]51号）文件要求，自治区住建厅住房公积金监管处统一推进全区住房公积金“双贯标”（住房公积金基础数据贯标和住房公积金结算应用系统贯标），结合本单位住房公积金信息化服务方面工作职责，按照年度工作计划，开展住房公积金信息化服务及运营维护费项目。2022年，根据《“惠民公积金、服务暖人心”全区住房公积金系统服务提升三年行动实施方案（2022─2024年）》（新建金〔2022〕1号）文件要求，中心将进一步加大信息化建设力度，有效推进服务提升三年行动。根据近几年自治区住建厅住房公积金监管处要求，每年组织开展全区地州间交叉互查工作，因此需要也需列支相关费用。</w:t>
        <w:br/>
        <w:t>　　2.主要内容及实施情况</w:t>
        <w:br/>
        <w:t>　　（1）主要内容</w:t>
        <w:br/>
        <w:t>　　按照自治区住建厅要求，提升住房公积金信息化建设水平，完成住房公积金业务信息系统“双贯标”建设任务，采取集中统一建设模式、统招分签的方式建设全区住房公积金业务管理信息系统项目（包含综合服务平台、云平台、线路、短信等项目）；根据《“惠民公积金、服务暖人心”全区住房公积金系统服务提升三年行动实施方案（2022─2024年）》（新建金〔2022〕1号）文件要求，为贯彻落实住房公积金服务提升三年行动，中心通过业务培训提高干部职工综合素质，打造文明服务窗口。通过该项目的实施，加大网上业务，提升中心信息化水平，实现了住房公积金系统、综合服务平台正常运行，实现跨省通办，部分业务全程网上办理等，为全州缴存职工提供高效便捷的服务。</w:t>
        <w:br/>
        <w:t>　　（2）实施情况</w:t>
        <w:br/>
        <w:t>　　根据《关于下达自治州本级2023年度部门预算指标的通知》（克财预〔2023〕1号），以及按照自治区住建厅要求，采取集中统一建设模式、统招分签的方式建设全区住房公积金业务管理信息系统项目（包含综合服务平台、云平台、线路、短信等项目），向缴存职工提供住房公积金余额查询及有关政策等咨询服务，为广大缴存职工带来方便、快捷、高效的服务。</w:t>
        <w:br/>
        <w:t>　　（3）资金投入和使用情况</w:t>
        <w:br/>
        <w:t>　　根据《关于下达自治州本级2023年度部门预算指标的通知》（克财预〔2023〕1号文本年度安排下达资金219.49万元，为年初预算资金，最终确定项目资金总数为219.49万元。其中：中央财政拨款0万元，自治区财政拨款0万元，本级财政拨款219.49万元，上年结余0万元。</w:t>
        <w:br/>
        <w:t>　　截至2023年12月31日，实际支出219.49万元，预算执行率100%。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219.4994万元，其中：财政资金219.4994万元，其他资金0万元。于支付住房公积金信息系统服务费。通过该项目的实施，中心将进一步有效利用信息系统模块，加大了网上业务，提升中心信息化水平。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“提供优质服务人员(万人）”指标，预期指标值为≥5万人；</w:t>
        <w:br/>
        <w:t>　　“住房公积金信息系统服务期限（年）”指标，预期指标值为=1年；</w:t>
        <w:br/>
        <w:t>　　“华为云平台（个）”指标，　预期指标值为=1个；</w:t>
        <w:br/>
        <w:t>　　“华为云平台主备线路电路租赁条数（条）”指标,预期指标值为=2条；</w:t>
        <w:br/>
        <w:t>　　“三县一市数据光纤条数（条）”指标，预期指标值为=5条；</w:t>
        <w:br/>
        <w:t>　　“综合服务平台运营个数（个）”指标，预期指标值为=1个；</w:t>
        <w:br/>
        <w:t>　　“服务培训干部人数（人）”指标，预期指标值为≥12人；</w:t>
        <w:br/>
        <w:t>　　“柜台服务评价器（台）”指标，预期指标值为=2台；</w:t>
        <w:br/>
        <w:t>　　“业务用机台数（台）”指标，预期指标值为=3台；</w:t>
        <w:br/>
        <w:t>　　“彩色电视机（台）”指标，预期指标值为=4台。</w:t>
        <w:br/>
        <w:t>　　②质量指标</w:t>
        <w:br/>
        <w:t>　　“覆盖中心科室和各县管理部办公服务效率（%）”指标，预期指标值为≥99%；</w:t>
        <w:br/>
        <w:t>　　“信息系统和综合服务平台依托云平台统一搭建合格率”指标,预期指标值为≥95%；</w:t>
        <w:br/>
        <w:t>　　“非正常停机率（%）”指标，预期指标值为≤0%；</w:t>
        <w:br/>
        <w:t>　　“购置业务用机、彩色电视机质量合格率（%）”指标，预期指标值为=100%；</w:t>
        <w:br/>
        <w:t>　　“信息系统“双贯标”、综合服务平台验收工作合格率（%）”指标，预期指标值为≥95%。</w:t>
        <w:br/>
        <w:t>　　③时效指标</w:t>
        <w:br/>
        <w:t>　　“完成项目时间”指标，预期指标值为=2023年12月；</w:t>
        <w:br/>
        <w:t>　　“实现单位网厅在线办理归集业务：账户在线查询：信息修改时间（小时）”指标，预期指标值为≤24小时；</w:t>
        <w:br/>
        <w:t>　　“实现个人网厅，手机app在线办理提取业务时间（小时）”指标，预期指标值为≤24小时；</w:t>
        <w:br/>
        <w:t>　　“实现个人网厅、手机app在线办理和查询，限时受理办结贷款业务（小时）”指标，预期指标值为≤24小时。</w:t>
        <w:br/>
        <w:t>　　④成本指标</w:t>
        <w:br/>
        <w:t>　　“住房公积金信息系统服务费（万元）”指标，预期指标值为≤117.26万元；</w:t>
        <w:br/>
        <w:t>　　“华为云平台服务费（万元）”指标，预期指标值为≤6万元；</w:t>
        <w:br/>
        <w:t>　　“华为云平台主备线路电路租赁费（万元）” 指标，预期指标值为≤9.12万元；</w:t>
        <w:br/>
        <w:t>　　“三县一市每条数据光纤月租标准（元/月/条）” 指标，预期指标值为=700元/月/条</w:t>
        <w:br/>
        <w:t>　　“综合服务平台运营服务费（万元）”指标，预期指标值为≤62.92万元；</w:t>
        <w:br/>
        <w:t>　　“人员培训费（万元）”指标，预期指标值为≤11万元；</w:t>
        <w:br/>
        <w:t>　　“文明窗口打造费用（万元）”指标，预期指标值为≤9万元。</w:t>
        <w:br/>
        <w:t>　　（2）项目效益目标</w:t>
        <w:br/>
        <w:t>　　①经济效益指标</w:t>
        <w:br/>
        <w:t>　　无</w:t>
        <w:br/>
        <w:t>　　②社会效益指标</w:t>
        <w:br/>
        <w:t>　　“提升中心信息化水平”指标，预期指标值为有效提升；</w:t>
        <w:br/>
        <w:t>　　“保障公积金信息系统和综合服务平台正常运行” 指标，预期指标值为有效保障；</w:t>
        <w:br/>
        <w:t>　　“提升公积金行业服务形象” 指标，预期指标值为有效提升。</w:t>
        <w:br/>
        <w:t>　　③生态效益指标</w:t>
        <w:br/>
        <w:t>　　无</w:t>
        <w:br/>
        <w:t>　　④满意度指标</w:t>
        <w:br/>
        <w:t>　　“系统用户满意度（%）”指标，预期指标值为≥95%。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住房公积金信息化建设及运营服务维护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杨辉任评价组组长，绩效评价工作职责为负责全盘工作。</w:t>
        <w:br/>
        <w:t>　　白新华任评价组副组长，绩效评价工作职责为对项目实施情况进行实地调查。</w:t>
        <w:br/>
        <w:t>　　杨雪玲任评价组成员，绩效评价工作职责为负责资料审核等工作。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第四阶段：撰写与提交评价报告。项目撰写绩效评价报告，按照财政局大平台绩效系统中统一格式和文本框架撰写绩效评价报告。</w:t>
        <w:br/>
        <w:t>　　第五阶段：归集档案。建立和落实档案管理制度，将项目相关资料存档，包括但不限于：评价项目基本情况和相关文件、评价实施方案、项目支付资料等相关档案。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住房公积金信息化建设及运营服务维护费”项目绩效进行客观公正的评价，本项目总得分为95.5分，绩效评级属于“优”。其中，决策类指标得分20分，过程类指标得分20分，产出类指标得分35.5分，效益类指标得分20分。</w:t>
        <w:br/>
        <w:t>　　（二）综合评价结论</w:t>
        <w:br/>
        <w:t>　　经评价，本项目达到了年初设立的绩效目标，在实施过程中取得了良好的成效，具体表现在：截至2023年12月31日，该项目执行数为219.4994万元，已完成：提供优质服务人员5万人，华为云平台主备线路电路租赁2条，三县一市数据光纤条数5条，通过该项目的实施，加大了网上业务，提升中心信息化水平，实现了住房公积金系统、综合服务平台正常运行，实现了跨省通办，部分业务全程网上办理等，为全州缴存职工提供了高效便捷的服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关于下达自治州本级2023年度部门预算指标的通知》（克财预〔2023〕1号，并结合克孜勒苏柯尔克孜自治州住房公积金管理中心职责组织实施。围绕克孜勒苏柯尔克孜自治州住房公积金管理中心年度工作重点和工作计划制定经费预算，根据评分标准，该指标不扣分，得3分。</w:t>
        <w:br/>
        <w:t>　　（2）立项程序规范性：根据决策依据编制工作计划和经费预算，经过与克孜勒苏柯尔克孜自治州住房公积金管理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（5）预算编制科学性：住房公积金信息化建设及运营服务维护费为经常性项目，实际完成内容与项目内容匹配，项目投资额与工作任务相匹配，根据评分标准，该指标不扣分，得5分。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（1）资金到位率：该项目总投资219.49万元，克州财政局实际下达经费219.49万元，其中当年财政拨款219.49万元，上年结转资金0万元，财政资金足额拨付到位，根据评分标准，该指标不扣分，得5分。</w:t>
        <w:br/>
        <w:t>　　（2）预算执行率：本项目申请预算金额为219.49万元，预算批复实际下达金额为219.49万元，截至2023年12月31日，资金执行219.49万元，资金执行率100%。项目资金支出总体能够按照预算执行，根据评分标准，该指标不扣分，得5分。</w:t>
        <w:br/>
        <w:t>　　（3）资金使用合规性：根据《关于下达自治州本级2023年度部门预算指标的通知》（克财预（2023）1号）符合预算批复规定用途，不存在截留、挤占、挪用、虚列支出等情况，未发现违规使用情况，根据评分标准，该指标不扣分，得5分。</w:t>
        <w:br/>
        <w:t>　　（4）管理制度健全性：该项目严格按照《克孜勒苏柯尔克孜自治州住房公积金管理中心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项目产出类指标包括产出数量、产出质量、产出时效、产出成本四方面的内容，由26个三级指标构成，权重分为40分，实际得分35.5分，得分率为88.75%。</w:t>
        <w:br/>
        <w:t>　　（1）对于“产出数量”</w:t>
        <w:br/>
        <w:t>　　提供优质服务人员5万人，与预期目标一致，根据评分标准，该指标不扣，得1分。</w:t>
        <w:br/>
        <w:t>　　住房公积金信息系统服务期限1年，与预期目标一致，根据评分标准，该指标不扣分，得1分。</w:t>
        <w:br/>
        <w:t>　　华为云平台1个，与预期目标一致，根据评分标准，该指标不扣分，得1分。</w:t>
        <w:br/>
        <w:t>　　华为云平台主备线路电路租赁条数2条，与预期目标一致，根据评分标准，该指标不扣分，得1分。</w:t>
        <w:br/>
        <w:t>　　三县一市数据光纤条数5条，与预期目标一致，根据评分标准，该指标不扣分，得1分。</w:t>
        <w:br/>
        <w:t>　　综合服务平台运营个数1个，与预期目标一致，根据评分标准，该指标不扣分，得1分。</w:t>
        <w:br/>
        <w:t>　　服务培训干部人数10人，与预期指标值不一致，存在偏差：预期绩效目标&gt;=12人，实际完成值为10人，偏差率为17% ，偏差原因：年初计划培训12人，实际目标没达成。预算采取的措施：提高预算目标设置精准性，争取精准完成任务。根据评分标准（10/12）*100%*1=0.83，该指标扣0.17分，得0.83分。</w:t>
        <w:br/>
        <w:t>　　柜台服务评价器0台，与预期指标值不一致，存在偏差：预期绩效目标=2台，实际完成值为0台，偏差率为100% ，偏差原因：年初预算计划购买，之后以单位实际情况为准未购买，采取的措施：预算制定严格执行，提高预算编制的精准性，根据评分标准（0/2）*100%*1=0，该指标扣1分，得0分。</w:t>
        <w:br/>
        <w:t>　　业务用机台数2台，与预期指标值不一致，存在偏差：预期绩效目标=3台，实际完成值为2台，偏差率为34% ，偏差原因：年初预算计划购买3台，之后以单位实际情况购买2台；采取措施：预算制定严格执行，提高预算编制的精准性。根据评分标准（2/3）*100%*1=0.67，该指标扣0.33分，得0.67分。</w:t>
        <w:br/>
        <w:t>　　彩色电视机0台，与预期目标值不一致，存在偏差：预期绩效目标4台，实际完成值为0台，偏差率为100%，偏差原因：：年初预算计划购买，之后以单位实际情况为准未购买；采取措施：预算制定严格执行，提高预算编制的精准性。根据评分标准，该指标扣1分，得0分。</w:t>
        <w:br/>
        <w:t>合计得分7.5分。</w:t>
        <w:br/>
        <w:t>　　（2）对于“产出质量”：</w:t>
        <w:br/>
        <w:t>　　覆盖中心科室和各县管理部办公服务效率99%，与预期目标一致，根据评分标准，该指标不扣分，得2分。</w:t>
        <w:br/>
        <w:t>　　信息系统和综合服务平台依托云平台统一搭建合格率95%，与预期目标一致，根据评分标准，该指标不扣分，得2分。</w:t>
        <w:br/>
        <w:t>非正常停机率0%，与预期目标一致，根据评分标准，该指标不扣分，得2分。</w:t>
        <w:br/>
        <w:t>　　购置业务用机、彩色电视机质量合格率0%，与预期目标值不一致，存在偏差：预期绩效目标100%，实际完成值为0%，偏差率为100% ，偏差原因：年初预算计划购买，之后以单位实际情况为准未购买，采取的措施：预算制定严格执行，提高预算编制的精准性。根据评分标准，该指标扣2分，得0分。</w:t>
        <w:br/>
        <w:t>　　信息系统“双贯标”、综合服务平台验收工作合格率95%，与预期目标一致，根据评分标准，该指标不扣分，得2分。</w:t>
        <w:br/>
        <w:t>　　合计得8分。</w:t>
        <w:br/>
        <w:t>　　（3）对于“产出时效”：</w:t>
        <w:br/>
        <w:t>　　完成项目时间2023年12月，与预期目标一致，根据评分标准，该指标不扣分，得2分。</w:t>
        <w:br/>
        <w:t>　　实现单位网厅在线办理归集业务：账户在线查询：信息修改时间24小时，与预期目标一致，根据评分标准，，该指标不扣分，得3分。</w:t>
        <w:br/>
        <w:t>　　实现个人网厅，手机app在线办理提取业务时间24小时，与预期目标一致，根据评分标准，该指标不扣分，得2分。</w:t>
        <w:br/>
        <w:t>　　实现个人网厅、手机app在线办理和查询，限时受理办结贷款业务时间24小时，与预期目标一致，根据评分标准，该指标不扣分，得3分。</w:t>
        <w:br/>
        <w:t>　　合计得10分。</w:t>
        <w:br/>
        <w:t>　　（4）对于“产出成本”：</w:t>
        <w:br/>
        <w:t>　　住房公积金信息系统服务费117.26万元，与预期目标一致，根据评分标准，该指标不扣分，得2分。</w:t>
        <w:br/>
        <w:t>　　华为云平台服务费6万元，与预期目标一致，根据评分标准，该指标不扣分，得1分。</w:t>
        <w:br/>
        <w:t>　　华为云平台主备线路电路租赁费9.12万元，与预期目标一致，根据评分标准，该指标不扣分，得1分。</w:t>
        <w:br/>
        <w:t>　　三县一市每条数据光纤月租标准=700元/月/条，与预期目标一致，根据评分标准，该指标不扣分，得1分。</w:t>
        <w:br/>
        <w:t>　　综合服务平台运营服务费62.92万元，与预期目标一致，根据评分标准，该指标不扣分，得2分。</w:t>
        <w:br/>
        <w:t>　　人员培训费11万元，与预期目标一致，根据评分标准，该指标不扣分，得2分。</w:t>
        <w:br/>
        <w:t>　　文明窗口打造费用9万元），与预期目标一致，根据评分标准，该指标不扣分，得2分。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效益类指标包括项目效益2个方面的内容，由4个三级指标构成，权重分为20分，实际得分20分，得分率为100%。</w:t>
        <w:br/>
        <w:t>　　（1）实施效益指标：</w:t>
        <w:br/>
        <w:t>　　对于“社会效益指标”：</w:t>
        <w:br/>
        <w:t>　　提升中心信息化水平，与预期指标一致，根据评分标准，，该指标不扣分，得3分。</w:t>
        <w:br/>
        <w:t>　　保障公积金信息系统和综合服务平台正常运行，与预期指标一致，根据评分标准，该指标不扣分，得3分。</w:t>
        <w:br/>
        <w:t>　　提升公积金行业服务形象，与预期指标一致，根据评分标准，该指标不扣分，得4分。</w:t>
        <w:br/>
        <w:t>　　合计得10分。</w:t>
        <w:br/>
        <w:t>　　（2）满意度指标：</w:t>
        <w:br/>
        <w:t>　　对于“满意度指标”：系统用户满意度95%，与预期指标一致，根据评分标准，该指标不扣分，得10分。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