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3BE94E">
      <w:pPr>
        <w:spacing w:line="570" w:lineRule="exact"/>
        <w:jc w:val="center"/>
        <w:rPr>
          <w:rFonts w:ascii="华文中宋" w:hAnsi="华文中宋" w:eastAsia="华文中宋" w:cs="宋体"/>
          <w:b/>
          <w:kern w:val="0"/>
          <w:sz w:val="52"/>
          <w:szCs w:val="52"/>
        </w:rPr>
      </w:pPr>
      <w:bookmarkStart w:id="0" w:name="_GoBack"/>
      <w:bookmarkEnd w:id="0"/>
    </w:p>
    <w:p w14:paraId="5299750E">
      <w:pPr>
        <w:spacing w:line="570" w:lineRule="exact"/>
        <w:jc w:val="center"/>
        <w:rPr>
          <w:rFonts w:ascii="华文中宋" w:hAnsi="华文中宋" w:eastAsia="华文中宋" w:cs="宋体"/>
          <w:b/>
          <w:kern w:val="0"/>
          <w:sz w:val="52"/>
          <w:szCs w:val="52"/>
        </w:rPr>
      </w:pPr>
    </w:p>
    <w:p w14:paraId="2D63A362">
      <w:pPr>
        <w:spacing w:line="570" w:lineRule="exact"/>
        <w:jc w:val="center"/>
        <w:rPr>
          <w:rFonts w:ascii="华文中宋" w:hAnsi="华文中宋" w:eastAsia="华文中宋" w:cs="宋体"/>
          <w:b/>
          <w:kern w:val="0"/>
          <w:sz w:val="52"/>
          <w:szCs w:val="52"/>
        </w:rPr>
      </w:pPr>
    </w:p>
    <w:p w14:paraId="2A8A0683">
      <w:pPr>
        <w:spacing w:line="570" w:lineRule="exact"/>
        <w:jc w:val="center"/>
        <w:rPr>
          <w:rFonts w:ascii="华文中宋" w:hAnsi="华文中宋" w:eastAsia="华文中宋" w:cs="宋体"/>
          <w:b/>
          <w:kern w:val="0"/>
          <w:sz w:val="52"/>
          <w:szCs w:val="52"/>
        </w:rPr>
      </w:pPr>
    </w:p>
    <w:p w14:paraId="36A1ED16">
      <w:pPr>
        <w:spacing w:line="570" w:lineRule="exact"/>
        <w:jc w:val="both"/>
        <w:rPr>
          <w:rFonts w:ascii="华文中宋" w:hAnsi="华文中宋" w:eastAsia="华文中宋" w:cs="宋体"/>
          <w:b/>
          <w:kern w:val="0"/>
          <w:sz w:val="52"/>
          <w:szCs w:val="52"/>
        </w:rPr>
      </w:pPr>
    </w:p>
    <w:p w14:paraId="55D1AF95">
      <w:pPr>
        <w:spacing w:line="570" w:lineRule="exact"/>
        <w:jc w:val="center"/>
        <w:rPr>
          <w:rFonts w:ascii="华文中宋" w:hAnsi="华文中宋" w:eastAsia="华文中宋" w:cs="宋体"/>
          <w:b/>
          <w:kern w:val="0"/>
          <w:sz w:val="52"/>
          <w:szCs w:val="52"/>
        </w:rPr>
      </w:pPr>
    </w:p>
    <w:p w14:paraId="5875E128">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2F7EF077">
      <w:pPr>
        <w:spacing w:line="570" w:lineRule="exact"/>
        <w:jc w:val="center"/>
        <w:rPr>
          <w:rFonts w:ascii="华文中宋" w:hAnsi="华文中宋" w:eastAsia="华文中宋" w:cs="宋体"/>
          <w:b/>
          <w:kern w:val="0"/>
          <w:sz w:val="52"/>
          <w:szCs w:val="52"/>
        </w:rPr>
      </w:pPr>
    </w:p>
    <w:p w14:paraId="428D9525">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4EF2BB25">
      <w:pPr>
        <w:spacing w:line="570" w:lineRule="exact"/>
        <w:jc w:val="center"/>
        <w:rPr>
          <w:rFonts w:hAnsi="宋体" w:eastAsia="仿宋_GB2312" w:cs="宋体"/>
          <w:kern w:val="0"/>
          <w:sz w:val="30"/>
          <w:szCs w:val="30"/>
        </w:rPr>
      </w:pPr>
    </w:p>
    <w:p w14:paraId="1DDF66C3">
      <w:pPr>
        <w:spacing w:line="570" w:lineRule="exact"/>
        <w:jc w:val="center"/>
        <w:rPr>
          <w:rFonts w:hAnsi="宋体" w:eastAsia="仿宋_GB2312" w:cs="宋体"/>
          <w:kern w:val="0"/>
          <w:sz w:val="30"/>
          <w:szCs w:val="30"/>
        </w:rPr>
      </w:pPr>
    </w:p>
    <w:p w14:paraId="377BF0C8">
      <w:pPr>
        <w:spacing w:line="570" w:lineRule="exact"/>
        <w:jc w:val="center"/>
        <w:rPr>
          <w:rFonts w:hAnsi="宋体" w:eastAsia="仿宋_GB2312" w:cs="宋体"/>
          <w:kern w:val="0"/>
          <w:sz w:val="30"/>
          <w:szCs w:val="30"/>
        </w:rPr>
      </w:pPr>
    </w:p>
    <w:p w14:paraId="168B2EE5">
      <w:pPr>
        <w:spacing w:line="570" w:lineRule="exact"/>
        <w:jc w:val="center"/>
        <w:rPr>
          <w:rFonts w:hAnsi="宋体" w:eastAsia="仿宋_GB2312" w:cs="宋体"/>
          <w:kern w:val="0"/>
          <w:sz w:val="30"/>
          <w:szCs w:val="30"/>
        </w:rPr>
      </w:pPr>
    </w:p>
    <w:p w14:paraId="012BCA53">
      <w:pPr>
        <w:spacing w:line="570" w:lineRule="exact"/>
        <w:jc w:val="center"/>
        <w:rPr>
          <w:rFonts w:hAnsi="宋体" w:eastAsia="仿宋_GB2312" w:cs="宋体"/>
          <w:kern w:val="0"/>
          <w:sz w:val="30"/>
          <w:szCs w:val="30"/>
        </w:rPr>
      </w:pPr>
    </w:p>
    <w:p w14:paraId="5CBE2BAC">
      <w:pPr>
        <w:spacing w:line="570" w:lineRule="exact"/>
        <w:jc w:val="center"/>
        <w:rPr>
          <w:rFonts w:hAnsi="宋体" w:eastAsia="仿宋_GB2312" w:cs="宋体"/>
          <w:kern w:val="0"/>
          <w:sz w:val="30"/>
          <w:szCs w:val="30"/>
        </w:rPr>
      </w:pPr>
    </w:p>
    <w:p w14:paraId="076B0BE3">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2022年度自治区动物防疫社会化服务补助经费项目</w:t>
      </w:r>
    </w:p>
    <w:p w14:paraId="34AE3CB3">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克孜勒苏柯尔克孜自治州动物疾病控制与诊断中心</w:t>
      </w:r>
    </w:p>
    <w:p w14:paraId="66039C91">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克州畜牧局</w:t>
      </w:r>
    </w:p>
    <w:p w14:paraId="523D48FA">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吾斯曼</w:t>
      </w:r>
    </w:p>
    <w:p w14:paraId="01AD8C98">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2023年04月26日</w:t>
      </w:r>
    </w:p>
    <w:p w14:paraId="38170F74">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361635C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02558879">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1C84B4C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为深入落实习近平</w:t>
      </w:r>
      <w:r>
        <w:rPr>
          <w:rStyle w:val="18"/>
          <w:rFonts w:hint="eastAsia" w:ascii="仿宋" w:hAnsi="仿宋" w:eastAsia="仿宋" w:cs="仿宋"/>
          <w:b w:val="0"/>
          <w:bCs w:val="0"/>
          <w:spacing w:val="-4"/>
          <w:sz w:val="32"/>
          <w:szCs w:val="32"/>
          <w:lang w:eastAsia="zh-CN"/>
        </w:rPr>
        <w:t>新时代中国特色社会主义思想</w:t>
      </w:r>
      <w:r>
        <w:rPr>
          <w:rStyle w:val="18"/>
          <w:rFonts w:hint="eastAsia" w:ascii="仿宋" w:hAnsi="仿宋" w:eastAsia="仿宋" w:cs="仿宋"/>
          <w:b w:val="0"/>
          <w:bCs w:val="0"/>
          <w:spacing w:val="-4"/>
          <w:sz w:val="32"/>
          <w:szCs w:val="32"/>
        </w:rPr>
        <w:t>和党的二十大精神、第三次中央新疆工作座谈会精神，坚决贯彻以习近平同志为核心的党中央治疆方略特别是社会稳定和长治久安总目标，按照自治区畜牧兽医局及州党委、政府相关工作要求，并根据全州动物防疫工作开展情况对照2022年动物强制免疫疫苗及防护物资采购等经费绩效评价指标体系进行自查自评，现将相关工作开展情况汇报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以习近平新时代中国特色社会主义思想为指导，深入贯彻习近平总书记关于加强国家生物安全风险防控和治理体系建设指示精神，实行积极防御、系统治理，有效控制传染源、阻断传播途径、提高抗病能力，切实做好动物疫病强制免疫工作，同时以加强村级动物防疫员队伍建设为重点，改革现行村级动物防疫员工作模式，采取基本工资发放与兽医社会化服务补助相结合的新工作格局，切实提高村级防疫员收入，创建基层畜牧兽医工作网格化监管，维护畜牧业生产安全、畜产品质量安全、公共卫生安全和生物安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高致病性禽流感、口蹄疫、小反刍兽疫、牛结节性皮肤病等四种动物疫病全面实施强制免疫，对布病、包虫病等动物疫病根据相关要求做好幼畜的免疫工作。做好O+A型口蹄疫、小反刍兽疫边境免疫带建设工作，切实做到“应免尽免，不留空当”，确保免疫密度和免疫质量，提高免疫效果，建立有效的免疫保护屏障。总体要求是：高致病性禽流感、口蹄疫、小反刍兽疫的畜禽群体免疫密度常年维持在90%以上，其中应免畜禽免疫密度要达到100%，免疫抗体合格率全年保持在70%以上，有效确保免疫密度和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坚持正确的舆论导向。《克孜勒苏文学》编辑部坚持以习近平新时代中国特色社会主义思想为指导，增强“四个意识”、坚定“四个自信”、做到“两个维护”，自觉承担起“举旗帜、聚民心、育新人、兴文化、展形象”的使命任务。严格落实期刊“三审三校”制度，牢牢把握正确的舆论导向，唱响主旋律，传播正能量，不断巩固壮大主流思想舆论，为克州文学艺术事业的繁荣发展做出了一定的贡献。二是积极落实意识形态工作责任制。《克孜勒苏文学》柯文、维文杂志压紧压实做好意识形态领域工作的政治责任、领导责任，全面落实意识形态工作责任制，建立健全期刊管理制度，加强文学阵地建设和管理，按期召开杂志组稿编前会和审读工作会议，旗帜鲜明地反对和抵制各种错误观点，确保正确的舆论导向，坚守文学阵地，切实做到守土有责、守土负责、守土尽责。三是严把人员素质要求方面。州文联三种文版杂志全部初审均具备较强政治素养且具备一定条件的编辑人员担任，挑选精兵强将负责此项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通过公开招标的方式对兽医社会化服务补助资金发放服务进行招标，由承接的第三方兽医社会化服务公司对相关资金按规定发放。原则上现有的村级防疫员不减一人，同时各县（市）根据本辖区强制免疫工作实际可在招标工作前适当调整本辖区内村级防疫员数量，总体不超过414人，并及时帮助村级防疫员做好相关准备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克孜勒苏柯尔克孜自治州动物疾控中心无下属预算单位，下设4个科室，分别是：办公室、重大动物疾病监测科、动物食品监测科、常规动物疫情检验科。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克孜勒苏柯尔克孜自治州动物疾控中心编制数16个，实有人数27人，其中：在职13人，增加1人，减小2人；退休14人，增加1人；离休0人，增加0人。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关于提前下达2022年自治区畜牧类相关专业支付资金（项目部分）预算的通知》（克财农[2021]50号），自治区下达239万元，220万元用于基础防护人员的生活补助，19万元用于购买动物疫苗经费，确保不发生区域性重大疫情，主要用于购买兽医社会化服务。</w:t>
      </w:r>
    </w:p>
    <w:p w14:paraId="6E5CE6BA">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24A8B7F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1.总体目标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全年畜禽口蹄疫、高致病性禽流感、小反刍兽疫等重大动物疫病群体免疫密度常年维持在90%以上，应免畜禽免疫密度达到100%，免疫抗体合格率全年保持在70%以上，常规动物疫病做到应免尽免，确保全州不发生重大动物疫病。</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配备的村级动物防疫员414名，努力做到每人每月两项补助（兽医社会化服务购买基本补助和兽医社会化服务购买绩效补助）资金不少于1000元。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“基层动物防疫人员补助（人）”指标，预期指标值为&gt;=398人；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“购买疫苗（次）”指标，预期指标值为&gt;=2次；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“强制免疫病种应免畜禽的免疫密度（%）”指标，预期指标值为&gt;=90%；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“依法对重大动物疫情处置率（%）”指标，预期指标值为100%；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“口蹄疫、高致病性禽流感、小反刍兽疫免疫抗体合格率（%）”指标，预期指标值为100%；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“强制免疫等兽医社会化服务补助补助（万元）”指标，预期指标值为220万元；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“购买疫苗费用（万元）”指标，预期指标值为19万元；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“提升防治病种防治工作效率”指标，预期指标值为有效保障畜产品质量安全；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“确保不发生区域性重大疫情”指标，预期指标值为有效保障畜产品质量安全；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“促进畜牧业健康发展”指标，预期指标值为有效提升；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“确保不发生区域性重大疫情”指标，预期指标值为有效提升；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“接收强制免疫养殖户满意度（%）”指标，预期指标值为≥90%</w:t>
      </w:r>
    </w:p>
    <w:p w14:paraId="59148BC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3FBCEFCF">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463A156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68C3B61E">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70036AB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克州动物疾控中心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32138EAD">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3C8ACCF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吾斯曼·牙生任评价组组长，职务为副局长，绩效评价工作职责为负责全盘工作。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图尔荪·萨迪尔任评价组副组长，绩效评价工作职责为对项目实施情况进行实地调查。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古丽加·买买提力、艾木热古丽·牙森任评价组成员，绩效评价工作职责为负责资料审核等工作。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6113962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54D09E5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2022年度自治区动物防疫社会化服务补助经费项目”项目绩效进行客观公正的评价，本项目总得分为93.31分，绩效评级属于“优”。其中，决策类指标得分20分，过程类指标得分19.58分，产出类指标得分33.73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已完成该项目2022年全年执行239万元，其中：财政资金239万元，其他资金0万元，该项目资金主要用于出全年畜禽口蹄疫、高致病性禽流感、小反刍兽疫等重大动物疫病群体免疫密度常年维持在90%以上，应免畜禽免疫密度达到100%，免疫抗体合格率全年保持在70%以上，常规动物疫病做到应免尽免，确保全州不发生重大动物疫病。</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配备的村级动物防疫员414名，努力做到每人每月两项补助（兽医社会化服务购买基本补助和兽医社会化服务购买绩效补助）资金不少于1000元。</w:t>
      </w:r>
    </w:p>
    <w:p w14:paraId="11CBC986">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4954C300">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0A63203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自治区财政厅《关于提前下达2022年中央动物防疫等补助经费预算的通知》（新财农〔2021〕94号），下达克州2021年中央动物防疫等补助专项资金1378元，给动物疾控中心分配1378.00万元，根据要求采购牛布病（A19），羊布病（M5），包虫病等重大动物强制免疫疫苗，羊痘，Ⅱ号炭疽，羊三联四防，牛巴氏杆菌，牛气肿疽等动物常规疫病疫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动物疾控中心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（5）预算编制科学性：安克州人民政府的安排，实际完成内容与项目内容匹配，项目投资额与工作任务相匹配，根据评分标准，该指标不扣分，得5分。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关于提前下达2022年自治区畜牧类相关专业支付资金（项目部分）预算的通知》（克财农[2021]50号），自治区下达239万元，220万元用于基础防护人员的生活补助，19万元用于购买动物疫苗经费，资金分配与实际相适应，根据评分标准，该指标不扣分，得5分。</w:t>
      </w:r>
    </w:p>
    <w:p w14:paraId="1C9D446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26A9C2A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项目过程类指标包括资金管理和组织实施两方面的内容，由5个三级指标构成，权重分为20分，实际得分19.58分，得分率为97.9%。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（1）资金到位率：该项目总投资239万元，克州财政局实际下达经费239万元，其中当年财政拨款239万元，上年结转资金0万元，财政资金足额拨付到位，根据评分标准，该指标不扣分，得5分。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申请预算金额为239万元，预算批复实际下达金额为239万元截至2022年12月31日，资金执行218.8万元，资金执行率91.54%。实际得分=（实际支出资金/实际到位资金）×100%*5=（218.8/239）*100*5=4.58。项目资金支出总体能够按照预算执行，根据评分标准，该指标扣0.42分，得4.58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239万元，实际完成值为218.8万元，偏差率为91.6%，偏差原因：该项目2022年采购疫苗和耗材和社会服务发放任务已完成，采取的措施：剩下部分2023年采购2023年动物疫苗任务，发放各县市根据评分标准，该指标扣0.32分，得4.58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资金分配按照自治区财政厅《关于提前下达2022年中央动物防疫等补助经费预算的通知》（新财农〔2021〕94号）文件精神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（4）管理制度健全性：该项目严格按照《克州动物疾控中心财务制度》及项目金相关的制度和管理规定实施，对财政专项资金进行严格管理，基本做到了专款专用，根据评分标准，该指标不扣分，得2分。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1D6AF0F8">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7FA674C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项目产出类指标包括产出数量、产出质量、产出时效、产出成本四方面的内容，由9个三级指标构成，权重分为40分，实际得分33.73分，得分率为84.33%。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基层动物防疫人员补助人&gt;=398人，与预期目标一致，根据评分标准，该指标不扣分，得5分。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购买次数（次）&gt;=2次，与预期目标一致，根据评分标准，该指标不扣分，得5分。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强制免疫病种应免畜禽的免疫密度（%）&gt;=90%，与预期目标一致，根据评分标准，该指标不扣分，得3分。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依法对重大动物疫情处置率（%）=100%，与预期目标一致，根据评分标准，该指标不扣分，得2分。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口蹄疫、高致病性禽流感、小反刍兽疫免疫抗体合格率（%）&gt;=70%，与预期目标一致，根据评分标准，该指标不扣分，得2分。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资金使用及时率100%，与预期目标指标一致，实际得分=（实际完成率/计划完成率）×100%*10=（91.5%/100%）*100%*10=9.15分根据评分标准，该指标扣0.85分，得9.15分。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239万元，实际完成值为218.8万元，偏差率为91.6%，偏差原因：该项目2022年采购疫苗和耗材和社会服务发放任务已完成，采取的措施：剩下部分2023年采购2023年动物疫苗任务，发放各县市根据评分标准，该指标扣0.32分，得4.58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合计得9.15分。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强制免疫等兽医社会化服务补助补助（万元）&lt;=220万元，与预期目标指标不一致完成218.8万元，根据评分标准，实际得分=（实际支出资金/实际到位资金）×100%*5=（218/220）*100%*5=4.58该指标不扣分，得0.42分，得分4.58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239万元，实际完成值为218.8万元，偏差率为91.6%，偏差原因：该项目2022年采购疫苗和耗材和社会服务发放任务已完成，采取的措施：剩下部分2023年采购2023年动物疫苗任务，发放各县市根据评分标准，该指标扣0.32分，得4.58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购买疫苗费用（万元）&lt;=19万元，与预期目标指标不一致，根据评分标准，该指标不扣分，得0分。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239万元，实际完成值为218.8万元，偏差率为91.6%，偏差原因：该项目2022年采购疫苗和耗材和社会服务发放任务已完成，采取的措施：剩下部分2023年采购2023年动物疫苗任务，发放各县市根据评分标准，该指标扣0.32分，得4.58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合计得4.58分。</w:t>
      </w:r>
    </w:p>
    <w:p w14:paraId="625C204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05F7E63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项目效益类指标包括项目效益1个方面的内容，由3个三级指标构成，权重分为20分，实际得分20分，得分率为100%。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提升防治病种防治工作效率为有效提升，与预期指标一致，根据评分标准，该指标不扣分，得5分。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确保不发生区域性重大疫情为有效确保，与预期指标一致，根据评分标准，该指标不扣分，得5分。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对于满意度指标：接收强制免疫养殖户满意度≥95%，与预期目标一致，根据评分标准，该指标不扣分，得10分。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满意度指标合计得10分。</w:t>
      </w:r>
    </w:p>
    <w:p w14:paraId="2AF75C8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647C5E06">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2022年度自治区动物防疫社会化服务补助经费项目项目预算239万元，到位239万元，实际支出218.8万元，预算执行率为91.5%，项目绩效指标总体完成率为90.2%，预算执行进度与绩效指标偏差1.3%，偏差原因：该项目2022年采购疫苗和耗材任务已完成，采取的措施：剩下部分2023年采购2023年动物疫苗任务。</w:t>
      </w:r>
    </w:p>
    <w:p w14:paraId="700571C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699ED5F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6956812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081A24E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1EB7E31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11ECFBCF">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附件1：2022年度自治区动物防疫社会化服务补助经费项目项目绩效评价指标体系及评分标准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E6149B3">
        <w:pPr>
          <w:pStyle w:val="12"/>
          <w:jc w:val="center"/>
        </w:pPr>
        <w:r>
          <w:fldChar w:fldCharType="begin"/>
        </w:r>
        <w:r>
          <w:instrText xml:space="preserve">PAGE   \* MERGEFORMAT</w:instrText>
        </w:r>
        <w:r>
          <w:fldChar w:fldCharType="separate"/>
        </w:r>
        <w:r>
          <w:rPr>
            <w:lang w:val="zh-CN"/>
          </w:rPr>
          <w:t>1</w:t>
        </w:r>
        <w:r>
          <w:fldChar w:fldCharType="end"/>
        </w:r>
      </w:p>
    </w:sdtContent>
  </w:sdt>
  <w:p w14:paraId="124D250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CBA57B0"/>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25</Pages>
  <Words>8936</Words>
  <Characters>9499</Characters>
  <Lines>5</Lines>
  <Paragraphs>1</Paragraphs>
  <TotalTime>35</TotalTime>
  <ScaleCrop>false</ScaleCrop>
  <LinksUpToDate>false</LinksUpToDate>
  <CharactersWithSpaces>9820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2024-08-12T04:07:45Z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A250F87E1C26499D8A849362D858EE4E_12</vt:lpwstr>
  </property>
</Properties>
</file>